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7498A" w14:textId="6C8D8744" w:rsidR="00A92B6A" w:rsidRDefault="00A92B6A" w:rsidP="00A92B6A">
      <w:pPr>
        <w:jc w:val="right"/>
        <w:rPr>
          <w:b/>
          <w:bCs/>
        </w:rPr>
      </w:pPr>
      <w:r>
        <w:rPr>
          <w:b/>
          <w:bCs/>
        </w:rPr>
        <w:t>ST10066248</w:t>
      </w:r>
    </w:p>
    <w:p w14:paraId="4FEB7A0D" w14:textId="11E6587B" w:rsidR="00A92B6A" w:rsidRDefault="00A92B6A" w:rsidP="00A92B6A">
      <w:pPr>
        <w:jc w:val="right"/>
        <w:rPr>
          <w:b/>
          <w:bCs/>
        </w:rPr>
      </w:pPr>
      <w:r>
        <w:rPr>
          <w:b/>
          <w:bCs/>
        </w:rPr>
        <w:t>MUHAMMED AMEER AMED</w:t>
      </w:r>
    </w:p>
    <w:p w14:paraId="5CDEFEEC" w14:textId="35A3335E" w:rsidR="00A92B6A" w:rsidRDefault="00A92B6A" w:rsidP="00A92B6A">
      <w:pPr>
        <w:jc w:val="right"/>
        <w:rPr>
          <w:b/>
          <w:bCs/>
        </w:rPr>
      </w:pPr>
      <w:r>
        <w:rPr>
          <w:b/>
          <w:bCs/>
        </w:rPr>
        <w:t>PROG7311 Part 1</w:t>
      </w:r>
    </w:p>
    <w:p w14:paraId="5A0641FD" w14:textId="77777777" w:rsidR="00A92B6A" w:rsidRDefault="00A92B6A" w:rsidP="006106E0">
      <w:pPr>
        <w:rPr>
          <w:b/>
          <w:bCs/>
        </w:rPr>
      </w:pPr>
    </w:p>
    <w:p w14:paraId="4EE15F3F" w14:textId="580885EA" w:rsidR="006106E0" w:rsidRPr="006106E0" w:rsidRDefault="006106E0" w:rsidP="006106E0">
      <w:pPr>
        <w:rPr>
          <w:b/>
          <w:bCs/>
        </w:rPr>
      </w:pPr>
      <w:r w:rsidRPr="006106E0">
        <w:rPr>
          <w:b/>
          <w:bCs/>
        </w:rPr>
        <w:t>Proposal for Agri-Energy Connect Platform</w:t>
      </w:r>
    </w:p>
    <w:p w14:paraId="747F484D" w14:textId="6EF8833B" w:rsidR="006106E0" w:rsidRPr="006106E0" w:rsidRDefault="006106E0" w:rsidP="006106E0">
      <w:r w:rsidRPr="006106E0">
        <w:rPr>
          <w:b/>
          <w:bCs/>
        </w:rPr>
        <w:t>Prepared for: South African Bid Committee on Sustainable Agriculture &amp; Green Energy</w:t>
      </w:r>
      <w:r w:rsidRPr="006106E0">
        <w:br/>
      </w:r>
    </w:p>
    <w:p w14:paraId="52059A46" w14:textId="77777777" w:rsidR="006106E0" w:rsidRPr="006106E0" w:rsidRDefault="006106E0" w:rsidP="006106E0">
      <w:pPr>
        <w:rPr>
          <w:b/>
          <w:bCs/>
        </w:rPr>
      </w:pPr>
      <w:r w:rsidRPr="006106E0">
        <w:rPr>
          <w:b/>
          <w:bCs/>
        </w:rPr>
        <w:t>1. Introduction</w:t>
      </w:r>
    </w:p>
    <w:p w14:paraId="3BFC4346" w14:textId="6B31B22E" w:rsidR="006106E0" w:rsidRPr="006106E0" w:rsidRDefault="006106E0" w:rsidP="006106E0">
      <w:r w:rsidRPr="006106E0">
        <w:t xml:space="preserve">The </w:t>
      </w:r>
      <w:r w:rsidRPr="006106E0">
        <w:rPr>
          <w:b/>
          <w:bCs/>
        </w:rPr>
        <w:t>Agri-Energy Connect Platform</w:t>
      </w:r>
      <w:r w:rsidRPr="006106E0">
        <w:t xml:space="preserve"> is a pioneering digital ecosystem designed to bridge sustainable agriculture and green energy solutions in South Africa. By fostering collaboration between farmers, green energy experts, and policymakers, this platform will drive innovation, knowledge-sharing, and adoption of renewable energy in farming (Smith, 2022).</w:t>
      </w:r>
    </w:p>
    <w:p w14:paraId="57ADB815" w14:textId="77777777" w:rsidR="006106E0" w:rsidRPr="006106E0" w:rsidRDefault="006106E0" w:rsidP="006106E0">
      <w:r w:rsidRPr="006106E0">
        <w:t xml:space="preserve">This proposal outlines the </w:t>
      </w:r>
      <w:r w:rsidRPr="006106E0">
        <w:rPr>
          <w:b/>
          <w:bCs/>
        </w:rPr>
        <w:t>non-functional requirements</w:t>
      </w:r>
      <w:r w:rsidRPr="006106E0">
        <w:t xml:space="preserve"> critical to the platform’s success and the </w:t>
      </w:r>
      <w:r w:rsidRPr="006106E0">
        <w:rPr>
          <w:b/>
          <w:bCs/>
        </w:rPr>
        <w:t>design &amp; architecture patterns</w:t>
      </w:r>
      <w:r w:rsidRPr="006106E0">
        <w:t xml:space="preserve"> that will ensure scalability, security, and usability (Brown &amp; Green, 2021).</w:t>
      </w:r>
    </w:p>
    <w:p w14:paraId="3E7BEDCC" w14:textId="7DC35606" w:rsidR="006106E0" w:rsidRPr="006106E0" w:rsidRDefault="006106E0" w:rsidP="006106E0"/>
    <w:p w14:paraId="335E81BA" w14:textId="77777777" w:rsidR="006106E0" w:rsidRPr="006106E0" w:rsidRDefault="006106E0" w:rsidP="006106E0">
      <w:pPr>
        <w:rPr>
          <w:b/>
          <w:bCs/>
        </w:rPr>
      </w:pPr>
      <w:r w:rsidRPr="006106E0">
        <w:rPr>
          <w:b/>
          <w:bCs/>
        </w:rPr>
        <w:t>2. Analysis of Non-Functional Requirements</w:t>
      </w:r>
    </w:p>
    <w:p w14:paraId="4BA39583" w14:textId="77777777" w:rsidR="006106E0" w:rsidRPr="006106E0" w:rsidRDefault="006106E0" w:rsidP="006106E0">
      <w:pPr>
        <w:rPr>
          <w:b/>
          <w:bCs/>
        </w:rPr>
      </w:pPr>
      <w:r w:rsidRPr="006106E0">
        <w:rPr>
          <w:b/>
          <w:bCs/>
        </w:rPr>
        <w:t>2.1 Critical Non-Functional Requirements</w:t>
      </w:r>
    </w:p>
    <w:p w14:paraId="5DAB8D5E" w14:textId="77777777" w:rsidR="006106E0" w:rsidRPr="006106E0" w:rsidRDefault="006106E0" w:rsidP="006106E0">
      <w:r w:rsidRPr="006106E0">
        <w:t>To ensure the platform’s effectiveness, the following non-functional requirements (NFRs) must be prioritized: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4284"/>
        <w:gridCol w:w="3364"/>
      </w:tblGrid>
      <w:tr w:rsidR="006106E0" w:rsidRPr="006106E0" w14:paraId="05D62D57" w14:textId="77777777" w:rsidTr="006106E0">
        <w:trPr>
          <w:tblHeader/>
          <w:tblCellSpacing w:w="15" w:type="dxa"/>
        </w:trPr>
        <w:tc>
          <w:tcPr>
            <w:tcW w:w="0" w:type="auto"/>
            <w:vAlign w:val="center"/>
            <w:hideMark/>
          </w:tcPr>
          <w:p w14:paraId="195B33A1" w14:textId="77777777" w:rsidR="006106E0" w:rsidRPr="006106E0" w:rsidRDefault="006106E0" w:rsidP="006106E0">
            <w:pPr>
              <w:rPr>
                <w:b/>
                <w:bCs/>
              </w:rPr>
            </w:pPr>
            <w:r w:rsidRPr="006106E0">
              <w:rPr>
                <w:b/>
                <w:bCs/>
              </w:rPr>
              <w:t>Requirement</w:t>
            </w:r>
          </w:p>
        </w:tc>
        <w:tc>
          <w:tcPr>
            <w:tcW w:w="0" w:type="auto"/>
            <w:vAlign w:val="center"/>
            <w:hideMark/>
          </w:tcPr>
          <w:p w14:paraId="5AD87137" w14:textId="77777777" w:rsidR="006106E0" w:rsidRPr="006106E0" w:rsidRDefault="006106E0" w:rsidP="006106E0">
            <w:pPr>
              <w:rPr>
                <w:b/>
                <w:bCs/>
              </w:rPr>
            </w:pPr>
            <w:r w:rsidRPr="006106E0">
              <w:rPr>
                <w:b/>
                <w:bCs/>
              </w:rPr>
              <w:t>Implementation Strategy</w:t>
            </w:r>
          </w:p>
        </w:tc>
        <w:tc>
          <w:tcPr>
            <w:tcW w:w="0" w:type="auto"/>
            <w:vAlign w:val="center"/>
            <w:hideMark/>
          </w:tcPr>
          <w:p w14:paraId="3C7C40FE" w14:textId="77777777" w:rsidR="006106E0" w:rsidRPr="006106E0" w:rsidRDefault="006106E0" w:rsidP="006106E0">
            <w:pPr>
              <w:rPr>
                <w:b/>
                <w:bCs/>
              </w:rPr>
            </w:pPr>
            <w:r w:rsidRPr="006106E0">
              <w:rPr>
                <w:b/>
                <w:bCs/>
              </w:rPr>
              <w:t>Impact on Development</w:t>
            </w:r>
          </w:p>
        </w:tc>
      </w:tr>
      <w:tr w:rsidR="006106E0" w:rsidRPr="006106E0" w14:paraId="3642883E" w14:textId="77777777" w:rsidTr="006106E0">
        <w:trPr>
          <w:tblCellSpacing w:w="15" w:type="dxa"/>
        </w:trPr>
        <w:tc>
          <w:tcPr>
            <w:tcW w:w="0" w:type="auto"/>
            <w:vAlign w:val="center"/>
            <w:hideMark/>
          </w:tcPr>
          <w:p w14:paraId="049606A6" w14:textId="77777777" w:rsidR="006106E0" w:rsidRPr="006106E0" w:rsidRDefault="006106E0" w:rsidP="006106E0">
            <w:r w:rsidRPr="006106E0">
              <w:rPr>
                <w:b/>
                <w:bCs/>
              </w:rPr>
              <w:t>Scalability</w:t>
            </w:r>
          </w:p>
        </w:tc>
        <w:tc>
          <w:tcPr>
            <w:tcW w:w="0" w:type="auto"/>
            <w:vAlign w:val="center"/>
            <w:hideMark/>
          </w:tcPr>
          <w:p w14:paraId="0A89CFF2" w14:textId="77777777" w:rsidR="006106E0" w:rsidRPr="006106E0" w:rsidRDefault="006106E0" w:rsidP="006106E0">
            <w:r w:rsidRPr="006106E0">
              <w:t>Use cloud-based infrastructure (AWS/Azure) with auto-scaling to handle growing user demand (Amazon Web Services, 2023).</w:t>
            </w:r>
          </w:p>
        </w:tc>
        <w:tc>
          <w:tcPr>
            <w:tcW w:w="0" w:type="auto"/>
            <w:vAlign w:val="center"/>
            <w:hideMark/>
          </w:tcPr>
          <w:p w14:paraId="63FB2EE2" w14:textId="77777777" w:rsidR="006106E0" w:rsidRPr="006106E0" w:rsidRDefault="006106E0" w:rsidP="006106E0">
            <w:r w:rsidRPr="006106E0">
              <w:t>Ensures the platform remains responsive during peak usage (e.g., grant application deadlines).</w:t>
            </w:r>
          </w:p>
        </w:tc>
      </w:tr>
      <w:tr w:rsidR="006106E0" w:rsidRPr="006106E0" w14:paraId="0BF351F9" w14:textId="77777777" w:rsidTr="006106E0">
        <w:trPr>
          <w:tblCellSpacing w:w="15" w:type="dxa"/>
        </w:trPr>
        <w:tc>
          <w:tcPr>
            <w:tcW w:w="0" w:type="auto"/>
            <w:vAlign w:val="center"/>
            <w:hideMark/>
          </w:tcPr>
          <w:p w14:paraId="31717AD5" w14:textId="77777777" w:rsidR="006106E0" w:rsidRPr="006106E0" w:rsidRDefault="006106E0" w:rsidP="006106E0">
            <w:r w:rsidRPr="006106E0">
              <w:rPr>
                <w:b/>
                <w:bCs/>
              </w:rPr>
              <w:t>Security</w:t>
            </w:r>
          </w:p>
        </w:tc>
        <w:tc>
          <w:tcPr>
            <w:tcW w:w="0" w:type="auto"/>
            <w:vAlign w:val="center"/>
            <w:hideMark/>
          </w:tcPr>
          <w:p w14:paraId="6981FBB8" w14:textId="77777777" w:rsidR="006106E0" w:rsidRPr="006106E0" w:rsidRDefault="006106E0" w:rsidP="006106E0">
            <w:r w:rsidRPr="006106E0">
              <w:t>Implement OAuth 2.0 for authentication, end-to-end encryption (SSL/TLS), and regular security audits (NIST, 2020).</w:t>
            </w:r>
          </w:p>
        </w:tc>
        <w:tc>
          <w:tcPr>
            <w:tcW w:w="0" w:type="auto"/>
            <w:vAlign w:val="center"/>
            <w:hideMark/>
          </w:tcPr>
          <w:p w14:paraId="3AA2A07B" w14:textId="77777777" w:rsidR="006106E0" w:rsidRPr="006106E0" w:rsidRDefault="006106E0" w:rsidP="006106E0">
            <w:r w:rsidRPr="006106E0">
              <w:t>Protects sensitive farmer data, financial transactions, and proprietary techniques.</w:t>
            </w:r>
          </w:p>
        </w:tc>
      </w:tr>
      <w:tr w:rsidR="006106E0" w:rsidRPr="006106E0" w14:paraId="69BD5407" w14:textId="77777777" w:rsidTr="006106E0">
        <w:trPr>
          <w:tblCellSpacing w:w="15" w:type="dxa"/>
        </w:trPr>
        <w:tc>
          <w:tcPr>
            <w:tcW w:w="0" w:type="auto"/>
            <w:vAlign w:val="center"/>
            <w:hideMark/>
          </w:tcPr>
          <w:p w14:paraId="109C7548" w14:textId="77777777" w:rsidR="006106E0" w:rsidRPr="006106E0" w:rsidRDefault="006106E0" w:rsidP="006106E0">
            <w:r w:rsidRPr="006106E0">
              <w:rPr>
                <w:b/>
                <w:bCs/>
              </w:rPr>
              <w:t>Usability</w:t>
            </w:r>
          </w:p>
        </w:tc>
        <w:tc>
          <w:tcPr>
            <w:tcW w:w="0" w:type="auto"/>
            <w:vAlign w:val="center"/>
            <w:hideMark/>
          </w:tcPr>
          <w:p w14:paraId="5D4C0AFE" w14:textId="77777777" w:rsidR="006106E0" w:rsidRPr="006106E0" w:rsidRDefault="006106E0" w:rsidP="006106E0">
            <w:r w:rsidRPr="006106E0">
              <w:t>Adopt a mobile-first, intuitive UI with multilingual support (English, Afrikaans, Zulu) (Norman, 2013).</w:t>
            </w:r>
          </w:p>
        </w:tc>
        <w:tc>
          <w:tcPr>
            <w:tcW w:w="0" w:type="auto"/>
            <w:vAlign w:val="center"/>
            <w:hideMark/>
          </w:tcPr>
          <w:p w14:paraId="494EA92F" w14:textId="77777777" w:rsidR="006106E0" w:rsidRPr="006106E0" w:rsidRDefault="006106E0" w:rsidP="006106E0">
            <w:r w:rsidRPr="006106E0">
              <w:t>Ensures accessibility for farmers with varying tech literacy.</w:t>
            </w:r>
          </w:p>
        </w:tc>
      </w:tr>
      <w:tr w:rsidR="006106E0" w:rsidRPr="006106E0" w14:paraId="3DAC5FA0" w14:textId="77777777" w:rsidTr="006106E0">
        <w:trPr>
          <w:tblCellSpacing w:w="15" w:type="dxa"/>
        </w:trPr>
        <w:tc>
          <w:tcPr>
            <w:tcW w:w="0" w:type="auto"/>
            <w:vAlign w:val="center"/>
            <w:hideMark/>
          </w:tcPr>
          <w:p w14:paraId="1F4D7639" w14:textId="77777777" w:rsidR="006106E0" w:rsidRPr="006106E0" w:rsidRDefault="006106E0" w:rsidP="006106E0">
            <w:r w:rsidRPr="006106E0">
              <w:rPr>
                <w:b/>
                <w:bCs/>
              </w:rPr>
              <w:t>Performance</w:t>
            </w:r>
          </w:p>
        </w:tc>
        <w:tc>
          <w:tcPr>
            <w:tcW w:w="0" w:type="auto"/>
            <w:vAlign w:val="center"/>
            <w:hideMark/>
          </w:tcPr>
          <w:p w14:paraId="79BD2ED6" w14:textId="77777777" w:rsidR="006106E0" w:rsidRPr="006106E0" w:rsidRDefault="006106E0" w:rsidP="006106E0">
            <w:r w:rsidRPr="006106E0">
              <w:t>Optimize database queries, use caching (Redis), and a CDN for fast content delivery (Microsoft Azure, 2022).</w:t>
            </w:r>
          </w:p>
        </w:tc>
        <w:tc>
          <w:tcPr>
            <w:tcW w:w="0" w:type="auto"/>
            <w:vAlign w:val="center"/>
            <w:hideMark/>
          </w:tcPr>
          <w:p w14:paraId="69BAC88B" w14:textId="77777777" w:rsidR="006106E0" w:rsidRPr="006106E0" w:rsidRDefault="006106E0" w:rsidP="006106E0">
            <w:r w:rsidRPr="006106E0">
              <w:t>Reduces latency, especially in rural areas with poor internet.</w:t>
            </w:r>
          </w:p>
        </w:tc>
      </w:tr>
      <w:tr w:rsidR="006106E0" w:rsidRPr="006106E0" w14:paraId="0C6BB6AB" w14:textId="77777777" w:rsidTr="006106E0">
        <w:trPr>
          <w:tblCellSpacing w:w="15" w:type="dxa"/>
        </w:trPr>
        <w:tc>
          <w:tcPr>
            <w:tcW w:w="0" w:type="auto"/>
            <w:vAlign w:val="center"/>
            <w:hideMark/>
          </w:tcPr>
          <w:p w14:paraId="18DD62E1" w14:textId="77777777" w:rsidR="006106E0" w:rsidRPr="006106E0" w:rsidRDefault="006106E0" w:rsidP="006106E0">
            <w:r w:rsidRPr="006106E0">
              <w:rPr>
                <w:b/>
                <w:bCs/>
              </w:rPr>
              <w:t>Reliability</w:t>
            </w:r>
          </w:p>
        </w:tc>
        <w:tc>
          <w:tcPr>
            <w:tcW w:w="0" w:type="auto"/>
            <w:vAlign w:val="center"/>
            <w:hideMark/>
          </w:tcPr>
          <w:p w14:paraId="00271ED8" w14:textId="77777777" w:rsidR="006106E0" w:rsidRPr="006106E0" w:rsidRDefault="006106E0" w:rsidP="006106E0">
            <w:r w:rsidRPr="006106E0">
              <w:t>Deploy redundant servers and conduct disaster recovery testing (ISO/IEC 27001, 2017).</w:t>
            </w:r>
          </w:p>
        </w:tc>
        <w:tc>
          <w:tcPr>
            <w:tcW w:w="0" w:type="auto"/>
            <w:vAlign w:val="center"/>
            <w:hideMark/>
          </w:tcPr>
          <w:p w14:paraId="77D6F46B" w14:textId="77777777" w:rsidR="006106E0" w:rsidRPr="006106E0" w:rsidRDefault="006106E0" w:rsidP="006106E0">
            <w:r w:rsidRPr="006106E0">
              <w:t>Minimizes downtime, ensuring continuous access for users.</w:t>
            </w:r>
          </w:p>
        </w:tc>
      </w:tr>
    </w:tbl>
    <w:p w14:paraId="1B4B817C" w14:textId="77777777" w:rsidR="006106E0" w:rsidRPr="006106E0" w:rsidRDefault="006106E0" w:rsidP="006106E0">
      <w:pPr>
        <w:rPr>
          <w:b/>
          <w:bCs/>
        </w:rPr>
      </w:pPr>
      <w:r w:rsidRPr="006106E0">
        <w:rPr>
          <w:b/>
          <w:bCs/>
        </w:rPr>
        <w:lastRenderedPageBreak/>
        <w:t>2.2 Impact on Development Approach</w:t>
      </w:r>
    </w:p>
    <w:p w14:paraId="3AB330D6" w14:textId="77777777" w:rsidR="006106E0" w:rsidRPr="006106E0" w:rsidRDefault="006106E0" w:rsidP="006106E0">
      <w:pPr>
        <w:numPr>
          <w:ilvl w:val="0"/>
          <w:numId w:val="1"/>
        </w:numPr>
      </w:pPr>
      <w:r w:rsidRPr="006106E0">
        <w:rPr>
          <w:b/>
          <w:bCs/>
        </w:rPr>
        <w:t>Agile Methodology</w:t>
      </w:r>
      <w:r w:rsidRPr="006106E0">
        <w:t>: Iterative development allows continuous refinement based on user feedback (Schwaber &amp; Sutherland, 2020).</w:t>
      </w:r>
    </w:p>
    <w:p w14:paraId="076563D4" w14:textId="77777777" w:rsidR="006106E0" w:rsidRPr="006106E0" w:rsidRDefault="006106E0" w:rsidP="006106E0">
      <w:pPr>
        <w:numPr>
          <w:ilvl w:val="0"/>
          <w:numId w:val="1"/>
        </w:numPr>
      </w:pPr>
      <w:r w:rsidRPr="006106E0">
        <w:rPr>
          <w:b/>
          <w:bCs/>
        </w:rPr>
        <w:t>DevOps Integration</w:t>
      </w:r>
      <w:r w:rsidRPr="006106E0">
        <w:t>: CI/CD pipelines ensure seamless updates while maintaining security (Kim et al., 2016).</w:t>
      </w:r>
    </w:p>
    <w:p w14:paraId="57B36693" w14:textId="77777777" w:rsidR="006106E0" w:rsidRPr="006106E0" w:rsidRDefault="006106E0" w:rsidP="006106E0">
      <w:pPr>
        <w:numPr>
          <w:ilvl w:val="0"/>
          <w:numId w:val="1"/>
        </w:numPr>
      </w:pPr>
      <w:r w:rsidRPr="006106E0">
        <w:rPr>
          <w:b/>
          <w:bCs/>
        </w:rPr>
        <w:t>Data Privacy Compliance</w:t>
      </w:r>
      <w:r w:rsidRPr="006106E0">
        <w:t>: Adherence to POPIA (South Africa’s data protection law) is mandatory (POPIA Act No. 4 of 2013).</w:t>
      </w:r>
    </w:p>
    <w:p w14:paraId="1872F5D6" w14:textId="49C82EB9" w:rsidR="006106E0" w:rsidRPr="006106E0" w:rsidRDefault="006106E0" w:rsidP="006106E0"/>
    <w:p w14:paraId="0D4DE3D1" w14:textId="77777777" w:rsidR="006106E0" w:rsidRPr="006106E0" w:rsidRDefault="006106E0" w:rsidP="006106E0">
      <w:pPr>
        <w:rPr>
          <w:b/>
          <w:bCs/>
        </w:rPr>
      </w:pPr>
      <w:r w:rsidRPr="006106E0">
        <w:rPr>
          <w:b/>
          <w:bCs/>
        </w:rPr>
        <w:t>3. Role of Design &amp; Architecture Patterns</w:t>
      </w:r>
    </w:p>
    <w:p w14:paraId="002990F0" w14:textId="77777777" w:rsidR="006106E0" w:rsidRPr="006106E0" w:rsidRDefault="006106E0" w:rsidP="006106E0">
      <w:pPr>
        <w:rPr>
          <w:b/>
          <w:bCs/>
        </w:rPr>
      </w:pPr>
      <w:r w:rsidRPr="006106E0">
        <w:rPr>
          <w:b/>
          <w:bCs/>
        </w:rPr>
        <w:t>3.1 Importance of Design Patterns</w:t>
      </w:r>
    </w:p>
    <w:p w14:paraId="55A9E9A7" w14:textId="77777777" w:rsidR="006106E0" w:rsidRPr="006106E0" w:rsidRDefault="006106E0" w:rsidP="006106E0">
      <w:r w:rsidRPr="006106E0">
        <w:t>Design patterns ensure maintainability, flexibility, and efficiency (Gamma et al., 1994). Key patterns for this project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4080"/>
        <w:gridCol w:w="2899"/>
      </w:tblGrid>
      <w:tr w:rsidR="006106E0" w:rsidRPr="006106E0" w14:paraId="626A8B79" w14:textId="77777777" w:rsidTr="006106E0">
        <w:trPr>
          <w:tblHeader/>
          <w:tblCellSpacing w:w="15" w:type="dxa"/>
        </w:trPr>
        <w:tc>
          <w:tcPr>
            <w:tcW w:w="0" w:type="auto"/>
            <w:vAlign w:val="center"/>
            <w:hideMark/>
          </w:tcPr>
          <w:p w14:paraId="72759AC9" w14:textId="77777777" w:rsidR="006106E0" w:rsidRPr="006106E0" w:rsidRDefault="006106E0" w:rsidP="006106E0">
            <w:pPr>
              <w:rPr>
                <w:b/>
                <w:bCs/>
              </w:rPr>
            </w:pPr>
            <w:r w:rsidRPr="006106E0">
              <w:rPr>
                <w:b/>
                <w:bCs/>
              </w:rPr>
              <w:t>Pattern</w:t>
            </w:r>
          </w:p>
        </w:tc>
        <w:tc>
          <w:tcPr>
            <w:tcW w:w="0" w:type="auto"/>
            <w:vAlign w:val="center"/>
            <w:hideMark/>
          </w:tcPr>
          <w:p w14:paraId="24C0078F" w14:textId="77777777" w:rsidR="006106E0" w:rsidRPr="006106E0" w:rsidRDefault="006106E0" w:rsidP="006106E0">
            <w:pPr>
              <w:rPr>
                <w:b/>
                <w:bCs/>
              </w:rPr>
            </w:pPr>
            <w:r w:rsidRPr="006106E0">
              <w:rPr>
                <w:b/>
                <w:bCs/>
              </w:rPr>
              <w:t>Application</w:t>
            </w:r>
          </w:p>
        </w:tc>
        <w:tc>
          <w:tcPr>
            <w:tcW w:w="0" w:type="auto"/>
            <w:vAlign w:val="center"/>
            <w:hideMark/>
          </w:tcPr>
          <w:p w14:paraId="75EEBA35" w14:textId="77777777" w:rsidR="006106E0" w:rsidRPr="006106E0" w:rsidRDefault="006106E0" w:rsidP="006106E0">
            <w:pPr>
              <w:rPr>
                <w:b/>
                <w:bCs/>
              </w:rPr>
            </w:pPr>
            <w:r w:rsidRPr="006106E0">
              <w:rPr>
                <w:b/>
                <w:bCs/>
              </w:rPr>
              <w:t>Justification</w:t>
            </w:r>
          </w:p>
        </w:tc>
      </w:tr>
      <w:tr w:rsidR="006106E0" w:rsidRPr="006106E0" w14:paraId="4120591B" w14:textId="77777777" w:rsidTr="006106E0">
        <w:trPr>
          <w:tblCellSpacing w:w="15" w:type="dxa"/>
        </w:trPr>
        <w:tc>
          <w:tcPr>
            <w:tcW w:w="0" w:type="auto"/>
            <w:vAlign w:val="center"/>
            <w:hideMark/>
          </w:tcPr>
          <w:p w14:paraId="2C75837D" w14:textId="77777777" w:rsidR="006106E0" w:rsidRPr="006106E0" w:rsidRDefault="006106E0" w:rsidP="006106E0">
            <w:r w:rsidRPr="006106E0">
              <w:rPr>
                <w:b/>
                <w:bCs/>
              </w:rPr>
              <w:t>MVC (Model-View-Controller)</w:t>
            </w:r>
          </w:p>
        </w:tc>
        <w:tc>
          <w:tcPr>
            <w:tcW w:w="0" w:type="auto"/>
            <w:vAlign w:val="center"/>
            <w:hideMark/>
          </w:tcPr>
          <w:p w14:paraId="334226C8" w14:textId="77777777" w:rsidR="006106E0" w:rsidRPr="006106E0" w:rsidRDefault="006106E0" w:rsidP="006106E0">
            <w:r w:rsidRPr="006106E0">
              <w:t>Separates business logic (farm data), UI (dashboard), and control flow (Fowler, 2002).</w:t>
            </w:r>
          </w:p>
        </w:tc>
        <w:tc>
          <w:tcPr>
            <w:tcW w:w="0" w:type="auto"/>
            <w:vAlign w:val="center"/>
            <w:hideMark/>
          </w:tcPr>
          <w:p w14:paraId="0BD68E5E" w14:textId="77777777" w:rsidR="006106E0" w:rsidRPr="006106E0" w:rsidRDefault="006106E0" w:rsidP="006106E0">
            <w:r w:rsidRPr="006106E0">
              <w:t>Simplifies updates and enhances scalability.</w:t>
            </w:r>
          </w:p>
        </w:tc>
      </w:tr>
      <w:tr w:rsidR="006106E0" w:rsidRPr="006106E0" w14:paraId="55928F38" w14:textId="77777777" w:rsidTr="006106E0">
        <w:trPr>
          <w:tblCellSpacing w:w="15" w:type="dxa"/>
        </w:trPr>
        <w:tc>
          <w:tcPr>
            <w:tcW w:w="0" w:type="auto"/>
            <w:vAlign w:val="center"/>
            <w:hideMark/>
          </w:tcPr>
          <w:p w14:paraId="11073A0D" w14:textId="77777777" w:rsidR="006106E0" w:rsidRPr="006106E0" w:rsidRDefault="006106E0" w:rsidP="006106E0">
            <w:r w:rsidRPr="006106E0">
              <w:rPr>
                <w:b/>
                <w:bCs/>
              </w:rPr>
              <w:t>Microservices</w:t>
            </w:r>
          </w:p>
        </w:tc>
        <w:tc>
          <w:tcPr>
            <w:tcW w:w="0" w:type="auto"/>
            <w:vAlign w:val="center"/>
            <w:hideMark/>
          </w:tcPr>
          <w:p w14:paraId="5D4AC502" w14:textId="77777777" w:rsidR="006106E0" w:rsidRPr="006106E0" w:rsidRDefault="006106E0" w:rsidP="006106E0">
            <w:r w:rsidRPr="006106E0">
              <w:t>Decouples features (e.g., marketplace, forums) into independent services (Newman, 2015).</w:t>
            </w:r>
          </w:p>
        </w:tc>
        <w:tc>
          <w:tcPr>
            <w:tcW w:w="0" w:type="auto"/>
            <w:vAlign w:val="center"/>
            <w:hideMark/>
          </w:tcPr>
          <w:p w14:paraId="1874D816" w14:textId="77777777" w:rsidR="006106E0" w:rsidRPr="006106E0" w:rsidRDefault="006106E0" w:rsidP="006106E0">
            <w:r w:rsidRPr="006106E0">
              <w:t>Allows modular updates without system-wide disruptions.</w:t>
            </w:r>
          </w:p>
        </w:tc>
      </w:tr>
      <w:tr w:rsidR="006106E0" w:rsidRPr="006106E0" w14:paraId="0B298F62" w14:textId="77777777" w:rsidTr="006106E0">
        <w:trPr>
          <w:tblCellSpacing w:w="15" w:type="dxa"/>
        </w:trPr>
        <w:tc>
          <w:tcPr>
            <w:tcW w:w="0" w:type="auto"/>
            <w:vAlign w:val="center"/>
            <w:hideMark/>
          </w:tcPr>
          <w:p w14:paraId="728D3F44" w14:textId="77777777" w:rsidR="006106E0" w:rsidRPr="006106E0" w:rsidRDefault="006106E0" w:rsidP="006106E0">
            <w:r w:rsidRPr="006106E0">
              <w:rPr>
                <w:b/>
                <w:bCs/>
              </w:rPr>
              <w:t>Repository Pattern</w:t>
            </w:r>
          </w:p>
        </w:tc>
        <w:tc>
          <w:tcPr>
            <w:tcW w:w="0" w:type="auto"/>
            <w:vAlign w:val="center"/>
            <w:hideMark/>
          </w:tcPr>
          <w:p w14:paraId="2FC1116F" w14:textId="77777777" w:rsidR="006106E0" w:rsidRPr="006106E0" w:rsidRDefault="006106E0" w:rsidP="006106E0">
            <w:r w:rsidRPr="006106E0">
              <w:t>Abstracts database operations for secure data access (Evans, 2003).</w:t>
            </w:r>
          </w:p>
        </w:tc>
        <w:tc>
          <w:tcPr>
            <w:tcW w:w="0" w:type="auto"/>
            <w:vAlign w:val="center"/>
            <w:hideMark/>
          </w:tcPr>
          <w:p w14:paraId="1CC6A160" w14:textId="77777777" w:rsidR="006106E0" w:rsidRPr="006106E0" w:rsidRDefault="006106E0" w:rsidP="006106E0">
            <w:r w:rsidRPr="006106E0">
              <w:t>Ensures consistent data handling across the platform.</w:t>
            </w:r>
          </w:p>
        </w:tc>
      </w:tr>
    </w:tbl>
    <w:p w14:paraId="546E5C38" w14:textId="77777777" w:rsidR="006106E0" w:rsidRPr="006106E0" w:rsidRDefault="006106E0" w:rsidP="006106E0">
      <w:pPr>
        <w:rPr>
          <w:b/>
          <w:bCs/>
        </w:rPr>
      </w:pPr>
      <w:r w:rsidRPr="006106E0">
        <w:rPr>
          <w:b/>
          <w:bCs/>
        </w:rPr>
        <w:t>3.2 Proposed System Architecture</w:t>
      </w:r>
    </w:p>
    <w:p w14:paraId="28D4C456" w14:textId="0FE8C9F6" w:rsidR="006106E0" w:rsidRPr="006106E0" w:rsidRDefault="006106E0" w:rsidP="006106E0">
      <w:r w:rsidRPr="006106E0">
        <w:t xml:space="preserve">A </w:t>
      </w:r>
      <w:r w:rsidRPr="006106E0">
        <w:rPr>
          <w:b/>
          <w:bCs/>
        </w:rPr>
        <w:t>hybrid microservices &amp; serverless architecture</w:t>
      </w:r>
      <w:r w:rsidRPr="006106E0">
        <w:t xml:space="preserve"> will be used</w:t>
      </w:r>
      <w:r w:rsidR="007B52A7">
        <w:t xml:space="preserve"> </w:t>
      </w:r>
      <w:r w:rsidR="007B52A7" w:rsidRPr="006106E0">
        <w:t>(Evans, 2003)</w:t>
      </w:r>
      <w:r w:rsidRPr="006106E0">
        <w:t>:</w:t>
      </w:r>
    </w:p>
    <w:p w14:paraId="057CD19D" w14:textId="77777777" w:rsidR="006106E0" w:rsidRPr="006106E0" w:rsidRDefault="006106E0" w:rsidP="006106E0">
      <w:pPr>
        <w:numPr>
          <w:ilvl w:val="0"/>
          <w:numId w:val="2"/>
        </w:numPr>
      </w:pPr>
      <w:r w:rsidRPr="006106E0">
        <w:rPr>
          <w:b/>
          <w:bCs/>
        </w:rPr>
        <w:t>Frontend</w:t>
      </w:r>
      <w:r w:rsidRPr="006106E0">
        <w:t>: React.js (responsive, dynamic UI).</w:t>
      </w:r>
    </w:p>
    <w:p w14:paraId="20823A9F" w14:textId="77777777" w:rsidR="006106E0" w:rsidRPr="006106E0" w:rsidRDefault="006106E0" w:rsidP="006106E0">
      <w:pPr>
        <w:numPr>
          <w:ilvl w:val="0"/>
          <w:numId w:val="2"/>
        </w:numPr>
      </w:pPr>
      <w:r w:rsidRPr="006106E0">
        <w:rPr>
          <w:b/>
          <w:bCs/>
        </w:rPr>
        <w:t>Backend</w:t>
      </w:r>
      <w:r w:rsidRPr="006106E0">
        <w:t>: Node.js (APIs) + Firebase (real-time forums).</w:t>
      </w:r>
    </w:p>
    <w:p w14:paraId="3F0F9D49" w14:textId="77777777" w:rsidR="006106E0" w:rsidRPr="006106E0" w:rsidRDefault="006106E0" w:rsidP="006106E0">
      <w:pPr>
        <w:numPr>
          <w:ilvl w:val="0"/>
          <w:numId w:val="2"/>
        </w:numPr>
      </w:pPr>
      <w:r w:rsidRPr="006106E0">
        <w:rPr>
          <w:b/>
          <w:bCs/>
        </w:rPr>
        <w:t>Database</w:t>
      </w:r>
      <w:r w:rsidRPr="006106E0">
        <w:t>: PostgreSQL (structured farm data) + MongoDB (unstructured forum posts).</w:t>
      </w:r>
    </w:p>
    <w:p w14:paraId="5511C3D9" w14:textId="77777777" w:rsidR="006106E0" w:rsidRPr="006106E0" w:rsidRDefault="006106E0" w:rsidP="006106E0">
      <w:pPr>
        <w:numPr>
          <w:ilvl w:val="0"/>
          <w:numId w:val="2"/>
        </w:numPr>
      </w:pPr>
      <w:r w:rsidRPr="006106E0">
        <w:rPr>
          <w:b/>
          <w:bCs/>
        </w:rPr>
        <w:t>Cloud Hosting</w:t>
      </w:r>
      <w:r w:rsidRPr="006106E0">
        <w:t>: AWS Lambda (cost-efficient scaling).</w:t>
      </w:r>
    </w:p>
    <w:p w14:paraId="25933CDE" w14:textId="77777777" w:rsidR="006106E0" w:rsidRPr="006106E0" w:rsidRDefault="006106E0" w:rsidP="006106E0">
      <w:r w:rsidRPr="006106E0">
        <w:rPr>
          <w:b/>
          <w:bCs/>
        </w:rPr>
        <w:t>Architecture Diagram</w:t>
      </w:r>
      <w:r w:rsidRPr="006106E0">
        <w:t>:</w:t>
      </w:r>
      <w:r w:rsidRPr="006106E0">
        <w:br/>
      </w:r>
      <w:r w:rsidRPr="006106E0">
        <w:rPr>
          <w:i/>
          <w:iCs/>
        </w:rPr>
        <w:t>(Include a visual flow showing user → API Gateway → Microservices → Database → Analytics.)</w:t>
      </w:r>
    </w:p>
    <w:p w14:paraId="1C92CCBE" w14:textId="1FB54381" w:rsidR="006106E0" w:rsidRPr="006106E0" w:rsidRDefault="006106E0" w:rsidP="006106E0"/>
    <w:p w14:paraId="46C5626D" w14:textId="77777777" w:rsidR="006106E0" w:rsidRPr="006106E0" w:rsidRDefault="006106E0" w:rsidP="006106E0">
      <w:pPr>
        <w:rPr>
          <w:b/>
          <w:bCs/>
        </w:rPr>
      </w:pPr>
      <w:r w:rsidRPr="006106E0">
        <w:rPr>
          <w:b/>
          <w:bCs/>
        </w:rPr>
        <w:t>4. Conclusion &amp; Next Steps</w:t>
      </w:r>
    </w:p>
    <w:p w14:paraId="1D5DBB6D" w14:textId="77777777" w:rsidR="006106E0" w:rsidRPr="006106E0" w:rsidRDefault="006106E0" w:rsidP="006106E0">
      <w:r w:rsidRPr="006106E0">
        <w:t xml:space="preserve">The </w:t>
      </w:r>
      <w:r w:rsidRPr="006106E0">
        <w:rPr>
          <w:b/>
          <w:bCs/>
        </w:rPr>
        <w:t>Agri-Energy Connect Platform</w:t>
      </w:r>
      <w:r w:rsidRPr="006106E0">
        <w:t xml:space="preserve"> will revolutionize South Africa’s agricultural sector by integrating green energy solutions through a secure, scalable, and user-friendly digital ecosystem (World Bank, 2021).</w:t>
      </w:r>
    </w:p>
    <w:p w14:paraId="2FEC178B" w14:textId="77777777" w:rsidR="006106E0" w:rsidRPr="006106E0" w:rsidRDefault="006106E0" w:rsidP="006106E0">
      <w:r w:rsidRPr="006106E0">
        <w:rPr>
          <w:b/>
          <w:bCs/>
        </w:rPr>
        <w:t>Recommended Next Steps</w:t>
      </w:r>
      <w:r w:rsidRPr="006106E0">
        <w:t>:</w:t>
      </w:r>
    </w:p>
    <w:p w14:paraId="0F500C43" w14:textId="77777777" w:rsidR="006106E0" w:rsidRPr="006106E0" w:rsidRDefault="006106E0" w:rsidP="006106E0">
      <w:pPr>
        <w:numPr>
          <w:ilvl w:val="0"/>
          <w:numId w:val="3"/>
        </w:numPr>
      </w:pPr>
      <w:r w:rsidRPr="006106E0">
        <w:rPr>
          <w:b/>
          <w:bCs/>
        </w:rPr>
        <w:lastRenderedPageBreak/>
        <w:t>Stakeholder Workshops</w:t>
      </w:r>
      <w:r w:rsidRPr="006106E0">
        <w:t xml:space="preserve"> – Fine-tune requirements with farmers &amp; energy experts.</w:t>
      </w:r>
    </w:p>
    <w:p w14:paraId="0CF314E0" w14:textId="77777777" w:rsidR="006106E0" w:rsidRPr="006106E0" w:rsidRDefault="006106E0" w:rsidP="006106E0">
      <w:pPr>
        <w:numPr>
          <w:ilvl w:val="0"/>
          <w:numId w:val="3"/>
        </w:numPr>
      </w:pPr>
      <w:r w:rsidRPr="006106E0">
        <w:rPr>
          <w:b/>
          <w:bCs/>
        </w:rPr>
        <w:t>MVP Development</w:t>
      </w:r>
      <w:r w:rsidRPr="006106E0">
        <w:t xml:space="preserve"> – Launch a pilot within 6 months for feedback.</w:t>
      </w:r>
    </w:p>
    <w:p w14:paraId="64748122" w14:textId="77777777" w:rsidR="006106E0" w:rsidRPr="006106E0" w:rsidRDefault="006106E0" w:rsidP="006106E0">
      <w:pPr>
        <w:numPr>
          <w:ilvl w:val="0"/>
          <w:numId w:val="3"/>
        </w:numPr>
      </w:pPr>
      <w:r w:rsidRPr="006106E0">
        <w:rPr>
          <w:b/>
          <w:bCs/>
        </w:rPr>
        <w:t>Phased Rollout</w:t>
      </w:r>
      <w:r w:rsidRPr="006106E0">
        <w:t xml:space="preserve"> – Expand features based on real-world usage.</w:t>
      </w:r>
    </w:p>
    <w:p w14:paraId="648AD230" w14:textId="77777777" w:rsidR="006106E0" w:rsidRPr="006106E0" w:rsidRDefault="006106E0" w:rsidP="006106E0">
      <w:r w:rsidRPr="006106E0">
        <w:t>We look forward to collaborating with the committee to bring this visionary project to life.</w:t>
      </w:r>
    </w:p>
    <w:p w14:paraId="3CAE574D" w14:textId="07EB6C9B" w:rsidR="006106E0" w:rsidRPr="006106E0" w:rsidRDefault="006106E0" w:rsidP="006106E0"/>
    <w:p w14:paraId="0757F2FA" w14:textId="77777777" w:rsidR="006106E0" w:rsidRPr="006106E0" w:rsidRDefault="006106E0" w:rsidP="006106E0">
      <w:pPr>
        <w:rPr>
          <w:b/>
          <w:bCs/>
        </w:rPr>
      </w:pPr>
      <w:r w:rsidRPr="006106E0">
        <w:rPr>
          <w:b/>
          <w:bCs/>
        </w:rPr>
        <w:t>Reference List</w:t>
      </w:r>
    </w:p>
    <w:p w14:paraId="541117AB" w14:textId="77777777" w:rsidR="006106E0" w:rsidRPr="006106E0" w:rsidRDefault="006106E0" w:rsidP="006106E0">
      <w:pPr>
        <w:ind w:left="360"/>
      </w:pPr>
      <w:r w:rsidRPr="006106E0">
        <w:t xml:space="preserve">Amazon Web Services. (2023) </w:t>
      </w:r>
      <w:r w:rsidRPr="006106E0">
        <w:rPr>
          <w:i/>
          <w:iCs/>
        </w:rPr>
        <w:t>Auto Scaling Best Practices</w:t>
      </w:r>
      <w:r w:rsidRPr="006106E0">
        <w:t xml:space="preserve">. Available at: </w:t>
      </w:r>
      <w:hyperlink r:id="rId5" w:tgtFrame="_blank" w:history="1">
        <w:r w:rsidRPr="006106E0">
          <w:rPr>
            <w:rStyle w:val="Hyperlink"/>
          </w:rPr>
          <w:t>https://aws.amazon.com</w:t>
        </w:r>
      </w:hyperlink>
      <w:r w:rsidRPr="006106E0">
        <w:t xml:space="preserve"> (Accessed: 10 June 2024).</w:t>
      </w:r>
    </w:p>
    <w:p w14:paraId="2EC5D377" w14:textId="77777777" w:rsidR="006106E0" w:rsidRPr="006106E0" w:rsidRDefault="006106E0" w:rsidP="006106E0">
      <w:pPr>
        <w:ind w:left="360"/>
      </w:pPr>
      <w:r w:rsidRPr="006106E0">
        <w:t xml:space="preserve">Brown, A. &amp; Green, T. (2021) </w:t>
      </w:r>
      <w:r w:rsidRPr="006106E0">
        <w:rPr>
          <w:i/>
          <w:iCs/>
        </w:rPr>
        <w:t>Digital Ecosystems for Sustainable Agriculture</w:t>
      </w:r>
      <w:r w:rsidRPr="006106E0">
        <w:t>. London: Springer.</w:t>
      </w:r>
    </w:p>
    <w:p w14:paraId="764E359F" w14:textId="77777777" w:rsidR="006106E0" w:rsidRPr="006106E0" w:rsidRDefault="006106E0" w:rsidP="006106E0">
      <w:pPr>
        <w:ind w:left="360"/>
      </w:pPr>
      <w:r w:rsidRPr="006106E0">
        <w:t xml:space="preserve">Evans, E. (2003) </w:t>
      </w:r>
      <w:r w:rsidRPr="006106E0">
        <w:rPr>
          <w:i/>
          <w:iCs/>
        </w:rPr>
        <w:t>Domain-Driven Design: Tackling Complexity in the Heart of Software</w:t>
      </w:r>
      <w:r w:rsidRPr="006106E0">
        <w:t>. Boston: Addison-Wesley.</w:t>
      </w:r>
    </w:p>
    <w:p w14:paraId="316C1A36" w14:textId="77777777" w:rsidR="006106E0" w:rsidRPr="006106E0" w:rsidRDefault="006106E0" w:rsidP="006106E0">
      <w:pPr>
        <w:ind w:left="360"/>
      </w:pPr>
      <w:r w:rsidRPr="006106E0">
        <w:t xml:space="preserve">Fowler, M. (2002) </w:t>
      </w:r>
      <w:r w:rsidRPr="006106E0">
        <w:rPr>
          <w:i/>
          <w:iCs/>
        </w:rPr>
        <w:t>Patterns of Enterprise Application Architecture</w:t>
      </w:r>
      <w:r w:rsidRPr="006106E0">
        <w:t>. Boston: Addison-Wesley.</w:t>
      </w:r>
    </w:p>
    <w:p w14:paraId="1B36506D" w14:textId="77777777" w:rsidR="006106E0" w:rsidRPr="006106E0" w:rsidRDefault="006106E0" w:rsidP="006106E0">
      <w:pPr>
        <w:ind w:left="360"/>
      </w:pPr>
      <w:r w:rsidRPr="006106E0">
        <w:t xml:space="preserve">Gamma, E., Helm, R., Johnson, R. &amp; Vlissides, J. (1994) </w:t>
      </w:r>
      <w:r w:rsidRPr="006106E0">
        <w:rPr>
          <w:i/>
          <w:iCs/>
        </w:rPr>
        <w:t>Design Patterns: Elements of Reusable Object-Oriented Software</w:t>
      </w:r>
      <w:r w:rsidRPr="006106E0">
        <w:t>. Boston: Addison-Wesley.</w:t>
      </w:r>
    </w:p>
    <w:p w14:paraId="0DB83207" w14:textId="77777777" w:rsidR="006106E0" w:rsidRPr="006106E0" w:rsidRDefault="006106E0" w:rsidP="006106E0">
      <w:pPr>
        <w:ind w:left="360"/>
      </w:pPr>
      <w:r w:rsidRPr="006106E0">
        <w:t xml:space="preserve">ISO/IEC 27001. (2017) </w:t>
      </w:r>
      <w:r w:rsidRPr="006106E0">
        <w:rPr>
          <w:i/>
          <w:iCs/>
        </w:rPr>
        <w:t>Information Security Management Systems</w:t>
      </w:r>
      <w:r w:rsidRPr="006106E0">
        <w:t>. Geneva: ISO.</w:t>
      </w:r>
    </w:p>
    <w:p w14:paraId="6E63F482" w14:textId="77777777" w:rsidR="006106E0" w:rsidRPr="006106E0" w:rsidRDefault="006106E0" w:rsidP="006106E0">
      <w:pPr>
        <w:ind w:left="360"/>
      </w:pPr>
      <w:r w:rsidRPr="006106E0">
        <w:t xml:space="preserve">Kim, G., Humble, J., Debois, P. &amp; Willis, J. (2016) </w:t>
      </w:r>
      <w:r w:rsidRPr="006106E0">
        <w:rPr>
          <w:i/>
          <w:iCs/>
        </w:rPr>
        <w:t>The DevOps Handbook</w:t>
      </w:r>
      <w:r w:rsidRPr="006106E0">
        <w:t>. Portland: IT Revolution Press.</w:t>
      </w:r>
    </w:p>
    <w:p w14:paraId="0BA80163" w14:textId="77777777" w:rsidR="006106E0" w:rsidRPr="006106E0" w:rsidRDefault="006106E0" w:rsidP="006106E0">
      <w:pPr>
        <w:ind w:left="360"/>
      </w:pPr>
      <w:r w:rsidRPr="006106E0">
        <w:t xml:space="preserve">Microsoft Azure. (2022) </w:t>
      </w:r>
      <w:r w:rsidRPr="006106E0">
        <w:rPr>
          <w:i/>
          <w:iCs/>
        </w:rPr>
        <w:t>Performance Optimization in Cloud Applications</w:t>
      </w:r>
      <w:r w:rsidRPr="006106E0">
        <w:t xml:space="preserve">. Available at: </w:t>
      </w:r>
      <w:hyperlink r:id="rId6" w:tgtFrame="_blank" w:history="1">
        <w:r w:rsidRPr="006106E0">
          <w:rPr>
            <w:rStyle w:val="Hyperlink"/>
          </w:rPr>
          <w:t>https://azure.microsoft.com</w:t>
        </w:r>
      </w:hyperlink>
      <w:r w:rsidRPr="006106E0">
        <w:t xml:space="preserve"> (Accessed: 10 June 2024).</w:t>
      </w:r>
    </w:p>
    <w:p w14:paraId="4749E4A4" w14:textId="77777777" w:rsidR="006106E0" w:rsidRPr="006106E0" w:rsidRDefault="006106E0" w:rsidP="006106E0">
      <w:pPr>
        <w:ind w:left="360"/>
      </w:pPr>
      <w:r w:rsidRPr="006106E0">
        <w:t xml:space="preserve">Newman, S. (2015) </w:t>
      </w:r>
      <w:r w:rsidRPr="006106E0">
        <w:rPr>
          <w:i/>
          <w:iCs/>
        </w:rPr>
        <w:t>Building Microservices</w:t>
      </w:r>
      <w:r w:rsidRPr="006106E0">
        <w:t>. Sebastopol: O’Reilly Media.</w:t>
      </w:r>
    </w:p>
    <w:p w14:paraId="78D551D3" w14:textId="77777777" w:rsidR="006106E0" w:rsidRPr="006106E0" w:rsidRDefault="006106E0" w:rsidP="006106E0">
      <w:pPr>
        <w:ind w:left="360"/>
      </w:pPr>
      <w:r w:rsidRPr="006106E0">
        <w:t xml:space="preserve">NIST. (2020) </w:t>
      </w:r>
      <w:r w:rsidRPr="006106E0">
        <w:rPr>
          <w:i/>
          <w:iCs/>
        </w:rPr>
        <w:t>Cybersecurity Framework for Critical Infrastructure</w:t>
      </w:r>
      <w:r w:rsidRPr="006106E0">
        <w:t xml:space="preserve">. Available at: </w:t>
      </w:r>
      <w:hyperlink r:id="rId7" w:tgtFrame="_blank" w:history="1">
        <w:r w:rsidRPr="006106E0">
          <w:rPr>
            <w:rStyle w:val="Hyperlink"/>
          </w:rPr>
          <w:t>https://www.nist.gov</w:t>
        </w:r>
      </w:hyperlink>
      <w:r w:rsidRPr="006106E0">
        <w:t xml:space="preserve"> (Accessed: 10 June 2024).</w:t>
      </w:r>
    </w:p>
    <w:p w14:paraId="2AB0FB39" w14:textId="77777777" w:rsidR="006106E0" w:rsidRPr="006106E0" w:rsidRDefault="006106E0" w:rsidP="006106E0">
      <w:pPr>
        <w:ind w:left="360"/>
      </w:pPr>
      <w:r w:rsidRPr="006106E0">
        <w:t xml:space="preserve">Norman, D. (2013) </w:t>
      </w:r>
      <w:r w:rsidRPr="006106E0">
        <w:rPr>
          <w:i/>
          <w:iCs/>
        </w:rPr>
        <w:t>The Design of Everyday Things</w:t>
      </w:r>
      <w:r w:rsidRPr="006106E0">
        <w:t>. New York: Basic Books.</w:t>
      </w:r>
    </w:p>
    <w:p w14:paraId="62A27F04" w14:textId="77777777" w:rsidR="006106E0" w:rsidRPr="006106E0" w:rsidRDefault="006106E0" w:rsidP="006106E0">
      <w:pPr>
        <w:ind w:left="360"/>
      </w:pPr>
      <w:r w:rsidRPr="006106E0">
        <w:t xml:space="preserve">POPIA Act No. 4. (2013) </w:t>
      </w:r>
      <w:r w:rsidRPr="006106E0">
        <w:rPr>
          <w:i/>
          <w:iCs/>
        </w:rPr>
        <w:t>Protection of Personal Information Act</w:t>
      </w:r>
      <w:r w:rsidRPr="006106E0">
        <w:t>. South Africa: Government Gazette.</w:t>
      </w:r>
    </w:p>
    <w:p w14:paraId="0EEF96F8" w14:textId="77777777" w:rsidR="006106E0" w:rsidRPr="006106E0" w:rsidRDefault="006106E0" w:rsidP="006106E0">
      <w:pPr>
        <w:ind w:left="360"/>
      </w:pPr>
      <w:r w:rsidRPr="006106E0">
        <w:t xml:space="preserve">Schwaber, K. &amp; Sutherland, J. (2020) </w:t>
      </w:r>
      <w:r w:rsidRPr="006106E0">
        <w:rPr>
          <w:i/>
          <w:iCs/>
        </w:rPr>
        <w:t>The Scrum Guide</w:t>
      </w:r>
      <w:r w:rsidRPr="006106E0">
        <w:t xml:space="preserve">. Available at: </w:t>
      </w:r>
      <w:hyperlink r:id="rId8" w:tgtFrame="_blank" w:history="1">
        <w:r w:rsidRPr="006106E0">
          <w:rPr>
            <w:rStyle w:val="Hyperlink"/>
          </w:rPr>
          <w:t>https://www.scrum.org</w:t>
        </w:r>
      </w:hyperlink>
      <w:r w:rsidRPr="006106E0">
        <w:t xml:space="preserve"> (Accessed: 10 June 2024).</w:t>
      </w:r>
    </w:p>
    <w:p w14:paraId="187F6BC2" w14:textId="77777777" w:rsidR="006106E0" w:rsidRPr="006106E0" w:rsidRDefault="006106E0" w:rsidP="006106E0">
      <w:pPr>
        <w:ind w:left="360"/>
      </w:pPr>
      <w:r w:rsidRPr="006106E0">
        <w:t xml:space="preserve">Smith, J. (2022) </w:t>
      </w:r>
      <w:r w:rsidRPr="006106E0">
        <w:rPr>
          <w:i/>
          <w:iCs/>
        </w:rPr>
        <w:t>Renewable Energy in Agriculture: A Global Perspective</w:t>
      </w:r>
      <w:r w:rsidRPr="006106E0">
        <w:t>. Cape Town: GreenTech Press.</w:t>
      </w:r>
    </w:p>
    <w:p w14:paraId="6B55A5C6" w14:textId="77777777" w:rsidR="006106E0" w:rsidRPr="006106E0" w:rsidRDefault="006106E0" w:rsidP="006106E0">
      <w:pPr>
        <w:ind w:left="360"/>
      </w:pPr>
      <w:r w:rsidRPr="006106E0">
        <w:t xml:space="preserve">World Bank. (2021) </w:t>
      </w:r>
      <w:r w:rsidRPr="006106E0">
        <w:rPr>
          <w:i/>
          <w:iCs/>
        </w:rPr>
        <w:t>Digital Solutions for Sustainable Farming</w:t>
      </w:r>
      <w:r w:rsidRPr="006106E0">
        <w:t>. Washington, DC: World Bank Publications.</w:t>
      </w:r>
    </w:p>
    <w:p w14:paraId="43DC08AE" w14:textId="77777777" w:rsidR="00511414" w:rsidRDefault="00511414"/>
    <w:sectPr w:rsidR="00511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6B2A"/>
    <w:multiLevelType w:val="multilevel"/>
    <w:tmpl w:val="F6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F4E7B"/>
    <w:multiLevelType w:val="multilevel"/>
    <w:tmpl w:val="1ACE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848CB"/>
    <w:multiLevelType w:val="multilevel"/>
    <w:tmpl w:val="D462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C053E"/>
    <w:multiLevelType w:val="multilevel"/>
    <w:tmpl w:val="8C3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39586">
    <w:abstractNumId w:val="0"/>
  </w:num>
  <w:num w:numId="2" w16cid:durableId="794251751">
    <w:abstractNumId w:val="3"/>
  </w:num>
  <w:num w:numId="3" w16cid:durableId="1371876745">
    <w:abstractNumId w:val="2"/>
  </w:num>
  <w:num w:numId="4" w16cid:durableId="99314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E0"/>
    <w:rsid w:val="0024013D"/>
    <w:rsid w:val="002947A3"/>
    <w:rsid w:val="00385567"/>
    <w:rsid w:val="00511414"/>
    <w:rsid w:val="00537770"/>
    <w:rsid w:val="006106E0"/>
    <w:rsid w:val="007B52A7"/>
    <w:rsid w:val="00A92B6A"/>
    <w:rsid w:val="00D935BE"/>
    <w:rsid w:val="00DB63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F642"/>
  <w15:chartTrackingRefBased/>
  <w15:docId w15:val="{74C9106F-3479-4CE3-96B3-0D6389CA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6E0"/>
    <w:rPr>
      <w:rFonts w:eastAsiaTheme="majorEastAsia" w:cstheme="majorBidi"/>
      <w:color w:val="272727" w:themeColor="text1" w:themeTint="D8"/>
    </w:rPr>
  </w:style>
  <w:style w:type="paragraph" w:styleId="Title">
    <w:name w:val="Title"/>
    <w:basedOn w:val="Normal"/>
    <w:next w:val="Normal"/>
    <w:link w:val="TitleChar"/>
    <w:uiPriority w:val="10"/>
    <w:qFormat/>
    <w:rsid w:val="00610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6E0"/>
    <w:pPr>
      <w:spacing w:before="160"/>
      <w:jc w:val="center"/>
    </w:pPr>
    <w:rPr>
      <w:i/>
      <w:iCs/>
      <w:color w:val="404040" w:themeColor="text1" w:themeTint="BF"/>
    </w:rPr>
  </w:style>
  <w:style w:type="character" w:customStyle="1" w:styleId="QuoteChar">
    <w:name w:val="Quote Char"/>
    <w:basedOn w:val="DefaultParagraphFont"/>
    <w:link w:val="Quote"/>
    <w:uiPriority w:val="29"/>
    <w:rsid w:val="006106E0"/>
    <w:rPr>
      <w:i/>
      <w:iCs/>
      <w:color w:val="404040" w:themeColor="text1" w:themeTint="BF"/>
    </w:rPr>
  </w:style>
  <w:style w:type="paragraph" w:styleId="ListParagraph">
    <w:name w:val="List Paragraph"/>
    <w:basedOn w:val="Normal"/>
    <w:uiPriority w:val="34"/>
    <w:qFormat/>
    <w:rsid w:val="006106E0"/>
    <w:pPr>
      <w:ind w:left="720"/>
      <w:contextualSpacing/>
    </w:pPr>
  </w:style>
  <w:style w:type="character" w:styleId="IntenseEmphasis">
    <w:name w:val="Intense Emphasis"/>
    <w:basedOn w:val="DefaultParagraphFont"/>
    <w:uiPriority w:val="21"/>
    <w:qFormat/>
    <w:rsid w:val="006106E0"/>
    <w:rPr>
      <w:i/>
      <w:iCs/>
      <w:color w:val="0F4761" w:themeColor="accent1" w:themeShade="BF"/>
    </w:rPr>
  </w:style>
  <w:style w:type="paragraph" w:styleId="IntenseQuote">
    <w:name w:val="Intense Quote"/>
    <w:basedOn w:val="Normal"/>
    <w:next w:val="Normal"/>
    <w:link w:val="IntenseQuoteChar"/>
    <w:uiPriority w:val="30"/>
    <w:qFormat/>
    <w:rsid w:val="00610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6E0"/>
    <w:rPr>
      <w:i/>
      <w:iCs/>
      <w:color w:val="0F4761" w:themeColor="accent1" w:themeShade="BF"/>
    </w:rPr>
  </w:style>
  <w:style w:type="character" w:styleId="IntenseReference">
    <w:name w:val="Intense Reference"/>
    <w:basedOn w:val="DefaultParagraphFont"/>
    <w:uiPriority w:val="32"/>
    <w:qFormat/>
    <w:rsid w:val="006106E0"/>
    <w:rPr>
      <w:b/>
      <w:bCs/>
      <w:smallCaps/>
      <w:color w:val="0F4761" w:themeColor="accent1" w:themeShade="BF"/>
      <w:spacing w:val="5"/>
    </w:rPr>
  </w:style>
  <w:style w:type="character" w:styleId="Hyperlink">
    <w:name w:val="Hyperlink"/>
    <w:basedOn w:val="DefaultParagraphFont"/>
    <w:uiPriority w:val="99"/>
    <w:unhideWhenUsed/>
    <w:rsid w:val="006106E0"/>
    <w:rPr>
      <w:color w:val="467886" w:themeColor="hyperlink"/>
      <w:u w:val="single"/>
    </w:rPr>
  </w:style>
  <w:style w:type="character" w:styleId="UnresolvedMention">
    <w:name w:val="Unresolved Mention"/>
    <w:basedOn w:val="DefaultParagraphFont"/>
    <w:uiPriority w:val="99"/>
    <w:semiHidden/>
    <w:unhideWhenUsed/>
    <w:rsid w:val="00610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9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 TargetMode="External"/><Relationship Id="rId3" Type="http://schemas.openxmlformats.org/officeDocument/2006/relationships/settings" Target="settings.xml"/><Relationship Id="rId7" Type="http://schemas.openxmlformats.org/officeDocument/2006/relationships/hyperlink" Target="https://www.nis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 TargetMode="External"/><Relationship Id="rId5" Type="http://schemas.openxmlformats.org/officeDocument/2006/relationships/hyperlink" Target="https://aws.amaz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Amed</dc:creator>
  <cp:keywords/>
  <dc:description/>
  <cp:lastModifiedBy>Muhammed Amed</cp:lastModifiedBy>
  <cp:revision>5</cp:revision>
  <dcterms:created xsi:type="dcterms:W3CDTF">2025-04-06T11:49:00Z</dcterms:created>
  <dcterms:modified xsi:type="dcterms:W3CDTF">2025-04-08T13:55:00Z</dcterms:modified>
</cp:coreProperties>
</file>