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No.</w:t>
            </w:r>
          </w:p>
        </w:tc>
        <w:tc>
          <w:tcPr>
            <w:tcW w:type="dxa" w:w="2160"/>
          </w:tcPr>
          <w:p>
            <w:r>
              <w:t>Heading</w:t>
            </w:r>
          </w:p>
        </w:tc>
        <w:tc>
          <w:tcPr>
            <w:tcW w:type="dxa" w:w="2160"/>
          </w:tcPr>
          <w:p>
            <w:r>
              <w:t>Level</w:t>
            </w:r>
          </w:p>
        </w:tc>
        <w:tc>
          <w:tcPr>
            <w:tcW w:type="dxa" w:w="2160"/>
          </w:tcPr>
          <w:p>
            <w:r>
              <w:t>Page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Five User Engagement Strategies for a Municipal Services App</w:t>
            </w:r>
          </w:p>
        </w:tc>
        <w:tc>
          <w:tcPr>
            <w:tcW w:type="dxa" w:w="2160"/>
          </w:tcPr>
          <w:p>
            <w:r>
              <w:t>H1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Inclusive, Stakeholder-Driven Participation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Transparent Two-Way Communication &amp; Feedback Loops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Digital &amp; E-Participation Platforms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Community Co-Design and Co-Creation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Trust-Centred Relationship Building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Chosen User Engagement Strategy: Transparent Two-Way Communication &amp; Feedback Loops</w:t>
            </w:r>
          </w:p>
        </w:tc>
        <w:tc>
          <w:tcPr>
            <w:tcW w:type="dxa" w:w="2160"/>
          </w:tcPr>
          <w:p>
            <w:r>
              <w:t>H1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Why This Strategy Was Chosen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2.1.1</w:t>
            </w:r>
          </w:p>
        </w:tc>
        <w:tc>
          <w:tcPr>
            <w:tcW w:type="dxa" w:w="2160"/>
          </w:tcPr>
          <w:p>
            <w:r>
              <w:t>Direct Relevance to the App’s Core Functions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2.1.2</w:t>
            </w:r>
          </w:p>
        </w:tc>
        <w:tc>
          <w:tcPr>
            <w:tcW w:type="dxa" w:w="2160"/>
          </w:tcPr>
          <w:p>
            <w:r>
              <w:t>Addresses South African Challenges of Trust and Accountability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2.1.3</w:t>
            </w:r>
          </w:p>
        </w:tc>
        <w:tc>
          <w:tcPr>
            <w:tcW w:type="dxa" w:w="2160"/>
          </w:tcPr>
          <w:p>
            <w:r>
              <w:t>Encourages Ongoing Engagement Rather Than One-Time Participation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Comprehensive Explanation of Advantages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Effective Execution in the Municipal Services Application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Conclusion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Referencing</w:t>
            </w:r>
          </w:p>
        </w:tc>
        <w:tc>
          <w:tcPr>
            <w:tcW w:type="dxa" w:w="2160"/>
          </w:tcPr>
          <w:p>
            <w:r>
              <w:t>H1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AI Disclosure</w:t>
            </w:r>
          </w:p>
        </w:tc>
        <w:tc>
          <w:tcPr>
            <w:tcW w:type="dxa" w:w="2160"/>
          </w:tcPr>
          <w:p>
            <w:r>
              <w:t>H1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Annexure A</w:t>
            </w:r>
          </w:p>
        </w:tc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4.1.1</w:t>
            </w:r>
          </w:p>
        </w:tc>
        <w:tc>
          <w:tcPr>
            <w:tcW w:type="dxa" w:w="2160"/>
          </w:tcPr>
          <w:p>
            <w:r>
              <w:t>Title: Disclosure of AI Usage in my POE.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4.1.2</w:t>
            </w:r>
          </w:p>
        </w:tc>
        <w:tc>
          <w:tcPr>
            <w:tcW w:type="dxa" w:w="2160"/>
          </w:tcPr>
          <w:p>
            <w:r>
              <w:t>Section: List 5 user engagement strategies considered during your research.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4.1.3</w:t>
            </w:r>
          </w:p>
        </w:tc>
        <w:tc>
          <w:tcPr>
            <w:tcW w:type="dxa" w:w="2160"/>
          </w:tcPr>
          <w:p>
            <w:r>
              <w:t>Name of AI Tool used: ChatGPT (OpenAI, 2025 version via ChatGPT Plus)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4.1.4</w:t>
            </w:r>
          </w:p>
        </w:tc>
        <w:tc>
          <w:tcPr>
            <w:tcW w:type="dxa" w:w="2160"/>
          </w:tcPr>
          <w:p>
            <w:r>
              <w:t>Date: 01 September 2025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4.1.5</w:t>
            </w:r>
          </w:p>
        </w:tc>
        <w:tc>
          <w:tcPr>
            <w:tcW w:type="dxa" w:w="2160"/>
          </w:tcPr>
          <w:p>
            <w:r>
              <w:t>Link:</w:t>
            </w:r>
          </w:p>
        </w:tc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