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Empowering the Nation - Logo</w:t>
      </w:r>
    </w:p>
    <w:p>
      <w:r>
        <w:drawing>
          <wp:inline xmlns:a="http://schemas.openxmlformats.org/drawingml/2006/main" xmlns:pic="http://schemas.openxmlformats.org/drawingml/2006/picture">
            <wp:extent cx="3657600" cy="5486400"/>
            <wp:docPr id="1" name="Picture 1"/>
            <wp:cNvGraphicFramePr>
              <a:graphicFrameLocks noChangeAspect="1"/>
            </wp:cNvGraphicFramePr>
            <a:graphic>
              <a:graphicData uri="http://schemas.openxmlformats.org/drawingml/2006/picture">
                <pic:pic>
                  <pic:nvPicPr>
                    <pic:cNvPr id="0" name="A_report_page_for_the_proposed_web_page_and_mobile.png"/>
                    <pic:cNvPicPr/>
                  </pic:nvPicPr>
                  <pic:blipFill>
                    <a:blip r:embed="rId9"/>
                    <a:stretch>
                      <a:fillRect/>
                    </a:stretch>
                  </pic:blipFill>
                  <pic:spPr>
                    <a:xfrm>
                      <a:off x="0" y="0"/>
                      <a:ext cx="3657600" cy="5486400"/>
                    </a:xfrm>
                    <a:prstGeom prst="rect"/>
                  </pic:spPr>
                </pic:pic>
              </a:graphicData>
            </a:graphic>
          </wp:inline>
        </w:drawing>
      </w:r>
    </w:p>
    <w:p>
      <w:r>
        <w:t>Concept: A stylized hand holding a small tree, symbolizing growth and support. Green represents renewal and development, while gold represents achievement and value. The logo is clean and uncluttered to ensure clarity on both mobile and desktop platforms.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