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b/>
          <w:bCs/>
          <w:color w:val="00857A"/>
          <w:sz w:val="56"/>
          <w:szCs w:val="56"/>
        </w:rPr>
        <w:t xml:space="preserve">StreetCheck Data Query Tool</w:t>
      </w:r>
    </w:p>
    <w:p>
      <w:pPr>
        <w:spacing w:after="120"/>
      </w:pPr>
      <w:r>
        <w:rPr>
          <w:b/>
          <w:bCs/>
          <w:color w:val="1A2B3C"/>
          <w:sz w:val="40"/>
          <w:szCs w:val="40"/>
        </w:rPr>
        <w:t xml:space="preserve">User Guide</w:t>
      </w:r>
    </w:p>
    <w:p>
      <w:pPr>
        <w:pBdr>
          <w:bottom w:val="single" w:color="00857A" w:sz="12" w:space="8"/>
        </w:pBdr>
        <w:spacing w:after="360"/>
      </w:pPr>
      <w:r>
        <w:rPr>
          <w:i/>
          <w:iCs/>
          <w:color w:val="5A6A7A"/>
          <w:sz w:val="22"/>
          <w:szCs w:val="22"/>
        </w:rPr>
        <w:t xml:space="preserve">Powered by StreetCheck • OPIC at Brandeis University</w:t>
      </w:r>
    </w:p>
    <w:p>
      <w:pPr>
        <w:pStyle w:val="Heading1"/>
        <w:spacing w:after="180" w:before="360"/>
      </w:pPr>
      <w:r>
        <w:rPr>
          <w:b/>
          <w:bCs/>
          <w:color w:val="00857A"/>
          <w:sz w:val="36"/>
          <w:szCs w:val="36"/>
        </w:rPr>
        <w:t xml:space="preserve">How It Works</w:t>
      </w:r>
    </w:p>
    <w:p>
      <w:pPr>
        <w:spacing w:after="120" w:line="300"/>
      </w:pPr>
      <w:r>
        <w:rPr>
          <w:b/>
          <w:bCs/>
          <w:color w:val="00857A"/>
          <w:sz w:val="22"/>
          <w:szCs w:val="22"/>
        </w:rPr>
        <w:t xml:space="preserve">1. </w:t>
      </w:r>
      <w:r>
        <w:rPr>
          <w:b/>
          <w:bCs/>
          <w:color w:val="1A2B3C"/>
          <w:sz w:val="22"/>
          <w:szCs w:val="22"/>
        </w:rPr>
        <w:t xml:space="preserve">Upload your Excel file </w:t>
      </w:r>
      <w:r>
        <w:rPr>
          <w:color w:val="1A2B3C"/>
          <w:sz w:val="22"/>
          <w:szCs w:val="22"/>
        </w:rPr>
        <w:t xml:space="preserve">in the sidebar on the left side of the page. The tool reads it and shows a quick summary of how many samples are in your data.</w:t>
      </w:r>
    </w:p>
    <w:p>
      <w:pPr>
        <w:spacing w:after="120" w:line="300"/>
      </w:pPr>
      <w:r>
        <w:rPr>
          <w:b/>
          <w:bCs/>
          <w:color w:val="00857A"/>
          <w:sz w:val="22"/>
          <w:szCs w:val="22"/>
        </w:rPr>
        <w:t xml:space="preserve">2. </w:t>
      </w:r>
      <w:r>
        <w:rPr>
          <w:b/>
          <w:bCs/>
          <w:color w:val="1A2B3C"/>
          <w:sz w:val="22"/>
          <w:szCs w:val="22"/>
        </w:rPr>
        <w:t xml:space="preserve">Ask a question </w:t>
      </w:r>
      <w:r>
        <w:rPr>
          <w:color w:val="1A2B3C"/>
          <w:sz w:val="22"/>
          <w:szCs w:val="22"/>
        </w:rPr>
        <w:t xml:space="preserve">in plain English in the main panel, or click one of the example chips to pre-fill a common question. Then click “Ask →”.</w:t>
      </w:r>
    </w:p>
    <w:p>
      <w:pPr>
        <w:spacing w:after="120" w:line="300"/>
      </w:pPr>
      <w:r>
        <w:rPr>
          <w:b/>
          <w:bCs/>
          <w:color w:val="00857A"/>
          <w:sz w:val="22"/>
          <w:szCs w:val="22"/>
        </w:rPr>
        <w:t xml:space="preserve">3. </w:t>
      </w:r>
      <w:r>
        <w:rPr>
          <w:b/>
          <w:bCs/>
          <w:color w:val="1A2B3C"/>
          <w:sz w:val="22"/>
          <w:szCs w:val="22"/>
        </w:rPr>
        <w:t xml:space="preserve">Get an answer instantly. </w:t>
      </w:r>
      <w:r>
        <w:rPr>
          <w:color w:val="1A2B3C"/>
          <w:sz w:val="22"/>
          <w:szCs w:val="22"/>
        </w:rPr>
        <w:t xml:space="preserve">The tool replies with a written summary plus the right kind of visual — a chart, table, ranked list, or key numbers — that you can download in several formats.</w:t>
      </w:r>
    </w:p>
    <w:p>
      <w:pPr>
        <w:pBdr>
          <w:left w:val="single" w:color="00857A" w:sz="24" w:space="12"/>
        </w:pBdr>
        <w:spacing w:after="200" w:before="100" w:line="300"/>
        <w:ind w:left="240"/>
      </w:pPr>
      <w:r>
        <w:rPr>
          <w:b/>
          <w:bCs/>
          <w:color w:val="00857A"/>
          <w:sz w:val="22"/>
          <w:szCs w:val="22"/>
        </w:rPr>
        <w:t xml:space="preserve">Privacy: </w:t>
      </w:r>
      <w:r>
        <w:rPr>
          <w:color w:val="1A2B3C"/>
          <w:sz w:val="22"/>
          <w:szCs w:val="22"/>
        </w:rPr>
        <w:t xml:space="preserve">Your data stays in your browser session. Only your typed question is sent for analysis — the spreadsheet itself never leaves your computer.</w:t>
      </w:r>
    </w:p>
    <w:p>
      <w:pPr>
        <w:pStyle w:val="Heading1"/>
        <w:spacing w:after="180" w:before="360"/>
      </w:pPr>
      <w:r>
        <w:rPr>
          <w:b/>
          <w:bCs/>
          <w:color w:val="00857A"/>
          <w:sz w:val="36"/>
          <w:szCs w:val="36"/>
        </w:rPr>
        <w:t xml:space="preserve">What’s in Your Data — Column Guide</w:t>
      </w:r>
    </w:p>
    <w:p>
      <w:pPr>
        <w:spacing w:after="120" w:line="300"/>
      </w:pPr>
      <w:r>
        <w:rPr>
          <w:color w:val="1A2B3C"/>
          <w:sz w:val="22"/>
          <w:szCs w:val="22"/>
        </w:rPr>
        <w:t xml:space="preserve">Your spreadsheet contains the following columns. Knowing what each one represents helps you ask sharper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acquired_date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When the sample was collected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groupid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Which collection site or group submitted it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tenantid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Which organization the sample belongs to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town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The town as written by the person who submitted it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suspected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What the submitter thought the substance was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confirmed_lab_substances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What the lab confirmed was actually in the sample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preliminary_ftir_substances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Quick on-site test results (before lab confirmation)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TownofOriginCleaned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Standardized town name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CountyofOriginCleaned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County the sample came from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StateofOriginCleaned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Full state name (e.g., Massachusetts)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PrimaryIllicit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The main illicit substance found (Fentanyl, Cocaine, etc.)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AllIllicits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Every illicit substance detected, comma-separated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ActiveCuts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Active adulterants found (Xylazine, Medetomidine, etc.)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SuspectedCleaned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Standardized version of the submitter’s guess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DrugClasses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Categories of drugs in the sample (Opioid, Stimulant, etc.)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PrimaryDrugClass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Category of the main illicit substance</w:t>
            </w:r>
          </w:p>
        </w:tc>
      </w:tr>
      <w:tr>
        <w:tc>
          <w:tcPr>
            <w:tcW w:type="dxa" w:w="32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B3C"/>
                <w:sz w:val="21"/>
                <w:szCs w:val="21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Whether the sample is fully tested (“Complete”) or still in progress</w:t>
            </w:r>
          </w:p>
        </w:tc>
      </w:tr>
    </w:tbl>
    <w:p>
      <w:pPr>
        <w:spacing w:after="120" w:before="200" w:line="300"/>
      </w:pPr>
      <w:r>
        <w:rPr>
          <w:b/>
          <w:bCs/>
          <w:color w:val="00857A"/>
          <w:sz w:val="22"/>
          <w:szCs w:val="22"/>
        </w:rPr>
        <w:t xml:space="preserve">Note: </w:t>
      </w:r>
      <w:r>
        <w:rPr>
          <w:i/>
          <w:iCs/>
          <w:color w:val="1A2B3C"/>
          <w:sz w:val="22"/>
          <w:szCs w:val="22"/>
        </w:rPr>
        <w:t xml:space="preserve">The tool focuses on rows marked “Complete” by default, since those have the full lab results.</w:t>
      </w:r>
    </w:p>
    <w:p>
      <w:pPr>
        <w:pStyle w:val="Heading1"/>
        <w:spacing w:after="180" w:before="360"/>
      </w:pPr>
      <w:r>
        <w:rPr>
          <w:b/>
          <w:bCs/>
          <w:color w:val="00857A"/>
          <w:sz w:val="36"/>
          <w:szCs w:val="36"/>
        </w:rPr>
        <w:t xml:space="preserve">Download Options</w:t>
      </w:r>
    </w:p>
    <w:p>
      <w:pPr>
        <w:spacing w:after="120" w:line="300"/>
      </w:pPr>
      <w:r>
        <w:rPr>
          <w:color w:val="1A2B3C"/>
          <w:sz w:val="22"/>
          <w:szCs w:val="22"/>
        </w:rPr>
        <w:t xml:space="preserve">Every result includes one or more download buttons. Pick the format that matches where your story is going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 Type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PNG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Just the chart as a sharp image. Use it in reports or embed it in slides.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CSV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The underlying labels and values, ready to import into Excel.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Slide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A 1920×1080 PowerPoint-ready image that bundles the question, written answer, key metric cards, AND chart together — drop it onto one slide for a complete story.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CSV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Raw rows you can open in Excel, Google Sheets, or any analysis tool.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Excel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An .xlsx file with formatted headers, ready for further pivoting.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List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CSV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Each list item as a row, sorted by value.</w:t>
            </w:r>
          </w:p>
        </w:tc>
      </w:tr>
      <w:tr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(included in Slide)</w:t>
            </w:r>
          </w:p>
        </w:tc>
        <w:tc>
          <w:tcPr>
            <w:tcW w:type="dxa" w:w="57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Headline numbers travel with the chart on the Slide download.</w:t>
            </w:r>
          </w:p>
        </w:tc>
      </w:tr>
    </w:tbl>
    <w:p>
      <w:pPr>
        <w:pBdr>
          <w:left w:val="single" w:color="00857A" w:sz="24" w:space="12"/>
        </w:pBdr>
        <w:spacing w:after="200" w:before="100" w:line="300"/>
        <w:ind w:left="240"/>
      </w:pPr>
      <w:r>
        <w:rPr>
          <w:b/>
          <w:bCs/>
          <w:color w:val="00857A"/>
          <w:sz w:val="22"/>
          <w:szCs w:val="22"/>
        </w:rPr>
        <w:t xml:space="preserve">Power user: </w:t>
      </w:r>
      <w:r>
        <w:rPr>
          <w:color w:val="1A2B3C"/>
          <w:sz w:val="22"/>
          <w:szCs w:val="22"/>
        </w:rPr>
        <w:t xml:space="preserve">The Slide download is the fastest way to build a deck. Drop one Slide PNG per question into PowerPoint and you have a story ready in minutes — caption, numbers, and chart all on one page.</w:t>
      </w:r>
    </w:p>
    <w:p>
      <w:pPr>
        <w:pStyle w:val="Heading1"/>
        <w:spacing w:after="180" w:before="360"/>
      </w:pPr>
      <w:r>
        <w:rPr>
          <w:b/>
          <w:bCs/>
          <w:color w:val="00857A"/>
          <w:sz w:val="36"/>
          <w:szCs w:val="36"/>
        </w:rPr>
        <w:t xml:space="preserve">Example Questions to Try</w:t>
      </w:r>
    </w:p>
    <w:p>
      <w:pPr>
        <w:spacing w:after="120" w:line="300"/>
      </w:pPr>
      <w:r>
        <w:rPr>
          <w:color w:val="1A2B3C"/>
          <w:sz w:val="22"/>
          <w:szCs w:val="22"/>
        </w:rPr>
        <w:t xml:space="preserve">Copy any of these into the question box, or use them as templates for your own. The tool understands plain English — you don’t need to write code or formulas.</w:t>
      </w:r>
    </w:p>
    <w:p>
      <w:pPr>
        <w:pStyle w:val="Heading2"/>
        <w:spacing w:after="140" w:before="280"/>
      </w:pPr>
      <w:r>
        <w:rPr>
          <w:b/>
          <w:bCs/>
          <w:color w:val="00857A"/>
          <w:sz w:val="26"/>
          <w:szCs w:val="26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“Bar chart of the top 10 active cuts detected in 2024”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“Line chart of monthly fentanyl sample count over the past year, with data labels on each point”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“Pie chart of primary drug classes across all complete samples”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“Stacked bar chart of drug classes by state”</w:t>
      </w:r>
    </w:p>
    <w:p>
      <w:pPr>
        <w:pStyle w:val="Heading2"/>
        <w:spacing w:after="140" w:before="280"/>
      </w:pPr>
      <w:r>
        <w:rPr>
          <w:b/>
          <w:bCs/>
          <w:color w:val="00857A"/>
          <w:sz w:val="26"/>
          <w:szCs w:val="26"/>
        </w:rPr>
        <w:t xml:space="preserve">Tables and rankings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“Table of sample counts by state”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“Table of the top 10 towns by sample count”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“List all unique active cuts ever detected”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“Top 5 most common substance combinations in 2024”</w:t>
      </w:r>
    </w:p>
    <w:p>
      <w:pPr>
        <w:pStyle w:val="Heading2"/>
        <w:spacing w:after="140" w:before="280"/>
      </w:pPr>
      <w:r>
        <w:rPr>
          <w:b/>
          <w:bCs/>
          <w:color w:val="00857A"/>
          <w:sz w:val="26"/>
          <w:szCs w:val="26"/>
        </w:rPr>
        <w:t xml:space="preserve">Percentages and comparisons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“What percent of cocaine samples also contained fentanyl?”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“Which state had the highest polysubstance rate?”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“Percent of Medetomidine appearances in Fentanyl-primary samples from Massachusetts”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i/>
          <w:iCs/>
          <w:color w:val="1A2B3C"/>
          <w:sz w:val="22"/>
          <w:szCs w:val="22"/>
        </w:rPr>
        <w:t xml:space="preserve">“Compare the top 5 active cuts in 2023 versus 2024”</w:t>
      </w:r>
    </w:p>
    <w:p>
      <w:pPr>
        <w:pStyle w:val="Heading1"/>
        <w:spacing w:after="180" w:before="360"/>
      </w:pPr>
      <w:r>
        <w:rPr>
          <w:b/>
          <w:bCs/>
          <w:color w:val="00857A"/>
          <w:sz w:val="36"/>
          <w:szCs w:val="36"/>
        </w:rPr>
        <w:t xml:space="preserve">Tips for Better Questions</w:t>
      </w:r>
    </w:p>
    <w:p>
      <w:pPr>
        <w:spacing w:after="120" w:line="300"/>
      </w:pPr>
      <w:r>
        <w:rPr>
          <w:color w:val="1A2B3C"/>
          <w:sz w:val="22"/>
          <w:szCs w:val="22"/>
        </w:rPr>
        <w:t xml:space="preserve">Small wording tweaks can make a big difference in the answer. Here are patterns that consistently work well:</w:t>
      </w:r>
    </w:p>
    <w:p>
      <w:pPr>
        <w:pStyle w:val="Heading2"/>
        <w:spacing w:after="140" w:before="280"/>
      </w:pPr>
      <w:r>
        <w:rPr>
          <w:b/>
          <w:bCs/>
          <w:color w:val="00857A"/>
          <w:sz w:val="26"/>
          <w:szCs w:val="26"/>
        </w:rPr>
        <w:t xml:space="preserve">Be specific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Time range: </w:t>
      </w:r>
      <w:r>
        <w:rPr>
          <w:color w:val="1A2B3C"/>
          <w:sz w:val="22"/>
          <w:szCs w:val="22"/>
        </w:rPr>
        <w:t xml:space="preserve">say “in 2024”, “last 6 months”, or “between January and June 2025” so the tool knows what window to look at.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Geography: </w:t>
      </w:r>
      <w:r>
        <w:rPr>
          <w:color w:val="1A2B3C"/>
          <w:sz w:val="22"/>
          <w:szCs w:val="22"/>
        </w:rPr>
        <w:t xml:space="preserve">filter to a single state or county when you can — “in Massachusetts”, “in Suffolk County”.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Substance names: </w:t>
      </w:r>
      <w:r>
        <w:rPr>
          <w:color w:val="1A2B3C"/>
          <w:sz w:val="22"/>
          <w:szCs w:val="22"/>
        </w:rPr>
        <w:t xml:space="preserve">use the exact spelling you see in the data (e.g., “Medetomidine”, not “medi”).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Count vs. percent: </w:t>
      </w:r>
      <w:r>
        <w:rPr>
          <w:color w:val="1A2B3C"/>
          <w:sz w:val="22"/>
          <w:szCs w:val="22"/>
        </w:rPr>
        <w:t xml:space="preserve">decide whether you want raw counts (“how many samples”) or a share (“what percent”).</w:t>
      </w:r>
    </w:p>
    <w:p>
      <w:pPr>
        <w:pStyle w:val="Heading2"/>
        <w:spacing w:after="140" w:before="280"/>
      </w:pPr>
      <w:r>
        <w:rPr>
          <w:b/>
          <w:bCs/>
          <w:color w:val="00857A"/>
          <w:sz w:val="26"/>
          <w:szCs w:val="26"/>
        </w:rPr>
        <w:t xml:space="preserve">Customize the visual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Chart type: </w:t>
      </w:r>
      <w:r>
        <w:rPr>
          <w:color w:val="1A2B3C"/>
          <w:sz w:val="22"/>
          <w:szCs w:val="22"/>
        </w:rPr>
        <w:t xml:space="preserve">lead with “bar chart of…”, “line chart of…”, “pie chart of…”, or “table of…” so the tool picks the right format.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Insert labels in the line chart: </w:t>
      </w:r>
      <w:r>
        <w:rPr>
          <w:color w:val="1A2B3C"/>
          <w:sz w:val="22"/>
          <w:szCs w:val="22"/>
        </w:rPr>
        <w:t xml:space="preserve">add “with data labels on each point” or “annotate each point with its value” so the actual numbers appear on the chart.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Top-N rankings: </w:t>
      </w:r>
      <w:r>
        <w:rPr>
          <w:color w:val="1A2B3C"/>
          <w:sz w:val="22"/>
          <w:szCs w:val="22"/>
        </w:rPr>
        <w:t xml:space="preserve">always say how many — “top 5”, “top 10”, “top 20” — otherwise the chart can get crowded.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Sort order: </w:t>
      </w:r>
      <w:r>
        <w:rPr>
          <w:color w:val="1A2B3C"/>
          <w:sz w:val="22"/>
          <w:szCs w:val="22"/>
        </w:rPr>
        <w:t xml:space="preserve">ask for “sorted descending by count” or “sorted alphabetically” when order matters.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00857A"/>
          <w:sz w:val="22"/>
          <w:szCs w:val="22"/>
        </w:rPr>
        <w:t xml:space="preserve">Distinct colors: </w:t>
      </w:r>
      <w:r>
        <w:rPr>
          <w:color w:val="1A2B3C"/>
          <w:sz w:val="22"/>
          <w:szCs w:val="22"/>
        </w:rPr>
        <w:t xml:space="preserve">say “use a different color for each bar” when you want the chart to read as categorical.</w:t>
      </w:r>
    </w:p>
    <w:p>
      <w:pPr>
        <w:pStyle w:val="Heading2"/>
        <w:spacing w:after="140" w:before="280"/>
      </w:pPr>
      <w:r>
        <w:rPr>
          <w:b/>
          <w:bCs/>
          <w:color w:val="00857A"/>
          <w:sz w:val="26"/>
          <w:szCs w:val="26"/>
        </w:rPr>
        <w:t xml:space="preserve">If something goes wrong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2B3C"/>
          <w:sz w:val="22"/>
          <w:szCs w:val="22"/>
        </w:rPr>
        <w:t xml:space="preserve">If the answer looks empty, try rephrasing or being more specific about the time range or filter.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2B3C"/>
          <w:sz w:val="22"/>
          <w:szCs w:val="22"/>
        </w:rPr>
        <w:t xml:space="preserve">If the chart shows fewer items than you expected, say “include all categories” or raise your top-N number.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2B3C"/>
          <w:sz w:val="22"/>
          <w:szCs w:val="22"/>
        </w:rPr>
        <w:t xml:space="preserve">If a number seems off, ask the tool to show the table behind it: “show the underlying counts as a table”.</w:t>
      </w:r>
    </w:p>
    <w:p>
      <w:pPr>
        <w:pStyle w:val="Heading1"/>
        <w:spacing w:after="180" w:before="360"/>
      </w:pPr>
      <w:r>
        <w:rPr>
          <w:b/>
          <w:bCs/>
          <w:color w:val="00857A"/>
          <w:sz w:val="36"/>
          <w:szCs w:val="36"/>
        </w:rPr>
        <w:t xml:space="preserve">Statistical Tests You Can Run</w:t>
      </w:r>
    </w:p>
    <w:p>
      <w:pPr>
        <w:spacing w:after="120" w:line="300"/>
      </w:pPr>
      <w:r>
        <w:rPr>
          <w:color w:val="1A2B3C"/>
          <w:sz w:val="22"/>
          <w:szCs w:val="22"/>
        </w:rPr>
        <w:t xml:space="preserve">Beyond simple counts and rankings, the tool can run standard statistical tests directly on your data — useful for telling whether a pattern is real or could be due to chance. Just type the request the way you would ask a colleague.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 Test Tells You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0085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Question to Type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Trend over time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Run a Mann-Kendall trend test on monthly fentanyl detections to see if the rise (or fall) is statistically significant rather than random noise.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“Run a Mann-Kendall trend test on monthly fentanyl detections in 2024”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Comparing two groups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Use a two-proportion z-test to compare the share of xylazine-positive samples between two states.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“Is the proportion of xylazine in fentanyl samples significantly different between Massachusetts and Rhode Island? Run a two-proportion z-test”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Comparing many groups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Use a chi-square test of independence to check whether drug class composition depends on state.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“Run a chi-square test of independence between PrimaryDrugClass and StateofOriginCleaned”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Year-over-year change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Use a t-test (or Mann-Whitney U for skewed counts) to test whether monthly sample volume changed between 2023 and 2024.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“Compare monthly sample counts in 2023 vs 2024 with a t-test”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Co-occurrence association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Use Fisher’s exact test or chi-square to check whether two substances appear together more often than chance.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“Is Medetomidine independent of Xylazine in fentanyl-positive samples? Run a chi-square test”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Lab vs. field agreement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Use Cohen’s kappa to measure agreement between preliminary FTIR results and confirmed lab substances.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“Compute Cohen’s kappa between preliminary_ftir_substances and confirmed_lab_substances for fentanyl”</w:t>
            </w:r>
          </w:p>
        </w:tc>
      </w:tr>
      <w:tr>
        <w:tc>
          <w:tcPr>
            <w:tcW w:type="dxa" w:w="24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2B3C"/>
                <w:sz w:val="21"/>
                <w:szCs w:val="21"/>
              </w:rPr>
              <w:t xml:space="preserve">Confidence intervals</w:t>
            </w:r>
          </w:p>
        </w:tc>
        <w:tc>
          <w:tcPr>
            <w:tcW w:type="dxa" w:w="380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Get a 95% confidence interval around any percentage so you know how precise your estimate is.</w:t>
            </w:r>
          </w:p>
        </w:tc>
        <w:tc>
          <w:tcPr>
            <w:tcW w:type="dxa" w:w="3160"/>
            <w:tcBorders>
              <w:top w:val="single" w:color="D0D8E0" w:sz="6"/>
              <w:left w:val="single" w:color="D0D8E0" w:sz="6"/>
              <w:bottom w:val="single" w:color="D0D8E0" w:sz="6"/>
              <w:right w:val="single" w:color="D0D8E0" w:sz="6"/>
            </w:tcBorders>
            <w:shd w:fill="E6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2B3C"/>
                <w:sz w:val="21"/>
                <w:szCs w:val="21"/>
              </w:rPr>
              <w:t xml:space="preserve">“95% confidence interval for the percent of cocaine samples that also contained fentanyl in 2024”</w:t>
            </w:r>
          </w:p>
        </w:tc>
      </w:tr>
    </w:tbl>
    <w:p>
      <w:pPr>
        <w:pBdr>
          <w:left w:val="single" w:color="00857A" w:sz="24" w:space="12"/>
        </w:pBdr>
        <w:spacing w:after="200" w:before="100" w:line="300"/>
        <w:ind w:left="240"/>
      </w:pPr>
      <w:r>
        <w:rPr>
          <w:b/>
          <w:bCs/>
          <w:color w:val="00857A"/>
          <w:sz w:val="22"/>
          <w:szCs w:val="22"/>
        </w:rPr>
        <w:t xml:space="preserve">Reading the result: </w:t>
      </w:r>
      <w:r>
        <w:rPr>
          <w:color w:val="1A2B3C"/>
          <w:sz w:val="22"/>
          <w:szCs w:val="22"/>
        </w:rPr>
        <w:t xml:space="preserve">The tool will return the test statistic, the p-value, and a plain-English interpretation. As a rule of thumb, p &lt; 0.05 suggests the pattern is unlikely to be random — but always sanity-check sample sizes before drawing conclusions.</w:t>
      </w:r>
    </w:p>
    <w:p>
      <w:pPr>
        <w:pBdr>
          <w:top w:val="single" w:color="D0D8E0" w:sz="6" w:space="8"/>
        </w:pBdr>
        <w:spacing w:after="0" w:before="480"/>
        <w:jc w:val="center"/>
      </w:pPr>
      <w:r>
        <w:rPr>
          <w:i/>
          <w:iCs/>
          <w:color w:val="5A6A7A"/>
          <w:sz w:val="18"/>
          <w:szCs w:val="18"/>
        </w:rPr>
        <w:t xml:space="preserve">StreetCheck • Community Drug Checking • OPIC at Brandeis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08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0085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0085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StreetCheck Data Query Tool — User Guide</dc:title>
  <dc:creator>StreetCheck Data Query Tool</dc:creator>
  <cp:lastModifiedBy>Un-named</cp:lastModifiedBy>
  <cp:revision>1</cp:revision>
  <dcterms:created xsi:type="dcterms:W3CDTF">2026-04-28T21:57:54.626Z</dcterms:created>
  <dcterms:modified xsi:type="dcterms:W3CDTF">2026-04-28T21:57:54.634Z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