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left"/>
      </w:pPr>
      <w:r>
        <w:rPr>
          <w:b/>
          <w:bCs/>
          <w:color w:val="00857A"/>
          <w:sz w:val="56"/>
          <w:szCs w:val="56"/>
        </w:rPr>
        <w:t xml:space="preserve">StreetCheck Data Query Tool</w:t>
      </w:r>
    </w:p>
    <w:p>
      <w:pPr>
        <w:spacing w:after="120"/>
        <w:jc w:val="left"/>
      </w:pPr>
      <w:r>
        <w:rPr>
          <w:b/>
          <w:bCs/>
          <w:color w:val="1A2B3C"/>
          <w:sz w:val="40"/>
          <w:szCs w:val="40"/>
        </w:rPr>
        <w:t xml:space="preserve">User Guide</w:t>
      </w:r>
    </w:p>
    <w:p>
      <w:pPr>
        <w:pBdr>
          <w:bottom w:val="single" w:color="00857A" w:sz="12" w:space="8"/>
        </w:pBdr>
        <w:spacing w:after="360"/>
        <w:jc w:val="left"/>
      </w:pPr>
      <w:r>
        <w:rPr>
          <w:i/>
          <w:iCs/>
          <w:color w:val="5A6A7A"/>
          <w:sz w:val="22"/>
          <w:szCs w:val="22"/>
        </w:rPr>
        <w:t xml:space="preserve">Powered by StreetCheck • OPIC at Brandeis University</w:t>
      </w:r>
    </w:p>
    <w:p>
      <w:pPr>
        <w:pStyle w:val="Heading1"/>
        <w:spacing w:after="180" w:before="240"/>
      </w:pPr>
      <w:r>
        <w:rPr>
          <w:b/>
          <w:bCs/>
          <w:color w:val="00857A"/>
          <w:sz w:val="36"/>
          <w:szCs w:val="36"/>
        </w:rPr>
        <w:t xml:space="preserve">How It Works</w:t>
      </w:r>
    </w:p>
    <w:p>
      <w:pPr>
        <w:spacing w:after="120" w:line="300"/>
      </w:pPr>
      <w:r>
        <w:rPr>
          <w:b/>
          <w:bCs/>
          <w:color w:val="00857A"/>
          <w:sz w:val="22"/>
          <w:szCs w:val="22"/>
        </w:rPr>
        <w:t xml:space="preserve">1. </w:t>
      </w:r>
      <w:r>
        <w:rPr>
          <w:b/>
          <w:bCs/>
          <w:color w:val="1A2B3C"/>
          <w:sz w:val="22"/>
          <w:szCs w:val="22"/>
        </w:rPr>
        <w:t xml:space="preserve">Upload your Excel file </w:t>
      </w:r>
      <w:r>
        <w:rPr>
          <w:color w:val="1A2B3C"/>
          <w:sz w:val="22"/>
          <w:szCs w:val="22"/>
        </w:rPr>
        <w:t xml:space="preserve">in the sidebar on the left side of the page. The tool will read it and show you a quick summary of how many samples are in your data.</w:t>
      </w:r>
    </w:p>
    <w:p>
      <w:pPr>
        <w:spacing w:after="120" w:line="300"/>
      </w:pPr>
      <w:r>
        <w:rPr>
          <w:b/>
          <w:bCs/>
          <w:color w:val="00857A"/>
          <w:sz w:val="22"/>
          <w:szCs w:val="22"/>
        </w:rPr>
        <w:t xml:space="preserve">2. </w:t>
      </w:r>
      <w:r>
        <w:rPr>
          <w:b/>
          <w:bCs/>
          <w:color w:val="1A2B3C"/>
          <w:sz w:val="22"/>
          <w:szCs w:val="22"/>
        </w:rPr>
        <w:t xml:space="preserve">Ask a question </w:t>
      </w:r>
      <w:r>
        <w:rPr>
          <w:color w:val="1A2B3C"/>
          <w:sz w:val="22"/>
          <w:szCs w:val="22"/>
        </w:rPr>
        <w:t xml:space="preserve">in plain English in the main panel, or click one of the example chips to pre-fill a common question. Then click “Ask →”.</w:t>
      </w:r>
    </w:p>
    <w:p>
      <w:pPr>
        <w:spacing w:after="120" w:line="300"/>
      </w:pPr>
      <w:r>
        <w:rPr>
          <w:b/>
          <w:bCs/>
          <w:color w:val="00857A"/>
          <w:sz w:val="22"/>
          <w:szCs w:val="22"/>
        </w:rPr>
        <w:t xml:space="preserve">3. </w:t>
      </w:r>
      <w:r>
        <w:rPr>
          <w:b/>
          <w:bCs/>
          <w:color w:val="1A2B3C"/>
          <w:sz w:val="22"/>
          <w:szCs w:val="22"/>
        </w:rPr>
        <w:t xml:space="preserve">Get an answer instantly. </w:t>
      </w:r>
      <w:r>
        <w:rPr>
          <w:color w:val="1A2B3C"/>
          <w:sz w:val="22"/>
          <w:szCs w:val="22"/>
        </w:rPr>
        <w:t xml:space="preserve">The tool reads your data and replies with a written summary plus the right kind of visual — a chart, table, ranked list, or key numbers — that you can download as PNG, CSV, or Excel.</w:t>
      </w:r>
    </w:p>
    <w:p>
      <w:pPr>
        <w:pBdr>
          <w:left w:val="single" w:color="00857A" w:sz="24" w:space="12"/>
        </w:pBdr>
        <w:spacing w:after="240" w:before="120" w:line="300"/>
        <w:ind w:left="240"/>
      </w:pPr>
      <w:r>
        <w:rPr>
          <w:b/>
          <w:bCs/>
          <w:color w:val="00857A"/>
          <w:sz w:val="22"/>
          <w:szCs w:val="22"/>
        </w:rPr>
        <w:t xml:space="preserve">Tip: </w:t>
      </w:r>
      <w:r>
        <w:rPr>
          <w:color w:val="1A2B3C"/>
          <w:sz w:val="22"/>
          <w:szCs w:val="22"/>
        </w:rPr>
        <w:t xml:space="preserve">Your data stays in your browser session. Only your typed question is sent for analysis — the spreadsheet itself never leaves your computer.</w:t>
      </w:r>
    </w:p>
    <w:p>
      <w:pPr>
        <w:pStyle w:val="Heading1"/>
        <w:spacing w:after="180" w:before="240"/>
      </w:pPr>
      <w:r>
        <w:rPr>
          <w:b/>
          <w:bCs/>
          <w:color w:val="00857A"/>
          <w:sz w:val="36"/>
          <w:szCs w:val="36"/>
        </w:rPr>
        <w:t xml:space="preserve">What’s in Your Data — Column Guide</w:t>
      </w:r>
    </w:p>
    <w:p>
      <w:pPr>
        <w:spacing w:after="120" w:line="300"/>
      </w:pPr>
      <w:r>
        <w:rPr>
          <w:color w:val="1A2B3C"/>
          <w:sz w:val="22"/>
          <w:szCs w:val="22"/>
        </w:rPr>
        <w:t xml:space="preserve">Your spreadsheet contains the following columns. Knowing what each one represents helps you ask sharper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00857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Column Name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00857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What It Means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acquired_date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When the sample was collected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groupid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Which collection site or group submitted it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tenantid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Which organization the sample belongs to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town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The town as written by the person who submitted it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suspected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What the submitter thought the substance was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confirmed_lab_substances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What the lab confirmed was actually in the sample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preliminary_ftir_substances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Quick on-site test results (before lab confirmation)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TownofOriginCleaned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Standardized town name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CountyofOriginCleaned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County the sample came from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StateofOriginCleaned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Full state name (e.g., Massachusetts)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PrimaryIllicit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The main illicit substance found (Fentanyl, Cocaine, etc.)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AllIllicits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Every illicit substance detected, comma-separated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ActiveCuts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Active adulterants found (Xylazine, Medetomidine, etc.)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SuspectedCleaned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Standardized version of the submitter's guess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DrugClasses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Categories of drugs in the sample (Opioid, Stimulant, etc.)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PrimaryDrugClass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Category of the main illicit substance</w:t>
            </w:r>
          </w:p>
        </w:tc>
      </w:tr>
      <w:tr>
        <w:tc>
          <w:tcPr>
            <w:tcW w:type="dxa" w:w="320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B3C"/>
                <w:sz w:val="21"/>
                <w:szCs w:val="21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D0D8E0" w:sz="6"/>
              <w:left w:val="single" w:color="D0D8E0" w:sz="6"/>
              <w:bottom w:val="single" w:color="D0D8E0" w:sz="6"/>
              <w:right w:val="single" w:color="D0D8E0" w:sz="6"/>
            </w:tcBorders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2B3C"/>
                <w:sz w:val="21"/>
                <w:szCs w:val="21"/>
              </w:rPr>
              <w:t xml:space="preserve">Whether the sample is fully tested (“Complete”) or still in progress</w:t>
            </w:r>
          </w:p>
        </w:tc>
      </w:tr>
    </w:tbl>
    <w:p>
      <w:pPr>
        <w:spacing w:after="120" w:before="200" w:line="300"/>
      </w:pPr>
      <w:r>
        <w:rPr>
          <w:b/>
          <w:bCs/>
          <w:color w:val="00857A"/>
          <w:sz w:val="22"/>
          <w:szCs w:val="22"/>
        </w:rPr>
        <w:t xml:space="preserve">Note: </w:t>
      </w:r>
      <w:r>
        <w:rPr>
          <w:i/>
          <w:iCs/>
          <w:color w:val="1A2B3C"/>
          <w:sz w:val="22"/>
          <w:szCs w:val="22"/>
        </w:rPr>
        <w:t xml:space="preserve">The tool focuses on rows marked “Complete” by default, since those have the full lab results.</w:t>
      </w:r>
    </w:p>
    <w:p>
      <w:pPr>
        <w:pStyle w:val="Heading1"/>
        <w:spacing w:after="180" w:before="240"/>
      </w:pPr>
      <w:r>
        <w:rPr>
          <w:b/>
          <w:bCs/>
          <w:color w:val="00857A"/>
          <w:sz w:val="36"/>
          <w:szCs w:val="36"/>
        </w:rPr>
        <w:t xml:space="preserve">10 Example Questions to Try</w:t>
      </w:r>
    </w:p>
    <w:p>
      <w:pPr>
        <w:spacing w:after="120" w:line="300"/>
      </w:pPr>
      <w:r>
        <w:rPr>
          <w:color w:val="1A2B3C"/>
          <w:sz w:val="22"/>
          <w:szCs w:val="22"/>
        </w:rPr>
        <w:t xml:space="preserve">Copy any of these into the question box, or use them as templates for your own. The tool understands plain English — you don’t need to write code or formulas.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Bar chart of the top 10 active cuts detected in 2024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Line chart of monthly fentanyl sample count over the past year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Pie chart of primary drug classes across all complete samples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Table of sample counts by state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List all unique active cuts ever detected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What percent of cocaine samples also contained fentanyl?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Table of the top 10 towns by sample count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Which state had the highest polysubstance rate?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Percent of Medetomidine appearances in Fentanyl-primary samples from Massachusetts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A2B3C"/>
          <w:sz w:val="22"/>
          <w:szCs w:val="22"/>
        </w:rPr>
        <w:t xml:space="preserve">Compare the top 5 active cuts in 2023 versus 2024</w:t>
      </w:r>
    </w:p>
    <w:p>
      <w:pPr>
        <w:pStyle w:val="Heading1"/>
        <w:spacing w:after="180" w:before="240"/>
      </w:pPr>
      <w:r>
        <w:rPr>
          <w:b/>
          <w:bCs/>
          <w:color w:val="00857A"/>
          <w:sz w:val="36"/>
          <w:szCs w:val="36"/>
        </w:rPr>
        <w:t xml:space="preserve">Tips for Better Questions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2B3C"/>
          <w:sz w:val="22"/>
          <w:szCs w:val="22"/>
        </w:rPr>
        <w:t xml:space="preserve">Be specific about the time range (e.g., “in 2024”, “last 6 months”).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2B3C"/>
          <w:sz w:val="22"/>
          <w:szCs w:val="22"/>
        </w:rPr>
        <w:t xml:space="preserve">Mention the chart type if you have a preference (“bar chart of...”, “table of...”).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2B3C"/>
          <w:sz w:val="22"/>
          <w:szCs w:val="22"/>
        </w:rPr>
        <w:t xml:space="preserve">Use the exact substance names you see in the data when possible.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2B3C"/>
          <w:sz w:val="22"/>
          <w:szCs w:val="22"/>
        </w:rPr>
        <w:t xml:space="preserve">For rankings, say how many you want (“top 5”, “top 10”).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color w:val="1A2B3C"/>
          <w:sz w:val="22"/>
          <w:szCs w:val="22"/>
        </w:rPr>
        <w:t xml:space="preserve">If you get an unexpected answer, try rephrasing or being more specific.</w:t>
      </w:r>
    </w:p>
    <w:p>
      <w:pPr>
        <w:pBdr>
          <w:top w:val="single" w:color="D0D8E0" w:sz="6" w:space="8"/>
        </w:pBdr>
        <w:spacing w:after="0" w:before="480"/>
        <w:jc w:val="center"/>
      </w:pPr>
      <w:r>
        <w:rPr>
          <w:i/>
          <w:iCs/>
          <w:color w:val="5A6A7A"/>
          <w:sz w:val="18"/>
          <w:szCs w:val="18"/>
        </w:rPr>
        <w:t xml:space="preserve">StreetCheck • Community Drug Checking • OPIC at Brandeis University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00857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2B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Inter" w:cs="Inter" w:eastAsia="Inter" w:hAnsi="Inter"/>
      <w:b/>
      <w:bCs/>
      <w:color w:val="00857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Inter" w:cs="Inter" w:eastAsia="Inter" w:hAnsi="Inter"/>
      <w:b/>
      <w:bCs/>
      <w:color w:val="00857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StreetCheck Data Query Tool — User Guide</dc:title>
  <dc:creator>StreetCheck Data Query Tool</dc:creator>
  <cp:lastModifiedBy>Un-named</cp:lastModifiedBy>
  <cp:revision>1</cp:revision>
  <dcterms:created xsi:type="dcterms:W3CDTF">2026-04-28T21:03:28.475Z</dcterms:created>
  <dcterms:modified xsi:type="dcterms:W3CDTF">2026-04-28T21:03:28.477Z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