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102B" w14:textId="16B16E87" w:rsidR="006E17F0" w:rsidRDefault="006C20EB">
      <w:pPr>
        <w:rPr>
          <w:rFonts w:ascii="Arial" w:hAnsi="Arial" w:cs="Arial"/>
          <w:b/>
          <w:bCs/>
        </w:rPr>
      </w:pPr>
      <w:r w:rsidRPr="006C20EB">
        <w:rPr>
          <w:rFonts w:ascii="Arial" w:hAnsi="Arial" w:cs="Arial"/>
          <w:b/>
          <w:bCs/>
        </w:rPr>
        <w:t>Колонные аппараты</w:t>
      </w:r>
    </w:p>
    <w:p w14:paraId="2FE9E139" w14:textId="2934CA21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Число тарелок</w:t>
      </w:r>
    </w:p>
    <w:p w14:paraId="693B17F2" w14:textId="1F2643D0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Номер тарелки / тарелок питания</w:t>
      </w:r>
    </w:p>
    <w:p w14:paraId="1A043D89" w14:textId="5204D56B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Температурный профиль колонны или температура верха и низа колонны</w:t>
      </w:r>
    </w:p>
    <w:p w14:paraId="1E7C5672" w14:textId="12BBA540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Расход дистиллята</w:t>
      </w:r>
    </w:p>
    <w:p w14:paraId="77C66FCB" w14:textId="5E8ED668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Расход кубового остатка</w:t>
      </w:r>
    </w:p>
    <w:p w14:paraId="28C43D5B" w14:textId="1137E943" w:rsidR="006C20EB" w:rsidRPr="006C20EB" w:rsidRDefault="006C20EB" w:rsidP="006C20EB">
      <w:pPr>
        <w:rPr>
          <w:rFonts w:ascii="Arial" w:hAnsi="Arial" w:cs="Arial"/>
          <w:b/>
          <w:bCs/>
        </w:rPr>
      </w:pPr>
      <w:r w:rsidRPr="006C20EB">
        <w:rPr>
          <w:rFonts w:ascii="Arial" w:hAnsi="Arial" w:cs="Arial"/>
          <w:b/>
          <w:bCs/>
        </w:rPr>
        <w:t>Свойства псевдокомпонентов</w:t>
      </w:r>
    </w:p>
    <w:p w14:paraId="0944BD06" w14:textId="006C6E50" w:rsidR="001A57A3" w:rsidRDefault="001A57A3" w:rsidP="006C20EB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Мольный объем используемых псевдокомпонентов</w:t>
      </w:r>
    </w:p>
    <w:p w14:paraId="28FC679D" w14:textId="068A78B0" w:rsidR="006C20EB" w:rsidRDefault="006C20EB" w:rsidP="006C20EB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Коэффициенты </w:t>
      </w:r>
      <w:r>
        <w:rPr>
          <w:rFonts w:ascii="Arial" w:hAnsi="Arial" w:cs="Arial"/>
          <w:lang w:val="en-US"/>
        </w:rPr>
        <w:t>k</w:t>
      </w:r>
      <w:r w:rsidRPr="001B1BB2">
        <w:rPr>
          <w:rFonts w:ascii="Arial" w:hAnsi="Arial" w:cs="Arial"/>
          <w:vertAlign w:val="subscript"/>
          <w:lang w:val="en-US"/>
        </w:rPr>
        <w:t>ij</w:t>
      </w:r>
      <w:r>
        <w:rPr>
          <w:rFonts w:ascii="Arial" w:hAnsi="Arial" w:cs="Arial"/>
        </w:rPr>
        <w:t xml:space="preserve"> из модели Пенга-Робинсона для используемых псевдокомпонентов</w:t>
      </w:r>
    </w:p>
    <w:p w14:paraId="5DB4266C" w14:textId="5080990A" w:rsidR="006C20EB" w:rsidRPr="006C20EB" w:rsidRDefault="006C20EB" w:rsidP="006C20EB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Коэффициенты для расчета зависимости теплоемкости от температуры для используемых псевдокомпонентов</w:t>
      </w:r>
    </w:p>
    <w:sectPr w:rsidR="006C20EB" w:rsidRPr="006C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0B4"/>
    <w:multiLevelType w:val="hybridMultilevel"/>
    <w:tmpl w:val="4510E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E397B"/>
    <w:multiLevelType w:val="hybridMultilevel"/>
    <w:tmpl w:val="C348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F0"/>
    <w:rsid w:val="001A57A3"/>
    <w:rsid w:val="001B1BB2"/>
    <w:rsid w:val="006C20EB"/>
    <w:rsid w:val="006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5CF"/>
  <w15:chartTrackingRefBased/>
  <w15:docId w15:val="{DD75D61B-8E89-4E0E-AD8D-891EF5B7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</cp:revision>
  <dcterms:created xsi:type="dcterms:W3CDTF">2022-03-31T03:14:00Z</dcterms:created>
  <dcterms:modified xsi:type="dcterms:W3CDTF">2022-03-31T03:27:00Z</dcterms:modified>
</cp:coreProperties>
</file>