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BC625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Министерство образования и науки Российской Федерации </w:t>
      </w:r>
    </w:p>
    <w:p w14:paraId="479D6051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7B84EC52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356B1162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«НАЦИОНАЛЬНЫЙ ИССЛЕДОВАТЕЛЬСКИЙ </w:t>
      </w:r>
    </w:p>
    <w:p w14:paraId="67869F5C" w14:textId="3197FC22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C2D4D5" wp14:editId="0735AF6F">
                <wp:simplePos x="0" y="0"/>
                <wp:positionH relativeFrom="column">
                  <wp:posOffset>-51435</wp:posOffset>
                </wp:positionH>
                <wp:positionV relativeFrom="paragraph">
                  <wp:posOffset>188595</wp:posOffset>
                </wp:positionV>
                <wp:extent cx="5886450" cy="0"/>
                <wp:effectExtent l="9525" t="9525" r="9525" b="952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C4B55" id="Прямая соединительная линия 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4.05pt,14.85pt" to="459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" strokeweight="1.5pt">
                <v:stroke joinstyle="miter"/>
              </v:line>
            </w:pict>
          </mc:Fallback>
        </mc:AlternateContent>
      </w:r>
      <w:r w:rsidRPr="00EC20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ТОМСКИЙ ПОЛИТЕХНИЧЕСКИЙ УНИВЕРСИТЕТ» </w:t>
      </w:r>
    </w:p>
    <w:p w14:paraId="329C868E" w14:textId="77777777" w:rsidR="00EC204A" w:rsidRPr="00EC204A" w:rsidRDefault="00EC204A" w:rsidP="00EC204A">
      <w:pPr>
        <w:spacing w:before="120" w:after="0" w:line="240" w:lineRule="auto"/>
        <w:ind w:right="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Инженерная школа природных ресурсов</w:t>
      </w:r>
    </w:p>
    <w:p w14:paraId="39E2D246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 Химическая технология подготовки и переработки нефти и газа</w:t>
      </w:r>
    </w:p>
    <w:p w14:paraId="4DA9955B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Отделение школы Химической инженерии</w:t>
      </w:r>
    </w:p>
    <w:p w14:paraId="7DD39A4C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D3586F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F479DB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3B719" w14:textId="520D7A03" w:rsidR="00EC204A" w:rsidRPr="00EC204A" w:rsidRDefault="00813A2E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14:paraId="5CC433B0" w14:textId="089C5ED7" w:rsidR="00EC204A" w:rsidRPr="00EC204A" w:rsidRDefault="00EC204A" w:rsidP="00EC204A">
      <w:pPr>
        <w:spacing w:before="240"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дисциплине: «</w:t>
      </w:r>
      <w:r w:rsidR="00813A2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автоматизации процессов химической технологии</w:t>
      </w: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DFFDFA5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</w:p>
    <w:p w14:paraId="0C33AEB0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C13F39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</w:t>
      </w:r>
    </w:p>
    <w:p w14:paraId="51A34AC4" w14:textId="77777777" w:rsidR="00EC204A" w:rsidRPr="00EC204A" w:rsidRDefault="00EC204A" w:rsidP="00EC204A">
      <w:pPr>
        <w:spacing w:after="0" w:line="240" w:lineRule="auto"/>
        <w:ind w:right="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7831F9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21DF19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787A0F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EF445C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1E7ABE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2"/>
        <w:gridCol w:w="36"/>
        <w:gridCol w:w="4127"/>
        <w:gridCol w:w="2130"/>
        <w:gridCol w:w="563"/>
      </w:tblGrid>
      <w:tr w:rsidR="00EC204A" w:rsidRPr="00EC204A" w14:paraId="512AD528" w14:textId="77777777" w:rsidTr="00813A2E">
        <w:trPr>
          <w:gridAfter w:val="1"/>
          <w:wAfter w:w="563" w:type="dxa"/>
        </w:trPr>
        <w:tc>
          <w:tcPr>
            <w:tcW w:w="3098" w:type="dxa"/>
            <w:gridSpan w:val="2"/>
            <w:vMerge w:val="restart"/>
          </w:tcPr>
          <w:p w14:paraId="565789E3" w14:textId="7A97CB6D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 xml:space="preserve">Выполнил </w:t>
            </w:r>
          </w:p>
          <w:p w14:paraId="7751B283" w14:textId="2C641181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 xml:space="preserve">студент гр.2Д6В: </w:t>
            </w:r>
          </w:p>
        </w:tc>
        <w:tc>
          <w:tcPr>
            <w:tcW w:w="4127" w:type="dxa"/>
          </w:tcPr>
          <w:p w14:paraId="143A3EC2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</w:tcPr>
          <w:p w14:paraId="19865300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C204A" w:rsidRPr="00EC204A" w14:paraId="47E1C6D8" w14:textId="77777777" w:rsidTr="00813A2E">
        <w:trPr>
          <w:gridAfter w:val="1"/>
          <w:wAfter w:w="563" w:type="dxa"/>
        </w:trPr>
        <w:tc>
          <w:tcPr>
            <w:tcW w:w="3098" w:type="dxa"/>
            <w:gridSpan w:val="2"/>
            <w:vMerge/>
          </w:tcPr>
          <w:p w14:paraId="7340352C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27" w:type="dxa"/>
          </w:tcPr>
          <w:p w14:paraId="0144CA6E" w14:textId="77777777" w:rsidR="00EC204A" w:rsidRPr="00EC204A" w:rsidRDefault="00EC204A" w:rsidP="00EC204A">
            <w:pPr>
              <w:spacing w:line="360" w:lineRule="auto"/>
              <w:ind w:right="6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>___________________</w:t>
            </w:r>
          </w:p>
        </w:tc>
        <w:tc>
          <w:tcPr>
            <w:tcW w:w="2130" w:type="dxa"/>
          </w:tcPr>
          <w:p w14:paraId="471691BC" w14:textId="33E6A50F" w:rsidR="00EC204A" w:rsidRPr="00EC204A" w:rsidRDefault="00813A2E" w:rsidP="00EC204A">
            <w:pPr>
              <w:spacing w:line="360" w:lineRule="auto"/>
              <w:ind w:right="6"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>Мурашова Е.Е.</w:t>
            </w:r>
          </w:p>
        </w:tc>
      </w:tr>
      <w:tr w:rsidR="00EC204A" w:rsidRPr="00EC204A" w14:paraId="2463D458" w14:textId="77777777" w:rsidTr="00813A2E">
        <w:trPr>
          <w:gridAfter w:val="1"/>
          <w:wAfter w:w="563" w:type="dxa"/>
        </w:trPr>
        <w:tc>
          <w:tcPr>
            <w:tcW w:w="3098" w:type="dxa"/>
            <w:gridSpan w:val="2"/>
            <w:vMerge/>
          </w:tcPr>
          <w:p w14:paraId="3B9620D7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27" w:type="dxa"/>
          </w:tcPr>
          <w:p w14:paraId="09769FD1" w14:textId="2425546C" w:rsidR="00EC204A" w:rsidRPr="00EC204A" w:rsidRDefault="00EC204A" w:rsidP="00EC204A">
            <w:pPr>
              <w:spacing w:line="360" w:lineRule="auto"/>
              <w:ind w:right="6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</w:tcPr>
          <w:p w14:paraId="26DDC1E2" w14:textId="3256FB9A" w:rsidR="00EC204A" w:rsidRPr="00EC204A" w:rsidRDefault="00EC204A" w:rsidP="00EC204A">
            <w:pPr>
              <w:spacing w:line="360" w:lineRule="auto"/>
              <w:ind w:right="6"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C204A" w:rsidRPr="00EC204A" w14:paraId="7A1B637F" w14:textId="77777777" w:rsidTr="00813A2E">
        <w:trPr>
          <w:gridAfter w:val="1"/>
          <w:wAfter w:w="563" w:type="dxa"/>
        </w:trPr>
        <w:tc>
          <w:tcPr>
            <w:tcW w:w="3098" w:type="dxa"/>
            <w:gridSpan w:val="2"/>
            <w:vMerge/>
          </w:tcPr>
          <w:p w14:paraId="24D5F442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27" w:type="dxa"/>
          </w:tcPr>
          <w:p w14:paraId="3F085BF9" w14:textId="47247AA4" w:rsidR="00EC204A" w:rsidRPr="00EC204A" w:rsidRDefault="00EC204A" w:rsidP="00EC204A">
            <w:pPr>
              <w:spacing w:line="360" w:lineRule="auto"/>
              <w:ind w:right="6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</w:tcPr>
          <w:p w14:paraId="3EBD2AAF" w14:textId="4DFF23E7" w:rsidR="00EC204A" w:rsidRPr="00EC204A" w:rsidRDefault="00EC204A" w:rsidP="00EC204A">
            <w:pPr>
              <w:spacing w:line="360" w:lineRule="auto"/>
              <w:ind w:right="6"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C204A" w:rsidRPr="00EC204A" w14:paraId="2B892E64" w14:textId="77777777" w:rsidTr="00813A2E">
        <w:trPr>
          <w:gridAfter w:val="1"/>
          <w:wAfter w:w="563" w:type="dxa"/>
        </w:trPr>
        <w:tc>
          <w:tcPr>
            <w:tcW w:w="3098" w:type="dxa"/>
            <w:gridSpan w:val="2"/>
          </w:tcPr>
          <w:p w14:paraId="07C4FCDF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27" w:type="dxa"/>
          </w:tcPr>
          <w:p w14:paraId="5CEDAD63" w14:textId="5D81C363" w:rsidR="00EC204A" w:rsidRPr="00EC204A" w:rsidRDefault="00EC204A" w:rsidP="00EC204A">
            <w:pPr>
              <w:spacing w:line="360" w:lineRule="auto"/>
              <w:ind w:right="6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</w:tcPr>
          <w:p w14:paraId="2CD96875" w14:textId="50113068" w:rsidR="00EC204A" w:rsidRPr="00EC204A" w:rsidRDefault="00EC204A" w:rsidP="00EC204A">
            <w:pPr>
              <w:spacing w:line="360" w:lineRule="auto"/>
              <w:ind w:right="6"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C204A" w:rsidRPr="00EC204A" w14:paraId="7846B677" w14:textId="77777777" w:rsidTr="00813A2E">
        <w:tc>
          <w:tcPr>
            <w:tcW w:w="3062" w:type="dxa"/>
          </w:tcPr>
          <w:p w14:paraId="48C57CA8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 xml:space="preserve">Проверил </w:t>
            </w:r>
          </w:p>
        </w:tc>
        <w:tc>
          <w:tcPr>
            <w:tcW w:w="4163" w:type="dxa"/>
            <w:gridSpan w:val="2"/>
          </w:tcPr>
          <w:p w14:paraId="5B4C1A10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gridSpan w:val="2"/>
          </w:tcPr>
          <w:p w14:paraId="1190BA45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C204A" w:rsidRPr="00EC204A" w14:paraId="0F391F01" w14:textId="77777777" w:rsidTr="00813A2E">
        <w:trPr>
          <w:trHeight w:val="555"/>
        </w:trPr>
        <w:tc>
          <w:tcPr>
            <w:tcW w:w="3062" w:type="dxa"/>
          </w:tcPr>
          <w:p w14:paraId="4BD2E56C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4163" w:type="dxa"/>
            <w:gridSpan w:val="2"/>
          </w:tcPr>
          <w:p w14:paraId="74B8332D" w14:textId="77777777" w:rsidR="00EC204A" w:rsidRPr="00EC204A" w:rsidRDefault="00EC204A" w:rsidP="00EC204A">
            <w:pPr>
              <w:spacing w:line="360" w:lineRule="auto"/>
              <w:ind w:right="6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>___________________</w:t>
            </w:r>
          </w:p>
        </w:tc>
        <w:tc>
          <w:tcPr>
            <w:tcW w:w="2693" w:type="dxa"/>
            <w:gridSpan w:val="2"/>
          </w:tcPr>
          <w:p w14:paraId="59904879" w14:textId="1673AC51" w:rsidR="00EC204A" w:rsidRPr="00EC204A" w:rsidRDefault="00EC204A" w:rsidP="00EC204A">
            <w:pPr>
              <w:spacing w:line="360" w:lineRule="auto"/>
              <w:ind w:right="6"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>Ива</w:t>
            </w:r>
            <w:r w:rsidR="00813A2E">
              <w:rPr>
                <w:rFonts w:eastAsia="Times New Roman"/>
                <w:sz w:val="24"/>
                <w:szCs w:val="24"/>
                <w:lang w:eastAsia="ru-RU"/>
              </w:rPr>
              <w:t>нчина</w:t>
            </w:r>
            <w:r w:rsidRPr="00EC204A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="00813A2E">
              <w:rPr>
                <w:rFonts w:eastAsia="Times New Roman"/>
                <w:sz w:val="24"/>
                <w:szCs w:val="24"/>
                <w:lang w:eastAsia="ru-RU"/>
              </w:rPr>
              <w:t>Э</w:t>
            </w:r>
            <w:r w:rsidRPr="00EC204A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="00813A2E">
              <w:rPr>
                <w:rFonts w:eastAsia="Times New Roman"/>
                <w:sz w:val="24"/>
                <w:szCs w:val="24"/>
                <w:lang w:eastAsia="ru-RU"/>
              </w:rPr>
              <w:t>Д</w:t>
            </w:r>
            <w:r w:rsidRPr="00EC204A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</w:tc>
      </w:tr>
      <w:tr w:rsidR="00EC204A" w:rsidRPr="00EC204A" w14:paraId="62ABC4A1" w14:textId="77777777" w:rsidTr="00813A2E">
        <w:tc>
          <w:tcPr>
            <w:tcW w:w="3062" w:type="dxa"/>
          </w:tcPr>
          <w:p w14:paraId="1D67230F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63" w:type="dxa"/>
            <w:gridSpan w:val="2"/>
          </w:tcPr>
          <w:p w14:paraId="18B8CB0C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gridSpan w:val="2"/>
          </w:tcPr>
          <w:p w14:paraId="0452419D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72A32ED9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493D47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C0D624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E3D49B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601A9F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EA1736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89371A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13BB09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FB12E5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10D819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3F0921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4E0CDB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500D8B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 – 2020 г.</w:t>
      </w:r>
    </w:p>
    <w:p w14:paraId="533E1CD4" w14:textId="538CE628" w:rsidR="00EC204A" w:rsidRDefault="00EC204A" w:rsidP="00ED58CE">
      <w:pPr>
        <w:rPr>
          <w:rFonts w:ascii="Times New Roman" w:hAnsi="Times New Roman" w:cs="Times New Roman"/>
          <w:sz w:val="28"/>
          <w:szCs w:val="28"/>
        </w:rPr>
      </w:pPr>
    </w:p>
    <w:p w14:paraId="46FFCB7C" w14:textId="77777777" w:rsidR="00EC204A" w:rsidRDefault="00EC204A" w:rsidP="00ED58CE">
      <w:pPr>
        <w:rPr>
          <w:rFonts w:ascii="Times New Roman" w:hAnsi="Times New Roman" w:cs="Times New Roman"/>
          <w:sz w:val="28"/>
          <w:szCs w:val="28"/>
        </w:rPr>
      </w:pPr>
    </w:p>
    <w:p w14:paraId="59143393" w14:textId="094FBE24" w:rsidR="00ED58CE" w:rsidRDefault="00ED58CE" w:rsidP="00ED5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Вопрос № 19: </w:t>
      </w:r>
      <w:r w:rsidRPr="00ED58CE">
        <w:rPr>
          <w:rFonts w:ascii="Times New Roman" w:hAnsi="Times New Roman" w:cs="Times New Roman"/>
          <w:sz w:val="28"/>
          <w:szCs w:val="28"/>
        </w:rPr>
        <w:t>Концепция – оптимальное использование оборудования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E4D0AB" w14:textId="4DF48413" w:rsidR="00ED58CE" w:rsidRDefault="00ED58CE" w:rsidP="00ED58CE">
      <w:pPr>
        <w:rPr>
          <w:rFonts w:ascii="Times New Roman" w:hAnsi="Times New Roman" w:cs="Times New Roman"/>
          <w:sz w:val="28"/>
          <w:szCs w:val="28"/>
        </w:rPr>
      </w:pPr>
      <w:r w:rsidRPr="00ED58CE">
        <w:rPr>
          <w:rFonts w:ascii="Times New Roman" w:hAnsi="Times New Roman" w:cs="Times New Roman"/>
          <w:sz w:val="28"/>
          <w:szCs w:val="28"/>
        </w:rPr>
        <w:t>При реализации данной концепции уменьшаются затраты на ведение процесса и увеличивается его интенсивность.</w:t>
      </w:r>
    </w:p>
    <w:p w14:paraId="387BB2BB" w14:textId="7B4E9B09" w:rsidR="00ED58CE" w:rsidRDefault="002728A7" w:rsidP="00ED5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Оптимальное использование оборудования:</w:t>
      </w:r>
    </w:p>
    <w:p w14:paraId="119E99CA" w14:textId="36DF6C8E" w:rsidR="002728A7" w:rsidRDefault="002728A7" w:rsidP="002728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катализаторы</w:t>
      </w:r>
    </w:p>
    <w:p w14:paraId="34544E71" w14:textId="003B6E90" w:rsidR="002728A7" w:rsidRDefault="002728A7" w:rsidP="002728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Оптимальная технологическая схема</w:t>
      </w:r>
    </w:p>
    <w:p w14:paraId="030D3B78" w14:textId="68902A43" w:rsidR="002728A7" w:rsidRDefault="002728A7" w:rsidP="002728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Оптимальный технологический режим </w:t>
      </w:r>
    </w:p>
    <w:p w14:paraId="7DB237A2" w14:textId="75A2E2AF" w:rsidR="002728A7" w:rsidRDefault="002728A7" w:rsidP="002728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Оптимальная конструкция аппарата</w:t>
      </w:r>
    </w:p>
    <w:p w14:paraId="38DB2D30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Путь использования новых катализаторов в процессе</w:t>
      </w:r>
    </w:p>
    <w:p w14:paraId="4B616DCB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>На разработку новых катализаторов и их внедрение требуются большие материальные затраты. В зависимости от специфики технологии до 90% средств при разработке нового процесса идет на катализатор, поэтому очень важный путь – это разработка наиболее эффективных каталитических систем с целью интенсификации процесса.</w:t>
      </w:r>
    </w:p>
    <w:p w14:paraId="73BDD90A" w14:textId="0C712F8A" w:rsid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>Разработка новых катализаторов химических процессов проводится в направлении увеличения выхода целевого продукта и повышения его качества. Требуется решать задачу выбора наиболее подходящего катализатора для данного типа сырья. Например, катализаторами каталитического риформинга бензинов являются платина и рений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8A7">
        <w:rPr>
          <w:rFonts w:ascii="Times New Roman" w:hAnsi="Times New Roman" w:cs="Times New Roman"/>
          <w:sz w:val="28"/>
          <w:szCs w:val="28"/>
        </w:rPr>
        <w:t>(</w:t>
      </w:r>
      <w:r w:rsidRPr="002728A7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2728A7">
        <w:rPr>
          <w:rFonts w:ascii="Times New Roman" w:hAnsi="Times New Roman" w:cs="Times New Roman"/>
          <w:sz w:val="28"/>
          <w:szCs w:val="28"/>
        </w:rPr>
        <w:t xml:space="preserve"> и </w:t>
      </w:r>
      <w:r w:rsidRPr="002728A7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2728A7">
        <w:rPr>
          <w:rFonts w:ascii="Times New Roman" w:hAnsi="Times New Roman" w:cs="Times New Roman"/>
          <w:sz w:val="28"/>
          <w:szCs w:val="28"/>
        </w:rPr>
        <w:t>). Соотношение платины и рения колеблется в интервале от 0,5 до 1,5%.</w:t>
      </w:r>
    </w:p>
    <w:p w14:paraId="61181058" w14:textId="6D3E815C" w:rsidR="000356E8" w:rsidRPr="000356E8" w:rsidRDefault="000356E8" w:rsidP="000356E8">
      <w:pPr>
        <w:rPr>
          <w:rFonts w:ascii="Times New Roman" w:hAnsi="Times New Roman" w:cs="Times New Roman"/>
          <w:sz w:val="28"/>
          <w:szCs w:val="28"/>
        </w:rPr>
      </w:pPr>
      <w:r w:rsidRPr="000356E8">
        <w:rPr>
          <w:rFonts w:ascii="Times New Roman" w:hAnsi="Times New Roman" w:cs="Times New Roman"/>
          <w:sz w:val="28"/>
          <w:szCs w:val="28"/>
        </w:rPr>
        <w:t>Выбор катализатора для конкретного перерабатывающего завода зависит от сырья.</w:t>
      </w:r>
    </w:p>
    <w:p w14:paraId="7337E319" w14:textId="11F58668" w:rsidR="000356E8" w:rsidRDefault="000356E8" w:rsidP="000356E8">
      <w:pPr>
        <w:rPr>
          <w:rFonts w:ascii="Times New Roman" w:hAnsi="Times New Roman" w:cs="Times New Roman"/>
          <w:sz w:val="28"/>
          <w:szCs w:val="28"/>
        </w:rPr>
      </w:pPr>
      <w:r w:rsidRPr="000356E8">
        <w:rPr>
          <w:rFonts w:ascii="Times New Roman" w:hAnsi="Times New Roman" w:cs="Times New Roman"/>
          <w:sz w:val="28"/>
          <w:szCs w:val="28"/>
        </w:rPr>
        <w:t xml:space="preserve">Если сырье нафтеновое, то предпочтительнее использовать катализаторы, сбалансированные по платине и рению, то есть в которых соотношение </w:t>
      </w:r>
      <w:proofErr w:type="gramStart"/>
      <w:r w:rsidRPr="000356E8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0356E8">
        <w:rPr>
          <w:rFonts w:ascii="Times New Roman" w:hAnsi="Times New Roman" w:cs="Times New Roman"/>
          <w:sz w:val="28"/>
          <w:szCs w:val="28"/>
        </w:rPr>
        <w:t>:</w:t>
      </w:r>
      <w:r w:rsidRPr="000356E8">
        <w:rPr>
          <w:rFonts w:ascii="Times New Roman" w:hAnsi="Times New Roman" w:cs="Times New Roman"/>
          <w:sz w:val="28"/>
          <w:szCs w:val="28"/>
          <w:lang w:val="en-US"/>
        </w:rPr>
        <w:t>Re</w:t>
      </w:r>
      <w:proofErr w:type="gramEnd"/>
      <w:r w:rsidRPr="000356E8">
        <w:rPr>
          <w:rFonts w:ascii="Times New Roman" w:hAnsi="Times New Roman" w:cs="Times New Roman"/>
          <w:sz w:val="28"/>
          <w:szCs w:val="28"/>
        </w:rPr>
        <w:t xml:space="preserve"> составляет 1. В случае </w:t>
      </w:r>
      <w:proofErr w:type="spellStart"/>
      <w:r w:rsidRPr="000356E8">
        <w:rPr>
          <w:rFonts w:ascii="Times New Roman" w:hAnsi="Times New Roman" w:cs="Times New Roman"/>
          <w:sz w:val="28"/>
          <w:szCs w:val="28"/>
        </w:rPr>
        <w:t>парафинистого</w:t>
      </w:r>
      <w:proofErr w:type="spellEnd"/>
      <w:r w:rsidRPr="000356E8">
        <w:rPr>
          <w:rFonts w:ascii="Times New Roman" w:hAnsi="Times New Roman" w:cs="Times New Roman"/>
          <w:sz w:val="28"/>
          <w:szCs w:val="28"/>
        </w:rPr>
        <w:t xml:space="preserve"> сырья желательно использование несбалансированных по рению катализаторов, в которых соотношение </w:t>
      </w:r>
      <w:proofErr w:type="gramStart"/>
      <w:r w:rsidRPr="000356E8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0356E8">
        <w:rPr>
          <w:rFonts w:ascii="Times New Roman" w:hAnsi="Times New Roman" w:cs="Times New Roman"/>
          <w:sz w:val="28"/>
          <w:szCs w:val="28"/>
        </w:rPr>
        <w:t>:</w:t>
      </w:r>
      <w:r w:rsidRPr="000356E8">
        <w:rPr>
          <w:rFonts w:ascii="Times New Roman" w:hAnsi="Times New Roman" w:cs="Times New Roman"/>
          <w:sz w:val="28"/>
          <w:szCs w:val="28"/>
          <w:lang w:val="en-US"/>
        </w:rPr>
        <w:t>Re</w:t>
      </w:r>
      <w:proofErr w:type="gramEnd"/>
      <w:r w:rsidRPr="000356E8">
        <w:rPr>
          <w:rFonts w:ascii="Times New Roman" w:hAnsi="Times New Roman" w:cs="Times New Roman"/>
          <w:sz w:val="28"/>
          <w:szCs w:val="28"/>
        </w:rPr>
        <w:t xml:space="preserve"> </w:t>
      </w:r>
      <w:r w:rsidRPr="000356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56E8">
        <w:rPr>
          <w:rFonts w:ascii="Times New Roman" w:hAnsi="Times New Roman" w:cs="Times New Roman"/>
          <w:sz w:val="28"/>
          <w:szCs w:val="28"/>
        </w:rPr>
        <w:t>оставляет 0,5. Это физико-химическими закономерностями процесса превращения углеводородов бензиновой фракции на поверхности катализатора. Избыток рения в катализаторе определяет одну из побочных реакций процесса (</w:t>
      </w:r>
      <w:proofErr w:type="spellStart"/>
      <w:r w:rsidRPr="000356E8">
        <w:rPr>
          <w:rFonts w:ascii="Times New Roman" w:hAnsi="Times New Roman" w:cs="Times New Roman"/>
          <w:sz w:val="28"/>
          <w:szCs w:val="28"/>
        </w:rPr>
        <w:t>гидрогенолиз</w:t>
      </w:r>
      <w:proofErr w:type="spellEnd"/>
      <w:r w:rsidRPr="000356E8">
        <w:rPr>
          <w:rFonts w:ascii="Times New Roman" w:hAnsi="Times New Roman" w:cs="Times New Roman"/>
          <w:sz w:val="28"/>
          <w:szCs w:val="28"/>
        </w:rPr>
        <w:t xml:space="preserve"> нафтенов). При этом образуются легкие углеводороды и, соответственно, снижается выход целевого продукта – высокооктанового бензина.</w:t>
      </w:r>
    </w:p>
    <w:p w14:paraId="1332117C" w14:textId="02D58363" w:rsidR="000356E8" w:rsidRDefault="000356E8" w:rsidP="000356E8">
      <w:pPr>
        <w:rPr>
          <w:rFonts w:ascii="Times New Roman" w:hAnsi="Times New Roman" w:cs="Times New Roman"/>
          <w:sz w:val="28"/>
          <w:szCs w:val="28"/>
        </w:rPr>
      </w:pPr>
    </w:p>
    <w:p w14:paraId="541E2F6D" w14:textId="250E46DD" w:rsidR="000356E8" w:rsidRDefault="000356E8" w:rsidP="000356E8">
      <w:pPr>
        <w:rPr>
          <w:rFonts w:ascii="Times New Roman" w:hAnsi="Times New Roman" w:cs="Times New Roman"/>
          <w:sz w:val="28"/>
          <w:szCs w:val="28"/>
        </w:rPr>
      </w:pPr>
    </w:p>
    <w:p w14:paraId="2FC143BC" w14:textId="77777777" w:rsidR="000356E8" w:rsidRPr="000356E8" w:rsidRDefault="000356E8" w:rsidP="000356E8">
      <w:pPr>
        <w:rPr>
          <w:rFonts w:ascii="Times New Roman" w:hAnsi="Times New Roman" w:cs="Times New Roman"/>
          <w:sz w:val="28"/>
          <w:szCs w:val="28"/>
        </w:rPr>
      </w:pPr>
    </w:p>
    <w:p w14:paraId="6D3986AA" w14:textId="77777777" w:rsidR="000356E8" w:rsidRDefault="000356E8" w:rsidP="002728A7">
      <w:pPr>
        <w:rPr>
          <w:rFonts w:ascii="Times New Roman" w:hAnsi="Times New Roman" w:cs="Times New Roman"/>
          <w:sz w:val="28"/>
          <w:szCs w:val="28"/>
        </w:rPr>
      </w:pPr>
    </w:p>
    <w:p w14:paraId="61A2F247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Путь оптимизации технологических режимов ведения процесса</w:t>
      </w:r>
    </w:p>
    <w:p w14:paraId="34C7D0A1" w14:textId="23646ACE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>На современном уровне производства данный путь эффективно реализуется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8A7">
        <w:rPr>
          <w:rFonts w:ascii="Times New Roman" w:hAnsi="Times New Roman" w:cs="Times New Roman"/>
          <w:sz w:val="28"/>
          <w:szCs w:val="28"/>
        </w:rPr>
        <w:t>с использованием метода математического моделирования и компьютерных программ.</w:t>
      </w:r>
    </w:p>
    <w:p w14:paraId="709B81A2" w14:textId="5E6233B5" w:rsid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 xml:space="preserve">С использованием физико-химических моделей можно быстро определить оптимальный режим ведения процесса для конкретных условий, а именно с </w:t>
      </w:r>
      <w:bookmarkStart w:id="0" w:name="_GoBack"/>
      <w:bookmarkEnd w:id="0"/>
      <w:r w:rsidRPr="002728A7">
        <w:rPr>
          <w:rFonts w:ascii="Times New Roman" w:hAnsi="Times New Roman" w:cs="Times New Roman"/>
          <w:sz w:val="28"/>
          <w:szCs w:val="28"/>
        </w:rPr>
        <w:t>учетом специфики сырья и оборудования конкретного производства.</w:t>
      </w:r>
    </w:p>
    <w:p w14:paraId="1C416AF0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Путь оптимизации технологических схем химических производств</w:t>
      </w:r>
    </w:p>
    <w:p w14:paraId="14B03D3A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>В этом случае определяется оптимальная топология ХТС исходя из максимальной эффективности. При оптимизации технологических схем определяются оптимальные значения структурных параметров ХТС или связи между аппаратами. Например, организация технологической схемы с рециклом по не превращенному сырью. В этом случае изменение направления потока повышает степень превращения сырья в продукт.</w:t>
      </w:r>
    </w:p>
    <w:p w14:paraId="48298AD9" w14:textId="7128858D" w:rsid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>Задача оптимизации ХТС – это поиск экстремума, так как увеличение эффективности часто приводит к повышению затрат на производство. Например, технологическая схема с рециклом приводит к повышению затрат на организацию этого рецикла.</w:t>
      </w:r>
    </w:p>
    <w:p w14:paraId="1BD2D7F6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 xml:space="preserve">Для оптимального использования оборудования в этом случае необходимо определить то количество </w:t>
      </w:r>
      <w:proofErr w:type="spellStart"/>
      <w:r w:rsidRPr="002728A7">
        <w:rPr>
          <w:rFonts w:ascii="Times New Roman" w:hAnsi="Times New Roman" w:cs="Times New Roman"/>
          <w:sz w:val="28"/>
          <w:szCs w:val="28"/>
        </w:rPr>
        <w:t>рециркулята</w:t>
      </w:r>
      <w:proofErr w:type="spellEnd"/>
      <w:r w:rsidRPr="002728A7">
        <w:rPr>
          <w:rFonts w:ascii="Times New Roman" w:hAnsi="Times New Roman" w:cs="Times New Roman"/>
          <w:sz w:val="28"/>
          <w:szCs w:val="28"/>
        </w:rPr>
        <w:t xml:space="preserve">, использование которого не приведет к существенным энергетическим затратам. </w:t>
      </w:r>
    </w:p>
    <w:p w14:paraId="3A986577" w14:textId="245046A9" w:rsid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>При реализации данного пути приходится также решать задачу выбора типа оптимального оборудования.</w:t>
      </w:r>
    </w:p>
    <w:p w14:paraId="40D5F825" w14:textId="77777777" w:rsidR="000356E8" w:rsidRPr="000356E8" w:rsidRDefault="000356E8" w:rsidP="000356E8">
      <w:pPr>
        <w:rPr>
          <w:rFonts w:ascii="Times New Roman" w:hAnsi="Times New Roman" w:cs="Times New Roman"/>
          <w:sz w:val="28"/>
          <w:szCs w:val="28"/>
        </w:rPr>
      </w:pPr>
      <w:r w:rsidRPr="000356E8">
        <w:rPr>
          <w:rFonts w:ascii="Times New Roman" w:hAnsi="Times New Roman" w:cs="Times New Roman"/>
          <w:sz w:val="28"/>
          <w:szCs w:val="28"/>
        </w:rPr>
        <w:t xml:space="preserve">Для оптимального использования оборудования в этом случае необходимо определить то количество </w:t>
      </w:r>
      <w:proofErr w:type="spellStart"/>
      <w:r w:rsidRPr="000356E8">
        <w:rPr>
          <w:rFonts w:ascii="Times New Roman" w:hAnsi="Times New Roman" w:cs="Times New Roman"/>
          <w:sz w:val="28"/>
          <w:szCs w:val="28"/>
        </w:rPr>
        <w:t>рециркулята</w:t>
      </w:r>
      <w:proofErr w:type="spellEnd"/>
      <w:r w:rsidRPr="000356E8">
        <w:rPr>
          <w:rFonts w:ascii="Times New Roman" w:hAnsi="Times New Roman" w:cs="Times New Roman"/>
          <w:sz w:val="28"/>
          <w:szCs w:val="28"/>
        </w:rPr>
        <w:t xml:space="preserve">, использование которого не приведет к существенным энергетическим затратам. </w:t>
      </w:r>
    </w:p>
    <w:p w14:paraId="6B9D6959" w14:textId="77777777" w:rsidR="000356E8" w:rsidRPr="000356E8" w:rsidRDefault="000356E8" w:rsidP="000356E8">
      <w:pPr>
        <w:rPr>
          <w:rFonts w:ascii="Times New Roman" w:hAnsi="Times New Roman" w:cs="Times New Roman"/>
          <w:sz w:val="28"/>
          <w:szCs w:val="28"/>
        </w:rPr>
      </w:pPr>
      <w:r w:rsidRPr="000356E8">
        <w:rPr>
          <w:rFonts w:ascii="Times New Roman" w:hAnsi="Times New Roman" w:cs="Times New Roman"/>
          <w:sz w:val="28"/>
          <w:szCs w:val="28"/>
        </w:rPr>
        <w:t xml:space="preserve">При реализации данного пути приходится также решать задачу выбора типа оптимального оборудования. Например, газожидкостный процесс может быть реализован в реакторе и в насадочной колонне. </w:t>
      </w:r>
    </w:p>
    <w:p w14:paraId="36B3802F" w14:textId="5AD84B8C" w:rsidR="000356E8" w:rsidRPr="002728A7" w:rsidRDefault="000356E8" w:rsidP="002728A7">
      <w:pPr>
        <w:rPr>
          <w:rFonts w:ascii="Times New Roman" w:hAnsi="Times New Roman" w:cs="Times New Roman"/>
          <w:sz w:val="28"/>
          <w:szCs w:val="28"/>
        </w:rPr>
      </w:pPr>
      <w:r w:rsidRPr="000356E8">
        <w:rPr>
          <w:rFonts w:ascii="Times New Roman" w:hAnsi="Times New Roman" w:cs="Times New Roman"/>
          <w:sz w:val="28"/>
          <w:szCs w:val="28"/>
        </w:rPr>
        <w:t xml:space="preserve">Скорость </w:t>
      </w:r>
      <w:proofErr w:type="spellStart"/>
      <w:r w:rsidRPr="000356E8">
        <w:rPr>
          <w:rFonts w:ascii="Times New Roman" w:hAnsi="Times New Roman" w:cs="Times New Roman"/>
          <w:sz w:val="28"/>
          <w:szCs w:val="28"/>
        </w:rPr>
        <w:t>массопередачи</w:t>
      </w:r>
      <w:proofErr w:type="spellEnd"/>
      <w:r w:rsidRPr="000356E8">
        <w:rPr>
          <w:rFonts w:ascii="Times New Roman" w:hAnsi="Times New Roman" w:cs="Times New Roman"/>
          <w:sz w:val="28"/>
          <w:szCs w:val="28"/>
        </w:rPr>
        <w:t xml:space="preserve"> в двухфазном потоке зависит от диффузионного сопротивления фаз, количественным выражением которого является коэффициент </w:t>
      </w:r>
      <w:proofErr w:type="spellStart"/>
      <w:r w:rsidRPr="000356E8">
        <w:rPr>
          <w:rFonts w:ascii="Times New Roman" w:hAnsi="Times New Roman" w:cs="Times New Roman"/>
          <w:sz w:val="28"/>
          <w:szCs w:val="28"/>
        </w:rPr>
        <w:t>массопередачи</w:t>
      </w:r>
      <w:proofErr w:type="spellEnd"/>
      <w:r w:rsidRPr="000356E8">
        <w:rPr>
          <w:rFonts w:ascii="Times New Roman" w:hAnsi="Times New Roman" w:cs="Times New Roman"/>
          <w:sz w:val="28"/>
          <w:szCs w:val="28"/>
        </w:rPr>
        <w:t>. По значению этого коэффициента, который определяется необходимыми условиями процесса, выбирается тип аппарата. Если имеет место быстрая реакция, то необходимо более интенсивное проведение процесса и используется реактор трубчатого типа, в который подается газожидкостный поток.</w:t>
      </w:r>
    </w:p>
    <w:p w14:paraId="79933DBA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Путь уменьшения материалоемкости процесса</w:t>
      </w:r>
    </w:p>
    <w:p w14:paraId="20B3FA2A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 xml:space="preserve">Если принять, что производительность аппарата пропорциональна его объему , а затраты на производство пропорциональны площади поверхности, то можно легко оценить, что увеличение мощности аппарата в два раза приводит к уменьшению удельных затрат на его производство на 15 </w:t>
      </w:r>
      <w:r w:rsidRPr="002728A7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728A7">
        <w:rPr>
          <w:rFonts w:ascii="Times New Roman" w:hAnsi="Times New Roman" w:cs="Times New Roman"/>
          <w:sz w:val="28"/>
          <w:szCs w:val="28"/>
        </w:rPr>
        <w:t>20%.</w:t>
      </w:r>
    </w:p>
    <w:p w14:paraId="3390DED2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 xml:space="preserve">Таким образом, оптимальный выбор размера аппарата приводит к снижению удельной материалоемкости. Поэтому создание крупных производств всегда более выгодно, чем строительство малотоннажных установок. Необходимо учитывать при этом расходы на транспорт сырья и продуктов. Поэтому наряду с крупнотоннажными производствами переработки нефти до 27 млн. т в год ведется строительство модульных установок мощностью 100 </w:t>
      </w:r>
      <w:r w:rsidRPr="002728A7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728A7">
        <w:rPr>
          <w:rFonts w:ascii="Times New Roman" w:hAnsi="Times New Roman" w:cs="Times New Roman"/>
          <w:sz w:val="28"/>
          <w:szCs w:val="28"/>
        </w:rPr>
        <w:t>200 тыс. т в год.</w:t>
      </w:r>
    </w:p>
    <w:p w14:paraId="78667C8B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</w:p>
    <w:p w14:paraId="09BDB803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</w:p>
    <w:p w14:paraId="04DF3E47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</w:p>
    <w:p w14:paraId="0E003983" w14:textId="77777777" w:rsidR="00ED58CE" w:rsidRPr="00ED58CE" w:rsidRDefault="00ED58CE" w:rsidP="00ED58CE">
      <w:pPr>
        <w:rPr>
          <w:rFonts w:ascii="Times New Roman" w:hAnsi="Times New Roman" w:cs="Times New Roman"/>
          <w:sz w:val="28"/>
          <w:szCs w:val="28"/>
        </w:rPr>
      </w:pPr>
    </w:p>
    <w:p w14:paraId="1C5B7496" w14:textId="77777777" w:rsidR="00662ED5" w:rsidRDefault="00662ED5"/>
    <w:sectPr w:rsidR="00662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6F28"/>
    <w:multiLevelType w:val="hybridMultilevel"/>
    <w:tmpl w:val="22F0D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E0792"/>
    <w:multiLevelType w:val="hybridMultilevel"/>
    <w:tmpl w:val="50566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B1"/>
    <w:rsid w:val="000356E8"/>
    <w:rsid w:val="002728A7"/>
    <w:rsid w:val="00471734"/>
    <w:rsid w:val="00662ED5"/>
    <w:rsid w:val="00813A2E"/>
    <w:rsid w:val="008D1210"/>
    <w:rsid w:val="009303B1"/>
    <w:rsid w:val="00EC204A"/>
    <w:rsid w:val="00ED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110EF"/>
  <w15:chartTrackingRefBased/>
  <w15:docId w15:val="{A279C0C1-89E6-40A3-B06D-615F878A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8A7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EC204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EC2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2020-03-31T08:35:00Z</dcterms:created>
  <dcterms:modified xsi:type="dcterms:W3CDTF">2020-04-09T13:24:00Z</dcterms:modified>
</cp:coreProperties>
</file>