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BC625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Министерство образования и науки Российской Федерации </w:t>
      </w:r>
    </w:p>
    <w:p w14:paraId="479D6051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7B84EC52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356B1162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«НАЦИОНАЛЬНЫЙ ИССЛЕДОВАТЕЛЬСКИЙ </w:t>
      </w:r>
    </w:p>
    <w:p w14:paraId="67869F5C" w14:textId="3197FC22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C2D4D5" wp14:editId="0735AF6F">
                <wp:simplePos x="0" y="0"/>
                <wp:positionH relativeFrom="column">
                  <wp:posOffset>-51435</wp:posOffset>
                </wp:positionH>
                <wp:positionV relativeFrom="paragraph">
                  <wp:posOffset>188595</wp:posOffset>
                </wp:positionV>
                <wp:extent cx="5886450" cy="0"/>
                <wp:effectExtent l="9525" t="9525" r="9525" b="952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4B55" id="Прямая соединительная линия 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4.05pt,14.85pt" to="459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" strokeweight="1.5pt">
                <v:stroke joinstyle="miter"/>
              </v:line>
            </w:pict>
          </mc:Fallback>
        </mc:AlternateContent>
      </w:r>
      <w:r w:rsidRPr="00EC20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ТОМСКИЙ ПОЛИТЕХНИЧЕСКИЙ УНИВЕРСИТЕТ» </w:t>
      </w:r>
    </w:p>
    <w:p w14:paraId="329C868E" w14:textId="77777777" w:rsidR="00EC204A" w:rsidRPr="00EC204A" w:rsidRDefault="00EC204A" w:rsidP="00EC204A">
      <w:pPr>
        <w:spacing w:before="120" w:after="0" w:line="240" w:lineRule="auto"/>
        <w:ind w:right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Инженерная школа природных ресурсов</w:t>
      </w:r>
    </w:p>
    <w:p w14:paraId="39E2D246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 Химическая технология подготовки и переработки нефти и газа</w:t>
      </w:r>
    </w:p>
    <w:p w14:paraId="4DA9955B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Отделение школы Химической инженерии</w:t>
      </w:r>
    </w:p>
    <w:p w14:paraId="7DD39A4C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D3586F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F479DB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3B719" w14:textId="520D7A03" w:rsidR="00EC204A" w:rsidRPr="00EC204A" w:rsidRDefault="00813A2E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14:paraId="5CC433B0" w14:textId="089C5ED7" w:rsidR="00EC204A" w:rsidRPr="00EC204A" w:rsidRDefault="00EC204A" w:rsidP="00EC204A">
      <w:pPr>
        <w:spacing w:before="240"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дисциплине: «</w:t>
      </w:r>
      <w:r w:rsidR="00813A2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автоматизации процессов химической технологии</w:t>
      </w:r>
      <w:bookmarkStart w:id="0" w:name="_GoBack"/>
      <w:bookmarkEnd w:id="0"/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DFFDFA5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</w:p>
    <w:p w14:paraId="0C33AEB0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C13F39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</w:t>
      </w:r>
    </w:p>
    <w:p w14:paraId="51A34AC4" w14:textId="77777777" w:rsidR="00EC204A" w:rsidRPr="00EC204A" w:rsidRDefault="00EC204A" w:rsidP="00EC204A">
      <w:pPr>
        <w:spacing w:after="0" w:line="240" w:lineRule="auto"/>
        <w:ind w:right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7831F9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21DF19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787A0F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EF445C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1E7ABE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2"/>
        <w:gridCol w:w="36"/>
        <w:gridCol w:w="4127"/>
        <w:gridCol w:w="2130"/>
        <w:gridCol w:w="563"/>
      </w:tblGrid>
      <w:tr w:rsidR="00EC204A" w:rsidRPr="00EC204A" w14:paraId="512AD528" w14:textId="77777777" w:rsidTr="00813A2E">
        <w:trPr>
          <w:gridAfter w:val="1"/>
          <w:wAfter w:w="563" w:type="dxa"/>
        </w:trPr>
        <w:tc>
          <w:tcPr>
            <w:tcW w:w="3098" w:type="dxa"/>
            <w:gridSpan w:val="2"/>
            <w:vMerge w:val="restart"/>
          </w:tcPr>
          <w:p w14:paraId="565789E3" w14:textId="7A97CB6D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 xml:space="preserve">Выполнил </w:t>
            </w:r>
          </w:p>
          <w:p w14:paraId="7751B283" w14:textId="2C641181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 xml:space="preserve">студент гр.2Д6В: </w:t>
            </w:r>
          </w:p>
        </w:tc>
        <w:tc>
          <w:tcPr>
            <w:tcW w:w="4127" w:type="dxa"/>
          </w:tcPr>
          <w:p w14:paraId="143A3EC2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</w:tcPr>
          <w:p w14:paraId="19865300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C204A" w:rsidRPr="00EC204A" w14:paraId="47E1C6D8" w14:textId="77777777" w:rsidTr="00813A2E">
        <w:trPr>
          <w:gridAfter w:val="1"/>
          <w:wAfter w:w="563" w:type="dxa"/>
        </w:trPr>
        <w:tc>
          <w:tcPr>
            <w:tcW w:w="3098" w:type="dxa"/>
            <w:gridSpan w:val="2"/>
            <w:vMerge/>
          </w:tcPr>
          <w:p w14:paraId="7340352C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27" w:type="dxa"/>
          </w:tcPr>
          <w:p w14:paraId="0144CA6E" w14:textId="77777777" w:rsidR="00EC204A" w:rsidRPr="00EC204A" w:rsidRDefault="00EC204A" w:rsidP="00EC204A">
            <w:pPr>
              <w:spacing w:line="360" w:lineRule="auto"/>
              <w:ind w:right="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___________________</w:t>
            </w:r>
          </w:p>
        </w:tc>
        <w:tc>
          <w:tcPr>
            <w:tcW w:w="2130" w:type="dxa"/>
          </w:tcPr>
          <w:p w14:paraId="471691BC" w14:textId="33E6A50F" w:rsidR="00EC204A" w:rsidRPr="00EC204A" w:rsidRDefault="00813A2E" w:rsidP="00EC204A">
            <w:pPr>
              <w:spacing w:line="360" w:lineRule="auto"/>
              <w:ind w:right="6"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Мурашова Е.Е.</w:t>
            </w:r>
          </w:p>
        </w:tc>
      </w:tr>
      <w:tr w:rsidR="00EC204A" w:rsidRPr="00EC204A" w14:paraId="2463D458" w14:textId="77777777" w:rsidTr="00813A2E">
        <w:trPr>
          <w:gridAfter w:val="1"/>
          <w:wAfter w:w="563" w:type="dxa"/>
        </w:trPr>
        <w:tc>
          <w:tcPr>
            <w:tcW w:w="3098" w:type="dxa"/>
            <w:gridSpan w:val="2"/>
            <w:vMerge/>
          </w:tcPr>
          <w:p w14:paraId="3B9620D7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27" w:type="dxa"/>
          </w:tcPr>
          <w:p w14:paraId="09769FD1" w14:textId="2425546C" w:rsidR="00EC204A" w:rsidRPr="00EC204A" w:rsidRDefault="00EC204A" w:rsidP="00EC204A">
            <w:pPr>
              <w:spacing w:line="360" w:lineRule="auto"/>
              <w:ind w:right="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</w:tcPr>
          <w:p w14:paraId="26DDC1E2" w14:textId="3256FB9A" w:rsidR="00EC204A" w:rsidRPr="00EC204A" w:rsidRDefault="00EC204A" w:rsidP="00EC204A">
            <w:pPr>
              <w:spacing w:line="360" w:lineRule="auto"/>
              <w:ind w:right="6"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C204A" w:rsidRPr="00EC204A" w14:paraId="7A1B637F" w14:textId="77777777" w:rsidTr="00813A2E">
        <w:trPr>
          <w:gridAfter w:val="1"/>
          <w:wAfter w:w="563" w:type="dxa"/>
        </w:trPr>
        <w:tc>
          <w:tcPr>
            <w:tcW w:w="3098" w:type="dxa"/>
            <w:gridSpan w:val="2"/>
            <w:vMerge/>
          </w:tcPr>
          <w:p w14:paraId="24D5F442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27" w:type="dxa"/>
          </w:tcPr>
          <w:p w14:paraId="3F085BF9" w14:textId="47247AA4" w:rsidR="00EC204A" w:rsidRPr="00EC204A" w:rsidRDefault="00EC204A" w:rsidP="00EC204A">
            <w:pPr>
              <w:spacing w:line="360" w:lineRule="auto"/>
              <w:ind w:right="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</w:tcPr>
          <w:p w14:paraId="3EBD2AAF" w14:textId="4DFF23E7" w:rsidR="00EC204A" w:rsidRPr="00EC204A" w:rsidRDefault="00EC204A" w:rsidP="00EC204A">
            <w:pPr>
              <w:spacing w:line="360" w:lineRule="auto"/>
              <w:ind w:right="6"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C204A" w:rsidRPr="00EC204A" w14:paraId="2B892E64" w14:textId="77777777" w:rsidTr="00813A2E">
        <w:trPr>
          <w:gridAfter w:val="1"/>
          <w:wAfter w:w="563" w:type="dxa"/>
        </w:trPr>
        <w:tc>
          <w:tcPr>
            <w:tcW w:w="3098" w:type="dxa"/>
            <w:gridSpan w:val="2"/>
          </w:tcPr>
          <w:p w14:paraId="07C4FCDF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27" w:type="dxa"/>
          </w:tcPr>
          <w:p w14:paraId="5CEDAD63" w14:textId="5D81C363" w:rsidR="00EC204A" w:rsidRPr="00EC204A" w:rsidRDefault="00EC204A" w:rsidP="00EC204A">
            <w:pPr>
              <w:spacing w:line="360" w:lineRule="auto"/>
              <w:ind w:right="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</w:tcPr>
          <w:p w14:paraId="2CD96875" w14:textId="50113068" w:rsidR="00EC204A" w:rsidRPr="00EC204A" w:rsidRDefault="00EC204A" w:rsidP="00EC204A">
            <w:pPr>
              <w:spacing w:line="360" w:lineRule="auto"/>
              <w:ind w:right="6"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C204A" w:rsidRPr="00EC204A" w14:paraId="7846B677" w14:textId="77777777" w:rsidTr="00813A2E">
        <w:tc>
          <w:tcPr>
            <w:tcW w:w="3062" w:type="dxa"/>
          </w:tcPr>
          <w:p w14:paraId="48C57CA8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 xml:space="preserve">Проверил </w:t>
            </w:r>
          </w:p>
        </w:tc>
        <w:tc>
          <w:tcPr>
            <w:tcW w:w="4163" w:type="dxa"/>
            <w:gridSpan w:val="2"/>
          </w:tcPr>
          <w:p w14:paraId="5B4C1A10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gridSpan w:val="2"/>
          </w:tcPr>
          <w:p w14:paraId="1190BA45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C204A" w:rsidRPr="00EC204A" w14:paraId="0F391F01" w14:textId="77777777" w:rsidTr="00813A2E">
        <w:trPr>
          <w:trHeight w:val="555"/>
        </w:trPr>
        <w:tc>
          <w:tcPr>
            <w:tcW w:w="3062" w:type="dxa"/>
          </w:tcPr>
          <w:p w14:paraId="4BD2E56C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4163" w:type="dxa"/>
            <w:gridSpan w:val="2"/>
          </w:tcPr>
          <w:p w14:paraId="74B8332D" w14:textId="77777777" w:rsidR="00EC204A" w:rsidRPr="00EC204A" w:rsidRDefault="00EC204A" w:rsidP="00EC204A">
            <w:pPr>
              <w:spacing w:line="360" w:lineRule="auto"/>
              <w:ind w:right="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___________________</w:t>
            </w:r>
          </w:p>
        </w:tc>
        <w:tc>
          <w:tcPr>
            <w:tcW w:w="2693" w:type="dxa"/>
            <w:gridSpan w:val="2"/>
          </w:tcPr>
          <w:p w14:paraId="59904879" w14:textId="1673AC51" w:rsidR="00EC204A" w:rsidRPr="00EC204A" w:rsidRDefault="00EC204A" w:rsidP="00EC204A">
            <w:pPr>
              <w:spacing w:line="360" w:lineRule="auto"/>
              <w:ind w:right="6"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Ива</w:t>
            </w:r>
            <w:r w:rsidR="00813A2E">
              <w:rPr>
                <w:rFonts w:eastAsia="Times New Roman"/>
                <w:sz w:val="24"/>
                <w:szCs w:val="24"/>
                <w:lang w:eastAsia="ru-RU"/>
              </w:rPr>
              <w:t>нчина</w:t>
            </w:r>
            <w:r w:rsidRPr="00EC204A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="00813A2E">
              <w:rPr>
                <w:rFonts w:eastAsia="Times New Roman"/>
                <w:sz w:val="24"/>
                <w:szCs w:val="24"/>
                <w:lang w:eastAsia="ru-RU"/>
              </w:rPr>
              <w:t>Э</w:t>
            </w: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="00813A2E">
              <w:rPr>
                <w:rFonts w:eastAsia="Times New Roman"/>
                <w:sz w:val="24"/>
                <w:szCs w:val="24"/>
                <w:lang w:eastAsia="ru-RU"/>
              </w:rPr>
              <w:t>Д</w:t>
            </w: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</w:tr>
      <w:tr w:rsidR="00EC204A" w:rsidRPr="00EC204A" w14:paraId="62ABC4A1" w14:textId="77777777" w:rsidTr="00813A2E">
        <w:tc>
          <w:tcPr>
            <w:tcW w:w="3062" w:type="dxa"/>
          </w:tcPr>
          <w:p w14:paraId="1D67230F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63" w:type="dxa"/>
            <w:gridSpan w:val="2"/>
          </w:tcPr>
          <w:p w14:paraId="18B8CB0C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gridSpan w:val="2"/>
          </w:tcPr>
          <w:p w14:paraId="0452419D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72A32ED9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493D47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C0D624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E3D49B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601A9F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EA1736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89371A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13BB09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FB12E5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10D819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3F0921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4E0CDB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500D8B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 – 2020 г.</w:t>
      </w:r>
    </w:p>
    <w:p w14:paraId="533E1CD4" w14:textId="538CE628" w:rsidR="00EC204A" w:rsidRDefault="00EC204A" w:rsidP="00ED58CE">
      <w:pPr>
        <w:rPr>
          <w:rFonts w:ascii="Times New Roman" w:hAnsi="Times New Roman" w:cs="Times New Roman"/>
          <w:sz w:val="28"/>
          <w:szCs w:val="28"/>
        </w:rPr>
      </w:pPr>
    </w:p>
    <w:p w14:paraId="46FFCB7C" w14:textId="77777777" w:rsidR="00EC204A" w:rsidRDefault="00EC204A" w:rsidP="00ED58CE">
      <w:pPr>
        <w:rPr>
          <w:rFonts w:ascii="Times New Roman" w:hAnsi="Times New Roman" w:cs="Times New Roman"/>
          <w:sz w:val="28"/>
          <w:szCs w:val="28"/>
        </w:rPr>
      </w:pPr>
    </w:p>
    <w:p w14:paraId="59143393" w14:textId="094FBE24" w:rsidR="00ED58CE" w:rsidRDefault="00ED58CE" w:rsidP="00ED5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Вопрос № 19: </w:t>
      </w:r>
      <w:r w:rsidRPr="00ED58CE">
        <w:rPr>
          <w:rFonts w:ascii="Times New Roman" w:hAnsi="Times New Roman" w:cs="Times New Roman"/>
          <w:sz w:val="28"/>
          <w:szCs w:val="28"/>
        </w:rPr>
        <w:t>Концепция – оптимальное использование 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E4D0AB" w14:textId="4DF48413" w:rsidR="00ED58CE" w:rsidRDefault="00ED58CE" w:rsidP="00ED58CE">
      <w:pPr>
        <w:rPr>
          <w:rFonts w:ascii="Times New Roman" w:hAnsi="Times New Roman" w:cs="Times New Roman"/>
          <w:sz w:val="28"/>
          <w:szCs w:val="28"/>
        </w:rPr>
      </w:pPr>
      <w:r w:rsidRPr="00ED58CE">
        <w:rPr>
          <w:rFonts w:ascii="Times New Roman" w:hAnsi="Times New Roman" w:cs="Times New Roman"/>
          <w:sz w:val="28"/>
          <w:szCs w:val="28"/>
        </w:rPr>
        <w:t>При реализации данной концепции уменьшаются затраты на ведение процесса и увеличивается его интенсивность.</w:t>
      </w:r>
    </w:p>
    <w:p w14:paraId="387BB2BB" w14:textId="7B4E9B09" w:rsidR="00ED58CE" w:rsidRDefault="002728A7" w:rsidP="00ED5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Оптимальное использование оборудования:</w:t>
      </w:r>
    </w:p>
    <w:p w14:paraId="119E99CA" w14:textId="36DF6C8E" w:rsidR="002728A7" w:rsidRDefault="002728A7" w:rsidP="002728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катализаторы</w:t>
      </w:r>
    </w:p>
    <w:p w14:paraId="34544E71" w14:textId="003B6E90" w:rsidR="002728A7" w:rsidRDefault="002728A7" w:rsidP="002728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Оптимальная технологическая схема</w:t>
      </w:r>
    </w:p>
    <w:p w14:paraId="030D3B78" w14:textId="68902A43" w:rsidR="002728A7" w:rsidRDefault="002728A7" w:rsidP="002728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Оптимальный технологический режим </w:t>
      </w:r>
    </w:p>
    <w:p w14:paraId="7DB237A2" w14:textId="75A2E2AF" w:rsidR="002728A7" w:rsidRDefault="002728A7" w:rsidP="002728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Оптимальная конструкция аппарата</w:t>
      </w:r>
    </w:p>
    <w:p w14:paraId="38DB2D30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Путь использования новых катализаторов в процессе</w:t>
      </w:r>
    </w:p>
    <w:p w14:paraId="4B616DCB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>На разработку новых катализаторов и их внедрение требуются большие материальные затраты. В зависимости от специфики технологии до 90% средств при разработке нового процесса идет на катализатор, поэтому очень важный путь – это разработка наиболее эффективных каталитических систем с целью интенсификации процесса.</w:t>
      </w:r>
    </w:p>
    <w:p w14:paraId="73BDD90A" w14:textId="430AA08A" w:rsid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>Разработка новых катализаторов химических процессов проводится в направлении увеличения выхода целевого продукта и повышения его качества. Требуется решать задачу выбора наиболее подходящего катализатора для данного типа сырья. Например, катализаторами каталитического риформинга бензинов являются платина и рений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8A7">
        <w:rPr>
          <w:rFonts w:ascii="Times New Roman" w:hAnsi="Times New Roman" w:cs="Times New Roman"/>
          <w:sz w:val="28"/>
          <w:szCs w:val="28"/>
        </w:rPr>
        <w:t>(</w:t>
      </w:r>
      <w:r w:rsidRPr="002728A7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2728A7">
        <w:rPr>
          <w:rFonts w:ascii="Times New Roman" w:hAnsi="Times New Roman" w:cs="Times New Roman"/>
          <w:sz w:val="28"/>
          <w:szCs w:val="28"/>
        </w:rPr>
        <w:t xml:space="preserve"> и </w:t>
      </w:r>
      <w:r w:rsidRPr="002728A7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2728A7">
        <w:rPr>
          <w:rFonts w:ascii="Times New Roman" w:hAnsi="Times New Roman" w:cs="Times New Roman"/>
          <w:sz w:val="28"/>
          <w:szCs w:val="28"/>
        </w:rPr>
        <w:t>). Соотношение платины и рения колеблется в интервале от 0,5 до 1,5%.</w:t>
      </w:r>
    </w:p>
    <w:p w14:paraId="61A2F247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Путь оптимизации технологических режимов ведения процесса</w:t>
      </w:r>
    </w:p>
    <w:p w14:paraId="34C7D0A1" w14:textId="23646ACE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>На современном уровне производства данный путь эффективно реализуется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8A7">
        <w:rPr>
          <w:rFonts w:ascii="Times New Roman" w:hAnsi="Times New Roman" w:cs="Times New Roman"/>
          <w:sz w:val="28"/>
          <w:szCs w:val="28"/>
        </w:rPr>
        <w:t>с использованием метода математического моделирования и компьютерных программ.</w:t>
      </w:r>
    </w:p>
    <w:p w14:paraId="709B81A2" w14:textId="5E6233B5" w:rsid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>С использованием физико-химических моделей можно быстро определить оптимальный режим ведения процесса для конкретных условий, а именно с учетом специфики сырья и оборудования конкретного производства.</w:t>
      </w:r>
    </w:p>
    <w:p w14:paraId="1C416AF0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Путь оптимизации технологических схем химических производств</w:t>
      </w:r>
    </w:p>
    <w:p w14:paraId="14B03D3A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>В этом случае определяется оптимальная топология ХТС исходя из максимальной эффективности. При оптимизации технологических схем определяются оптимальные значения структурных параметров ХТС или связи между аппаратами. Например, организация технологической схемы с рециклом по не превращенному сырью. В этом случае изменение направления потока повышает степень превращения сырья в продукт.</w:t>
      </w:r>
    </w:p>
    <w:p w14:paraId="48298AD9" w14:textId="7128858D" w:rsid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 xml:space="preserve">Задача оптимизации ХТС – это поиск экстремума, так как увеличение эффективности часто приводит к повышению затрат на производство. </w:t>
      </w:r>
      <w:r w:rsidRPr="002728A7">
        <w:rPr>
          <w:rFonts w:ascii="Times New Roman" w:hAnsi="Times New Roman" w:cs="Times New Roman"/>
          <w:sz w:val="28"/>
          <w:szCs w:val="28"/>
        </w:rPr>
        <w:lastRenderedPageBreak/>
        <w:t>Например, технологическая схема с рециклом приводит к повышению затрат на организацию этого рецикла.</w:t>
      </w:r>
    </w:p>
    <w:p w14:paraId="1BD2D7F6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 xml:space="preserve">Для оптимального использования оборудования в этом случае необходимо определить то количество рециркулята, использование которого не приведет к существенным энергетическим затратам. </w:t>
      </w:r>
    </w:p>
    <w:p w14:paraId="3A986577" w14:textId="02B3C1E0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>При реализации данного пути приходится также решать задачу выбора типа оптимального оборудования.</w:t>
      </w:r>
    </w:p>
    <w:p w14:paraId="79933DBA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Путь уменьшения материалоемкости процесса</w:t>
      </w:r>
    </w:p>
    <w:p w14:paraId="20B3FA2A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 xml:space="preserve">Если принять, что производительность аппарата пропорциональна его объему , а затраты на производство пропорциональны площади поверхности, то можно легко оценить, что увеличение мощности аппарата в два раза приводит к уменьшению удельных затрат на его производство на 15 </w:t>
      </w:r>
      <w:r w:rsidRPr="002728A7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728A7">
        <w:rPr>
          <w:rFonts w:ascii="Times New Roman" w:hAnsi="Times New Roman" w:cs="Times New Roman"/>
          <w:sz w:val="28"/>
          <w:szCs w:val="28"/>
        </w:rPr>
        <w:t>20%.</w:t>
      </w:r>
    </w:p>
    <w:p w14:paraId="3390DED2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 xml:space="preserve">Таким образом, оптимальный выбор размера аппарата приводит к снижению удельной материалоемкости. Поэтому создание крупных производств всегда более выгодно, чем строительство малотоннажных установок. Необходимо учитывать при этом расходы на транспорт сырья и продуктов. Поэтому наряду с крупнотоннажными производствами переработки нефти до 27 млн. т в год ведется строительство модульных установок мощностью 100 </w:t>
      </w:r>
      <w:r w:rsidRPr="002728A7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728A7">
        <w:rPr>
          <w:rFonts w:ascii="Times New Roman" w:hAnsi="Times New Roman" w:cs="Times New Roman"/>
          <w:sz w:val="28"/>
          <w:szCs w:val="28"/>
        </w:rPr>
        <w:t>200 тыс. т в год.</w:t>
      </w:r>
    </w:p>
    <w:p w14:paraId="78667C8B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</w:p>
    <w:p w14:paraId="09BDB803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</w:p>
    <w:p w14:paraId="04DF3E47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</w:p>
    <w:p w14:paraId="0E003983" w14:textId="77777777" w:rsidR="00ED58CE" w:rsidRPr="00ED58CE" w:rsidRDefault="00ED58CE" w:rsidP="00ED58CE">
      <w:pPr>
        <w:rPr>
          <w:rFonts w:ascii="Times New Roman" w:hAnsi="Times New Roman" w:cs="Times New Roman"/>
          <w:sz w:val="28"/>
          <w:szCs w:val="28"/>
        </w:rPr>
      </w:pPr>
    </w:p>
    <w:p w14:paraId="1C5B7496" w14:textId="77777777" w:rsidR="00662ED5" w:rsidRDefault="00662ED5"/>
    <w:sectPr w:rsidR="00662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6F28"/>
    <w:multiLevelType w:val="hybridMultilevel"/>
    <w:tmpl w:val="22F0D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E0792"/>
    <w:multiLevelType w:val="hybridMultilevel"/>
    <w:tmpl w:val="50566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B1"/>
    <w:rsid w:val="002728A7"/>
    <w:rsid w:val="00471734"/>
    <w:rsid w:val="00662ED5"/>
    <w:rsid w:val="00813A2E"/>
    <w:rsid w:val="009303B1"/>
    <w:rsid w:val="00EC204A"/>
    <w:rsid w:val="00ED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110EF"/>
  <w15:chartTrackingRefBased/>
  <w15:docId w15:val="{A279C0C1-89E6-40A3-B06D-615F878A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8A7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EC204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EC2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2020-03-31T08:35:00Z</dcterms:created>
  <dcterms:modified xsi:type="dcterms:W3CDTF">2020-03-31T09:01:00Z</dcterms:modified>
</cp:coreProperties>
</file>