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93" w:rsidRDefault="00B61CFA" w:rsidP="00C02CA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61CFA">
        <w:rPr>
          <w:rFonts w:ascii="Times New Roman" w:hAnsi="Times New Roman" w:cs="Times New Roman"/>
          <w:sz w:val="28"/>
          <w:szCs w:val="28"/>
        </w:rPr>
        <w:t>ХИМИЧЕСКАЯ МОДЕЛЬ ХТС</w:t>
      </w:r>
    </w:p>
    <w:p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</w:t>
      </w:r>
      <w:r w:rsidRPr="006B5EFD">
        <w:rPr>
          <w:rFonts w:ascii="Times New Roman" w:hAnsi="Times New Roman" w:cs="Times New Roman"/>
          <w:sz w:val="28"/>
          <w:szCs w:val="28"/>
        </w:rPr>
        <w:t>строится на основе химических реакций процесса (основных и побочных).</w:t>
      </w:r>
      <w:r w:rsidR="006B5EFD">
        <w:rPr>
          <w:rFonts w:ascii="Times New Roman" w:hAnsi="Times New Roman" w:cs="Times New Roman"/>
          <w:sz w:val="28"/>
          <w:szCs w:val="28"/>
        </w:rPr>
        <w:t xml:space="preserve"> </w:t>
      </w:r>
      <w:r w:rsidRPr="00C02CAF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6B5EFD">
        <w:rPr>
          <w:rFonts w:ascii="Times New Roman" w:hAnsi="Times New Roman" w:cs="Times New Roman"/>
          <w:sz w:val="28"/>
          <w:szCs w:val="28"/>
        </w:rPr>
        <w:t>многокомпонентных процессов (нефтехимической и нефтеперерабатывающей отрасли) записывают формализованную химическую</w:t>
      </w:r>
      <w:r w:rsidR="006B5EFD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составляется в виде схемы превращений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:rsidR="00B61CFA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br/>
        <w:t xml:space="preserve">Процесс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бензинов</w:t>
      </w:r>
      <w:r w:rsidR="006B5EFD">
        <w:rPr>
          <w:rFonts w:ascii="Times New Roman" w:hAnsi="Times New Roman" w:cs="Times New Roman"/>
          <w:sz w:val="28"/>
          <w:szCs w:val="28"/>
        </w:rPr>
        <w:t>: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CAF" w:rsidRDefault="00C02CAF" w:rsidP="00C02CAF">
      <w:pPr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2883207" cy="1864235"/>
                <wp:effectExtent l="0" t="0" r="12700" b="22225"/>
                <wp:docPr id="819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3207" cy="1864235"/>
                          <a:chOff x="0" y="0"/>
                          <a:chExt cx="2874" cy="1747"/>
                        </a:xfrm>
                      </wpg:grpSpPr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57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и-П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Line 9"/>
                        <wps:cNvCnPr/>
                        <wps:spPr bwMode="auto">
                          <a:xfrm flipV="1">
                            <a:off x="288" y="57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"/>
                        <wps:cNvCnPr/>
                        <wps:spPr bwMode="auto">
                          <a:xfrm flipV="1">
                            <a:off x="801" y="1104"/>
                            <a:ext cx="207" cy="19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/>
                        <wps:spPr bwMode="auto">
                          <a:xfrm>
                            <a:off x="801" y="468"/>
                            <a:ext cx="255" cy="20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/>
                        <wps:spPr bwMode="auto">
                          <a:xfrm flipV="1">
                            <a:off x="1536" y="912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064" y="624"/>
                            <a:ext cx="810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Ар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60" y="624"/>
                            <a:ext cx="595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1226"/>
                            <a:ext cx="969" cy="52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8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192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96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24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227pt;height:146.8pt;mso-position-horizontal-relative:char;mso-position-vertical-relative:line" coordsize="2874,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">
                <v:oval id="Oval 4" o:spid="_x0000_s1027" style="position:absolute;width:969;height:5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и-П</w:t>
                        </w:r>
                      </w:p>
                    </w:txbxContent>
                  </v:textbox>
                </v:oval>
                <v:line id="Line 9" o:spid="_x0000_s1028" style="position:absolute;flip:y;visibility:visible;mso-wrap-style:square" from="288,576" to="288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" strokecolor="black [3213]" strokeweight="6pt">
                  <v:stroke endarrow="block"/>
                </v:line>
                <v:line id="Line 10" o:spid="_x0000_s1029" style="position:absolute;flip:y;visibility:visible;mso-wrap-style:square" from="801,1104" to="1008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" strokecolor="black [3213]" strokeweight="6pt">
                  <v:stroke endarrow="block"/>
                </v:line>
                <v:line id="Line 11" o:spid="_x0000_s1030" style="position:absolute;visibility:visible;mso-wrap-style:square" from="801,468" to="1056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" strokecolor="black [3213]" strokeweight="6pt">
                  <v:stroke endarrow="block"/>
                </v:line>
                <v:line id="Line 12" o:spid="_x0000_s1031" style="position:absolute;flip:y;visibility:visible;mso-wrap-style:square" from="1536,912" to="206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" strokecolor="black [3213]" strokeweight="6pt">
                  <v:stroke endarrow="block"/>
                </v:line>
                <v:oval id="Oval 13" o:spid="_x0000_s1032" style="position:absolute;left:2064;top:624;width:810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Ар</w:t>
                        </w:r>
                      </w:p>
                    </w:txbxContent>
                  </v:textbox>
                </v:oval>
                <v:oval id="Oval 14" o:spid="_x0000_s1033" style="position:absolute;left:960;top:624;width:595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</w:t>
                        </w:r>
                      </w:p>
                    </w:txbxContent>
                  </v:textbox>
                </v:oval>
                <v:oval id="Oval 15" o:spid="_x0000_s1034" style="position:absolute;top:1226;width:969;height: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н-П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top:768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36" type="#_x0000_t202" style="position:absolute;left:768;top:192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37" type="#_x0000_t202" style="position:absolute;left:720;top:1296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38" type="#_x0000_t202" style="position:absolute;left:1584;top:624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 xml:space="preserve">и-П – изо-парафины;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н-П – парафины нормального строения;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 – нафтены;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Ар – ароматические углеводороды. 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 w:rsidSect="00C02C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>Химическая модель позволяет выполнить анализ различных способов преобразования сырья в продукт и выбрать наилучшую технологию производства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Построение схемы превращения – это химическая часть общей модели. 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В основе</w:t>
      </w:r>
      <w:r w:rsidRPr="00C02C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EFD">
        <w:rPr>
          <w:rFonts w:ascii="Times New Roman" w:hAnsi="Times New Roman" w:cs="Times New Roman"/>
          <w:bCs/>
          <w:sz w:val="28"/>
          <w:szCs w:val="28"/>
        </w:rPr>
        <w:t>химической модели</w:t>
      </w:r>
      <w:r w:rsidRPr="00C02CAF">
        <w:rPr>
          <w:rFonts w:ascii="Times New Roman" w:hAnsi="Times New Roman" w:cs="Times New Roman"/>
          <w:sz w:val="28"/>
          <w:szCs w:val="28"/>
        </w:rPr>
        <w:t xml:space="preserve"> лежат химические реакции, которые позволяют из исходного сырья получить продукт заданного качества при определенных технологических условиях. В химическую модель включаются все основные и побочные реакции. В случае многокомпонентных процессов (нефтехимические, нефтеперерабатывающие процессы) записывают формализованную химическую модель, которая не содержит промежуточных стадий превращения компонентов.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процесса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бензинов:</w:t>
      </w:r>
    </w:p>
    <w:p w:rsidR="006B5EFD" w:rsidRP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Данная химическая схем</w:t>
      </w:r>
      <w:r>
        <w:rPr>
          <w:rFonts w:ascii="Times New Roman" w:hAnsi="Times New Roman" w:cs="Times New Roman"/>
          <w:sz w:val="28"/>
          <w:szCs w:val="28"/>
        </w:rPr>
        <w:t>а включает три реакции процесса:</w:t>
      </w:r>
    </w:p>
    <w:p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object w:dxaOrig="76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95pt;height:23.4pt" o:ole="">
            <v:imagedata r:id="rId4" o:title=""/>
          </v:shape>
          <o:OLEObject Type="Embed" ProgID="Unknown" ShapeID="_x0000_i1025" DrawAspect="Content" ObjectID="_1647456929" r:id="rId5"/>
        </w:object>
      </w:r>
    </w:p>
    <w:p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object w:dxaOrig="7665" w:dyaOrig="915">
          <v:shape id="_x0000_i1026" type="#_x0000_t75" style="width:213.2pt;height:25.7pt" o:ole="">
            <v:imagedata r:id="rId6" o:title=""/>
          </v:shape>
          <o:OLEObject Type="Embed" ProgID="Unknown" ShapeID="_x0000_i1026" DrawAspect="Content" ObjectID="_1647456930" r:id="rId7"/>
        </w:object>
      </w:r>
    </w:p>
    <w:p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object w:dxaOrig="9720" w:dyaOrig="945">
          <v:shape id="_x0000_i1027" type="#_x0000_t75" style="width:210.4pt;height:20.55pt" o:ole="">
            <v:imagedata r:id="rId8" o:title=""/>
          </v:shape>
          <o:OLEObject Type="Embed" ProgID="Unknown" ShapeID="_x0000_i1027" DrawAspect="Content" ObjectID="_1647456931" r:id="rId9"/>
        </w:objec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>Для более глубокого анализа записывается более подробная химическая модель, которая включает реакцию гидрокрекинга и реакцию образования кокса из ароматических углеводородов</w:t>
      </w:r>
      <w:r w:rsidR="006B5EF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позволяет также выбрать оптимальное оборудование процесса. Например, из приведенной химической модели процесса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позволяет также выбрать оптимальное оборудование процесса. Например, из приведенной химической модели процесса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</w:p>
    <w:p w:rsidR="00C02CAF" w:rsidRPr="00B61CFA" w:rsidRDefault="00C02CAF" w:rsidP="00B61C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2CAF" w:rsidRPr="00B61CFA" w:rsidSect="00C02C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84"/>
    <w:rsid w:val="006B5EFD"/>
    <w:rsid w:val="008B1493"/>
    <w:rsid w:val="00913384"/>
    <w:rsid w:val="00B61CFA"/>
    <w:rsid w:val="00C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4061"/>
  <w15:chartTrackingRefBased/>
  <w15:docId w15:val="{3253E1D4-312C-4FCA-9507-35AF225B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Лилит</dc:creator>
  <cp:keywords/>
  <dc:description/>
  <cp:lastModifiedBy>Лилит</cp:lastModifiedBy>
  <cp:revision>5</cp:revision>
  <dcterms:created xsi:type="dcterms:W3CDTF">2020-04-03T11:50:00Z</dcterms:created>
  <dcterms:modified xsi:type="dcterms:W3CDTF">2020-04-03T15:09:00Z</dcterms:modified>
</cp:coreProperties>
</file>