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练习 2｜设计并实现项目 Logo 与 Icon — 操作记录</w:t>
      </w:r>
    </w:p>
    <w:p>
      <w:r>
        <w:rPr>
          <w:b w:val="0"/>
          <w:sz w:val="22"/>
        </w:rPr>
        <w:t>仓库：D:\quant\RuyiDailyStockAnalysis（真实路径 D:\tmp\RuyiDailyStockAnalysis_v0.1.0）</w:t>
      </w:r>
    </w:p>
    <w:p>
      <w:r>
        <w:rPr>
          <w:b w:val="0"/>
          <w:sz w:val="22"/>
        </w:rPr>
        <w:t>记录时间：2026-07-17 11:15:09</w:t>
      </w:r>
    </w:p>
    <w:p>
      <w:r>
        <w:rPr>
          <w:b w:val="0"/>
          <w:sz w:val="22"/>
        </w:rPr>
        <w:t>品牌：如意金股 / RuyiDailyStockAnalysis；作者 creeper（未改名）</w:t>
      </w:r>
    </w:p>
    <w:p>
      <w:pPr>
        <w:pStyle w:val="Heading1"/>
      </w:pPr>
      <w:r>
        <w:t>1. 设计取舍</w:t>
      </w:r>
    </w:p>
    <w:p>
      <w:pPr>
        <w:pStyle w:val="ListBullet"/>
      </w:pPr>
      <w:r>
        <w:t>方向 A：如意结缠绕 K 线 — 文化强，16px 易糊。</w:t>
      </w:r>
    </w:p>
    <w:p>
      <w:pPr>
        <w:pStyle w:val="ListBullet"/>
      </w:pPr>
      <w:r>
        <w:t>方向 B：几何「如」字 + AI 节点 — 跨语言辨识弱。</w:t>
      </w:r>
    </w:p>
    <w:p>
      <w:pPr>
        <w:pStyle w:val="ListBullet"/>
      </w:pPr>
      <w:r>
        <w:t>方向 C（选定）：玉如意弧 + 上升折线 + AI 节点 — 同时表达如意/走势/量化，粗线+节点在 16px 可辨。</w:t>
      </w:r>
    </w:p>
    <w:p>
      <w:pPr>
        <w:pStyle w:val="Heading1"/>
      </w:pPr>
      <w:r>
        <w:t>2. 资产路径</w:t>
      </w:r>
    </w:p>
    <w:p>
      <w:pPr>
        <w:pStyle w:val="ListBullet"/>
      </w:pPr>
      <w:r>
        <w:t>源文件：docs/assets/dsa_vi/{icon,logo-light,logo-dark,favicon}.svg + favicon.ico + png/icon-*.png + README.md</w:t>
      </w:r>
    </w:p>
    <w:p>
      <w:pPr>
        <w:pStyle w:val="ListBullet"/>
      </w:pPr>
      <w:r>
        <w:t>生成脚本：docs/assets/dsa_vi/build_brand_assets.py</w:t>
      </w:r>
    </w:p>
    <w:p>
      <w:pPr>
        <w:pStyle w:val="ListBullet"/>
      </w:pPr>
      <w:r>
        <w:t>Web 副本：apps/dsa-web/public/brand/ 与 public/favicon.svg|ico</w:t>
      </w:r>
    </w:p>
    <w:p>
      <w:pPr>
        <w:pStyle w:val="ListBullet"/>
      </w:pPr>
      <w:r>
        <w:t>登录视觉预览（不改 .env）：/brand/login-preview.html</w:t>
      </w:r>
    </w:p>
    <w:p>
      <w:pPr>
        <w:pStyle w:val="Heading1"/>
      </w:pPr>
      <w:r>
        <w:t>3. 代码位置</w:t>
      </w:r>
    </w:p>
    <w:p>
      <w:pPr>
        <w:pStyle w:val="ListBullet"/>
      </w:pPr>
      <w:r>
        <w:t>BrandMark.tsx → apps/dsa-web/src/components/brand/BrandMark.tsx</w:t>
      </w:r>
    </w:p>
    <w:p>
      <w:pPr>
        <w:pStyle w:val="ListBullet"/>
      </w:pPr>
      <w:r>
        <w:t>SidebarNav.tsx / LoginPage.tsx 接入 BrandMark</w:t>
      </w:r>
    </w:p>
    <w:p>
      <w:pPr>
        <w:pStyle w:val="ListBullet"/>
      </w:pPr>
      <w:r>
        <w:t>index.html 更新 favicon.ico + favicon.svg</w:t>
      </w:r>
    </w:p>
    <w:p>
      <w:pPr>
        <w:pStyle w:val="ListBullet"/>
      </w:pPr>
      <w:r>
        <w:t>brand.ts 指向 /brand/*.svg</w:t>
      </w:r>
    </w:p>
    <w:p>
      <w:pPr>
        <w:pStyle w:val="Heading1"/>
      </w:pPr>
      <w:r>
        <w:t>4. 验证</w:t>
      </w:r>
    </w:p>
    <w:p>
      <w:r>
        <w:rPr>
          <w:b w:val="0"/>
          <w:sz w:val="22"/>
        </w:rPr>
        <w:t>vitest：BrandMark.test.tsx + SidebarNav.test.tsx → 2 files / 13 tests passed</w:t>
      </w:r>
    </w:p>
    <w:p>
      <w:r>
        <w:rPr>
          <w:b w:val="0"/>
          <w:sz w:val="22"/>
        </w:rPr>
        <w:t>npm run build（真实路径 apps/dsa-web）→ success，产物含 static/brand 与 favicon</w:t>
      </w:r>
    </w:p>
    <w:p>
      <w:r>
        <w:rPr>
          <w:b w:val="0"/>
          <w:sz w:val="22"/>
        </w:rPr>
        <w:t>资产自检：SVG ElementTree 可解析；PNG 尺寸 16..512 正确；ICO entries=6</w:t>
      </w:r>
    </w:p>
    <w:p>
      <w:r>
        <w:rPr>
          <w:b w:val="0"/>
          <w:sz w:val="22"/>
        </w:rPr>
        <w:t>GET /api/health → 200 {"status":"ok",...}</w:t>
      </w:r>
    </w:p>
    <w:p>
      <w:r>
        <w:rPr>
          <w:b w:val="0"/>
          <w:sz w:val="22"/>
        </w:rPr>
        <w:t>GET / → 200；GET /brand/icon.svg → 200；GET /favicon.ico → 200</w:t>
      </w:r>
    </w:p>
    <w:p>
      <w:pPr>
        <w:pStyle w:val="Heading1"/>
      </w:pPr>
      <w:r>
        <w:t>5. 截图</w:t>
      </w:r>
    </w:p>
    <w:p>
      <w:r>
        <w:rPr>
          <w:b/>
          <w:sz w:val="22"/>
        </w:rPr>
        <w:t>图 1：主界面打开侧栏（深色）</w:t>
      </w:r>
    </w:p>
    <w:p>
      <w:r>
        <w:drawing>
          <wp:inline xmlns:a="http://schemas.openxmlformats.org/drawingml/2006/main" xmlns:pic="http://schemas.openxmlformats.org/drawingml/2006/picture">
            <wp:extent cx="5472000" cy="34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home_sideba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4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D:/tmp/RuyiDailyStockAnalysis_v0.1.0/docs/练习记录/练习2_Logo与Icon/screenshots/01_home_sidebar.png</w:t>
      </w:r>
    </w:p>
    <w:p>
      <w:r>
        <w:rPr>
          <w:b/>
          <w:sz w:val="22"/>
        </w:rPr>
        <w:t>图 2：侧栏 BrandMark（图标 + 如意金股）</w:t>
      </w:r>
    </w:p>
    <w:p>
      <w:r>
        <w:drawing>
          <wp:inline xmlns:a="http://schemas.openxmlformats.org/drawingml/2006/main" xmlns:pic="http://schemas.openxmlformats.org/drawingml/2006/picture">
            <wp:extent cx="5472000" cy="32958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b_sidebar_brandmark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2958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D:/tmp/RuyiDailyStockAnalysis_v0.1.0/docs/练习记录/练习2_Logo与Icon/screenshots/01b_sidebar_brandmark.png</w:t>
      </w:r>
    </w:p>
    <w:p>
      <w:r>
        <w:rPr>
          <w:b/>
          <w:sz w:val="22"/>
        </w:rPr>
        <w:t>图 3：切换浅色主题后侧栏</w:t>
      </w:r>
    </w:p>
    <w:p>
      <w:r>
        <w:drawing>
          <wp:inline xmlns:a="http://schemas.openxmlformats.org/drawingml/2006/main" xmlns:pic="http://schemas.openxmlformats.org/drawingml/2006/picture">
            <wp:extent cx="5472000" cy="342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home_sidebar_ligh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4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D:/tmp/RuyiDailyStockAnalysis_v0.1.0/docs/练习记录/练习2_Logo与Icon/screenshots/02_home_sidebar_light.png</w:t>
      </w:r>
    </w:p>
    <w:p>
      <w:r>
        <w:rPr>
          <w:b/>
          <w:sz w:val="22"/>
        </w:rPr>
        <w:t>图 4：登录页 Logo 视觉预览（认证关闭，不改 .env）</w:t>
      </w:r>
    </w:p>
    <w:p>
      <w:r>
        <w:drawing>
          <wp:inline xmlns:a="http://schemas.openxmlformats.org/drawingml/2006/main" xmlns:pic="http://schemas.openxmlformats.org/drawingml/2006/picture">
            <wp:extent cx="5472000" cy="342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login_previe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4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D:/tmp/RuyiDailyStockAnalysis_v0.1.0/docs/练习记录/练习2_Logo与Icon/screenshots/03_login_preview.png</w:t>
      </w:r>
    </w:p>
    <w:p>
      <w:r>
        <w:rPr>
          <w:b/>
          <w:sz w:val="22"/>
        </w:rPr>
        <w:t>图 5：登录预览补充截图</w:t>
      </w:r>
    </w:p>
    <w:p>
      <w:r>
        <w:drawing>
          <wp:inline xmlns:a="http://schemas.openxmlformats.org/drawingml/2006/main" xmlns:pic="http://schemas.openxmlformats.org/drawingml/2006/picture">
            <wp:extent cx="5472000" cy="329587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b_login_preview_mc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2958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D:/tmp/RuyiDailyStockAnalysis_v0.1.0/docs/练习记录/练习2_Logo与Icon/screenshots/03b_login_preview_mcp.png</w:t>
      </w:r>
    </w:p>
    <w:p>
      <w:r>
        <w:rPr>
          <w:b/>
          <w:sz w:val="22"/>
        </w:rPr>
        <w:t>图 6：favicon.svg</w:t>
      </w:r>
    </w:p>
    <w:p>
      <w:r>
        <w:drawing>
          <wp:inline xmlns:a="http://schemas.openxmlformats.org/drawingml/2006/main" xmlns:pic="http://schemas.openxmlformats.org/drawingml/2006/picture">
            <wp:extent cx="5472000" cy="342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favicon_sv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4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D:/tmp/RuyiDailyStockAnalysis_v0.1.0/docs/练习记录/练习2_Logo与Icon/screenshots/04_favicon_svg.png</w:t>
      </w:r>
    </w:p>
    <w:p>
      <w:pPr>
        <w:pStyle w:val="Heading1"/>
      </w:pPr>
      <w:r>
        <w:t>6. Git</w:t>
      </w:r>
    </w:p>
    <w:p>
      <w:r>
        <w:rPr>
          <w:b w:val="0"/>
          <w:sz w:val="22"/>
        </w:rPr>
        <w:t>本次按要求：不提交、不推送。保留用户既有未跟踪内容。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