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Sieci</w:t>
      </w:r>
      <w:r>
        <w:t xml:space="preserve"> </w:t>
      </w:r>
      <w:r>
        <w:t xml:space="preserve">neuronowe</w:t>
      </w:r>
      <w:r>
        <w:t xml:space="preserve"> </w:t>
      </w:r>
      <w:r>
        <w:t xml:space="preserve">–</w:t>
      </w:r>
      <w:r>
        <w:t xml:space="preserve"> </w:t>
      </w:r>
      <w:r>
        <w:t xml:space="preserve">ćwiczenie</w:t>
      </w:r>
      <w:r>
        <w:t xml:space="preserve"> </w:t>
      </w:r>
      <w:r>
        <w:t xml:space="preserve">1:</w:t>
      </w:r>
      <w:r>
        <w:t xml:space="preserve"> </w:t>
      </w:r>
      <w:r>
        <w:t xml:space="preserve">analiza</w:t>
      </w:r>
      <w:r>
        <w:t xml:space="preserve"> </w:t>
      </w:r>
      <w:r>
        <w:t xml:space="preserve">eksploracyjna</w:t>
      </w:r>
      <w:r>
        <w:t xml:space="preserve"> </w:t>
      </w:r>
      <w:r>
        <w:t xml:space="preserve">zbioru</w:t>
      </w:r>
      <w:r>
        <w:t xml:space="preserve"> </w:t>
      </w:r>
      <w:r>
        <w:t xml:space="preserve">Heart</w:t>
      </w:r>
      <w:r>
        <w:t xml:space="preserve"> </w:t>
      </w:r>
      <w:r>
        <w:t xml:space="preserve">Disease</w:t>
      </w:r>
    </w:p>
    <w:p>
      <w:pPr>
        <w:pStyle w:val="BlockText"/>
      </w:pPr>
      <w:r>
        <w:rPr>
          <w:bCs/>
          <w:b/>
        </w:rPr>
        <w:t xml:space="preserve">Oznaczenie użycia AI (pkt 11 regulaminu):</w:t>
      </w:r>
      <w:r>
        <w:t xml:space="preserve"> </w:t>
      </w:r>
      <w:r>
        <w:t xml:space="preserve">kod (</w:t>
      </w:r>
      <w:r>
        <w:rPr>
          <w:rStyle w:val="VerbatimChar"/>
        </w:rPr>
        <w:t xml:space="preserve">eda.py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) oraz szkic tego raportu</w:t>
      </w:r>
      <w:r>
        <w:t xml:space="preserve"> </w:t>
      </w:r>
      <w:r>
        <w:t xml:space="preserve">(opis metod i zestawienie wyników) zostały przygotowane z pomocą generatywnej AI (Claude).</w:t>
      </w:r>
      <w:r>
        <w:t xml:space="preserve"> </w:t>
      </w:r>
      <w:r>
        <w:t xml:space="preserve">Sekcja</w:t>
      </w:r>
      <w:r>
        <w:t xml:space="preserve"> </w:t>
      </w:r>
      <w:r>
        <w:rPr>
          <w:bCs/>
          <w:b/>
        </w:rPr>
        <w:t xml:space="preserve">Wnioski</w:t>
      </w:r>
      <w:r>
        <w:t xml:space="preserve"> </w:t>
      </w:r>
      <w:r>
        <w:t xml:space="preserve">jest celowo pusta: zgodnie z regulaminem wnioski formułuje student samodzielnie.</w:t>
      </w:r>
    </w:p>
    <w:bookmarkStart w:id="20" w:name="dane"/>
    <w:p>
      <w:pPr>
        <w:pStyle w:val="Heading1"/>
      </w:pPr>
      <w:r>
        <w:t xml:space="preserve">1. Dane</w:t>
      </w:r>
    </w:p>
    <w:p>
      <w:pPr>
        <w:numPr>
          <w:ilvl w:val="0"/>
          <w:numId w:val="1001"/>
        </w:numPr>
        <w:pStyle w:val="Compact"/>
      </w:pPr>
      <w:r>
        <w:t xml:space="preserve">Zbiór: UCI Heart Disease, podzbiór</w:t>
      </w:r>
      <w:r>
        <w:t xml:space="preserve"> </w:t>
      </w:r>
      <w:r>
        <w:rPr>
          <w:bCs/>
          <w:b/>
        </w:rPr>
        <w:t xml:space="preserve">Cleveland</w:t>
      </w:r>
      <w:r>
        <w:t xml:space="preserve"> </w:t>
      </w:r>
      <w:r>
        <w:t xml:space="preserve">(14 atrybutów używanych w literaturze).</w:t>
      </w:r>
      <w:r>
        <w:t xml:space="preserve"> </w:t>
      </w:r>
      <w:r>
        <w:t xml:space="preserve">Strona UCI nie była dostępna ze środowiska, w którym liczono wyniki, więc użyto kopii tego samego</w:t>
      </w:r>
      <w:r>
        <w:t xml:space="preserve"> </w:t>
      </w:r>
      <w:r>
        <w:t xml:space="preserve">zbioru w formacie ARFF (</w:t>
      </w:r>
      <w:r>
        <w:rPr>
          <w:rStyle w:val="VerbatimChar"/>
        </w:rPr>
        <w:t xml:space="preserve">dane/heart-c.arff</w:t>
      </w:r>
      <w:r>
        <w:t xml:space="preserve">), przekonwertowanej do kodów UCI (</w:t>
      </w:r>
      <w:r>
        <w:rPr>
          <w:rStyle w:val="VerbatimChar"/>
        </w:rPr>
        <w:t xml:space="preserve">dane/heart_cleveland.csv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303 wiersze, w tym</w:t>
      </w:r>
      <w:r>
        <w:t xml:space="preserve"> </w:t>
      </w:r>
      <w:r>
        <w:rPr>
          <w:bCs/>
          <w:b/>
        </w:rPr>
        <w:t xml:space="preserve">1 duplikat</w:t>
      </w:r>
      <w:r>
        <w:t xml:space="preserve"> </w:t>
      </w:r>
      <w:r>
        <w:t xml:space="preserve">(usunięty) →</w:t>
      </w:r>
      <w:r>
        <w:t xml:space="preserve"> </w:t>
      </w:r>
      <w:r>
        <w:rPr>
          <w:bCs/>
          <w:b/>
        </w:rPr>
        <w:t xml:space="preserve">302 próbki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Zmienna celu: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(0–4) zbinaryzowana do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= 0 (brak choroby) / 1 (choroba, num ≥ 1) – standardowe ujęcie problemu.</w:t>
      </w:r>
    </w:p>
    <w:p>
      <w:pPr>
        <w:numPr>
          <w:ilvl w:val="0"/>
          <w:numId w:val="1001"/>
        </w:numPr>
        <w:pStyle w:val="Compact"/>
      </w:pPr>
      <w:r>
        <w:t xml:space="preserve">Cechy liczbowe:</w:t>
      </w:r>
      <w:r>
        <w:t xml:space="preserve"> </w:t>
      </w:r>
      <w:r>
        <w:rPr>
          <w:rStyle w:val="VerbatimChar"/>
        </w:rPr>
        <w:t xml:space="preserve">age, trestbps, chol, thalach, oldpeak, ca</w:t>
      </w:r>
      <w:r>
        <w:t xml:space="preserve"> </w:t>
      </w:r>
      <w:r>
        <w:t xml:space="preserve">(ca – liczba naczyń 0–3, porządkowa).</w:t>
      </w:r>
      <w:r>
        <w:t xml:space="preserve"> </w:t>
      </w:r>
      <w:r>
        <w:t xml:space="preserve">Binarne:</w:t>
      </w:r>
      <w:r>
        <w:t xml:space="preserve"> </w:t>
      </w:r>
      <w:r>
        <w:rPr>
          <w:rStyle w:val="VerbatimChar"/>
        </w:rPr>
        <w:t xml:space="preserve">sex, fbs, exang</w:t>
      </w:r>
      <w:r>
        <w:t xml:space="preserve">. Kategoryczne nominalne:</w:t>
      </w:r>
      <w:r>
        <w:t xml:space="preserve"> </w:t>
      </w:r>
      <w:r>
        <w:rPr>
          <w:rStyle w:val="VerbatimChar"/>
        </w:rPr>
        <w:t xml:space="preserve">cp, restecg, slope, thal</w:t>
      </w:r>
      <w:r>
        <w:t xml:space="preserve">.</w:t>
      </w:r>
    </w:p>
    <w:bookmarkEnd w:id="20"/>
    <w:bookmarkStart w:id="24" w:name="czy-zbiór-jest-zbalansowany"/>
    <w:p>
      <w:pPr>
        <w:pStyle w:val="Heading1"/>
      </w:pPr>
      <w:r>
        <w:t xml:space="preserve">2. Czy zbiór jest zbalansowany?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klasa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udział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– brak choroby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choroba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</w:t>
            </w:r>
          </w:p>
        </w:tc>
      </w:tr>
    </w:tbl>
    <w:p>
      <w:pPr>
        <w:pStyle w:val="BodyText"/>
      </w:pPr>
      <w:r>
        <w:t xml:space="preserve">Stosunek klasy mniejszej do większej = 0,84 – zbiór jest</w:t>
      </w:r>
      <w:r>
        <w:t xml:space="preserve"> </w:t>
      </w:r>
      <w:r>
        <w:rPr>
          <w:bCs/>
          <w:b/>
        </w:rPr>
        <w:t xml:space="preserve">w przybliżeniu zbalansowany</w:t>
      </w:r>
      <w:r>
        <w:t xml:space="preserve">.</w:t>
      </w:r>
      <w:r>
        <w:t xml:space="preserve"> </w:t>
      </w:r>
      <w:r>
        <w:t xml:space="preserve">Klasyfikator „zawsze 0” ma accuracy 0,55, więc accuracy samo w sobie jest mało informatywne – dlatego raportujemy też precision, recall i F1.</w:t>
      </w:r>
    </w:p>
    <w:p>
      <w:pPr>
        <w:pStyle w:val="CaptionedFigure"/>
      </w:pPr>
      <w:r>
        <w:drawing>
          <wp:inline>
            <wp:extent cx="2400300" cy="1866900"/>
            <wp:effectExtent b="0" l="0" r="0" t="0"/>
            <wp:docPr descr="Liczność klas" title="" id="22" name="Picture"/>
            <a:graphic>
              <a:graphicData uri="http://schemas.openxmlformats.org/drawingml/2006/picture">
                <pic:pic>
                  <pic:nvPicPr>
                    <pic:cNvPr descr="figures/1_klas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Liczność klas</w:t>
      </w:r>
    </w:p>
    <w:bookmarkEnd w:id="24"/>
    <w:bookmarkStart w:id="31" w:name="X74367bd1e6749c2736d875cf69dca0df447fabc"/>
    <w:p>
      <w:pPr>
        <w:pStyle w:val="Heading1"/>
      </w:pPr>
      <w:r>
        <w:t xml:space="preserve">3. Średnie i odchylenia cech liczbowych; normalność rozkładów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odch.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min–max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skośność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trestbps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126–564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71–202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</w:tbl>
    <w:p>
      <w:pPr>
        <w:pStyle w:val="BodyText"/>
      </w:pPr>
      <w:r>
        <w:t xml:space="preserve">Test Shapiro-Wilka odrzuca normalność dla wszystkich cech (p &lt; 0,05). Histogramy i wykresy Q-Q pokazują jednak różny stopień odstępstwa: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jest bardzo bliski normalnemu,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 </w:t>
      </w:r>
      <w:r>
        <w:t xml:space="preserve">umiarkowanie skośne,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ma ciężki prawy ogon (wartość odstająca 564),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są wyraźnie nienormalne (masa prawdopodobieństwa w zerze, ca jest dyskretne).</w:t>
      </w:r>
      <w:r>
        <w:t xml:space="preserve"> </w:t>
      </w:r>
      <w:r>
        <w:t xml:space="preserve">Cechy mają bardzo różne skale (od ~1 do ~250) – to argument za standaryzacją.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Rozkłady cech liczbowych (góra: histogram + dopasowany rozkład normalny, dół: Q-Q)" title="" id="26" name="Picture"/>
            <a:graphic>
              <a:graphicData uri="http://schemas.openxmlformats.org/drawingml/2006/picture">
                <pic:pic>
                  <pic:nvPicPr>
                    <pic:cNvPr descr="figures/2_rozklady_liczbow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Rozkłady cech liczbowych (góra: histogram + dopasowany rozkład normalny, dół: Q-Q)</w:t>
      </w:r>
    </w:p>
    <w:p>
      <w:pPr>
        <w:pStyle w:val="BodyText"/>
      </w:pPr>
      <w:r>
        <w:t xml:space="preserve">Średnie w klasach (0 / 1): age 52,6 / 56,6; thalach 158,4 / 139,1; oldpeak 0,59 / 1,59; ca 0,27 / 1,15;</w:t>
      </w:r>
      <w:r>
        <w:t xml:space="preserve"> </w:t>
      </w:r>
      <w:r>
        <w:t xml:space="preserve">chol 242,6 / 251,1; trestbps 129,3 / 134,4.</w:t>
      </w:r>
    </w:p>
    <w:p>
      <w:pPr>
        <w:pStyle w:val="CaptionedFigure"/>
      </w:pPr>
      <w:r>
        <w:drawing>
          <wp:inline>
            <wp:extent cx="5334000" cy="916781"/>
            <wp:effectExtent b="0" l="0" r="0" t="0"/>
            <wp:docPr descr="Cechy liczbowe w podziale na klasy" title="" id="29" name="Picture"/>
            <a:graphic>
              <a:graphicData uri="http://schemas.openxmlformats.org/drawingml/2006/picture">
                <pic:pic>
                  <pic:nvPicPr>
                    <pic:cNvPr descr="figures/3_liczbowe_vs_klas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Cechy liczbowe w podziale na klasy</w:t>
      </w:r>
    </w:p>
    <w:bookmarkEnd w:id="31"/>
    <w:bookmarkStart w:id="35" w:name="Xf0d8fa87568eb159936cb4f83e0a10bf31c1868"/>
    <w:p>
      <w:pPr>
        <w:pStyle w:val="Heading1"/>
      </w:pPr>
      <w:r>
        <w:t xml:space="preserve">4. Cechy kategoryczne – czy rozkład jest równomierny?</w:t>
      </w:r>
    </w:p>
    <w:p>
      <w:pPr>
        <w:pStyle w:val="FirstParagraph"/>
      </w:pPr>
      <w:r>
        <w:t xml:space="preserve">Test χ² zgodności z rozkładem równomiernym odrzuca równomierność dla wszystkich cech (p &lt; 10⁻⁸):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liczności kategorii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odsetek chorych w kategoriach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(0 K / 1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/ 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/ 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fbs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 /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/ 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exang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 / 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 / 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 (1/2/3/4)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/ 50 / 86 / 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/ 18% / 21% / 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restecg (0/1/2)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 /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/ 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 / 75% / 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(1/2/3)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/ 140 /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/ 65% / 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thal (3/6/7)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/ 18 /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 / 67% / 76%</w:t>
            </w:r>
          </w:p>
        </w:tc>
      </w:tr>
    </w:tbl>
    <w:p>
      <w:pPr>
        <w:pStyle w:val="BodyText"/>
      </w:pPr>
      <w:r>
        <w:t xml:space="preserve">Szczególnie nierównomierne:</w:t>
      </w:r>
      <w:r>
        <w:t xml:space="preserve"> </w:t>
      </w:r>
      <w:r>
        <w:rPr>
          <w:rStyle w:val="VerbatimChar"/>
        </w:rPr>
        <w:t xml:space="preserve">restecg=1</w:t>
      </w:r>
      <w:r>
        <w:t xml:space="preserve"> </w:t>
      </w:r>
      <w:r>
        <w:t xml:space="preserve">(tylko 4 próbki),</w:t>
      </w:r>
      <w:r>
        <w:t xml:space="preserve"> </w:t>
      </w:r>
      <w:r>
        <w:rPr>
          <w:rStyle w:val="VerbatimChar"/>
        </w:rPr>
        <w:t xml:space="preserve">fbs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slope=3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thal=6</w:t>
      </w:r>
      <w:r>
        <w:t xml:space="preserve">,</w:t>
      </w:r>
      <w:r>
        <w:t xml:space="preserve"> </w:t>
      </w:r>
      <w:r>
        <w:rPr>
          <w:rStyle w:val="VerbatimChar"/>
        </w:rPr>
        <w:t xml:space="preserve">cp=1</w:t>
      </w:r>
      <w:r>
        <w:t xml:space="preserve">.</w:t>
      </w:r>
      <w:r>
        <w:t xml:space="preserve"> </w:t>
      </w:r>
      <w:r>
        <w:rPr>
          <w:rStyle w:val="VerbatimChar"/>
        </w:rPr>
        <w:t xml:space="preserve">fbs</w:t>
      </w:r>
      <w:r>
        <w:t xml:space="preserve"> </w:t>
      </w:r>
      <w:r>
        <w:t xml:space="preserve">prawie nie różnicuje klas, natomiast</w:t>
      </w:r>
      <w:r>
        <w:t xml:space="preserve"> </w:t>
      </w:r>
      <w:r>
        <w:rPr>
          <w:rStyle w:val="VerbatimChar"/>
        </w:rPr>
        <w:t xml:space="preserve">cp=4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thal=7</w:t>
      </w:r>
      <w:r>
        <w:t xml:space="preserve"> </w:t>
      </w:r>
      <w:r>
        <w:t xml:space="preserve">silnie wiążą się z chorobą.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Rozkłady cech kategorycznych (kolory = klasy, linia przerywana = rozkład równomierny)" title="" id="33" name="Picture"/>
            <a:graphic>
              <a:graphicData uri="http://schemas.openxmlformats.org/drawingml/2006/picture">
                <pic:pic>
                  <pic:nvPicPr>
                    <pic:cNvPr descr="figures/4_rozklady_kategorycz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Rozkłady cech kategorycznych (kolory = klasy, linia przerywana = rozkład równomierny)</w:t>
      </w:r>
    </w:p>
    <w:bookmarkEnd w:id="35"/>
    <w:bookmarkStart w:id="36" w:name="braki-danych-i-strategia-uzupełniania"/>
    <w:p>
      <w:pPr>
        <w:pStyle w:val="Heading1"/>
      </w:pPr>
      <w:r>
        <w:t xml:space="preserve">5. Braki danych i strategia uzupełniania</w:t>
      </w:r>
    </w:p>
    <w:p>
      <w:pPr>
        <w:pStyle w:val="FirstParagraph"/>
      </w:pPr>
      <w:r>
        <w:t xml:space="preserve">Braki występują w 6 wierszach (2%):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– 4,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– 2. Możliwe strategie: usunięcie wierszy, imputacja</w:t>
      </w:r>
      <w:r>
        <w:t xml:space="preserve"> </w:t>
      </w:r>
      <w:r>
        <w:t xml:space="preserve">dominantą/medianą, kNN, osobna kategoria / kolumna-wskaźnik braku.</w:t>
      </w:r>
      <w:r>
        <w:t xml:space="preserve"> </w:t>
      </w:r>
      <w:r>
        <w:rPr>
          <w:bCs/>
          <w:b/>
        </w:rPr>
        <w:t xml:space="preserve">Wybrana strategia:</w:t>
      </w:r>
      <w:r>
        <w:t xml:space="preserve"> </w:t>
      </w:r>
      <w:r>
        <w:t xml:space="preserve">imputacja</w:t>
      </w:r>
      <w:r>
        <w:t xml:space="preserve"> </w:t>
      </w:r>
      <w:r>
        <w:rPr>
          <w:bCs/>
          <w:b/>
        </w:rPr>
        <w:t xml:space="preserve">dominantą</w:t>
      </w:r>
      <w:r>
        <w:t xml:space="preserve"> </w:t>
      </w:r>
      <w:r>
        <w:t xml:space="preserve">liczoną tylko na zbiorze treningowym (obie cechy są dyskretne,</w:t>
      </w:r>
      <w:r>
        <w:t xml:space="preserve"> </w:t>
      </w:r>
      <w:r>
        <w:t xml:space="preserve">braków jest bardzo mało, więc wpływ na rozkład jest pomijalny, a nie tracimy próbek z małego zbioru).</w:t>
      </w:r>
      <w:r>
        <w:t xml:space="preserve"> </w:t>
      </w:r>
      <w:r>
        <w:t xml:space="preserve">Wariant z kolumnami-wskaźnikami braków jest zaimplementowany (</w:t>
      </w:r>
      <w:r>
        <w:rPr>
          <w:rStyle w:val="VerbatimChar"/>
        </w:rPr>
        <w:t xml:space="preserve">missing_indicators=True</w:t>
      </w:r>
      <w:r>
        <w:t xml:space="preserve">) i przebadany w ćwiczeniu 2.</w:t>
      </w:r>
    </w:p>
    <w:bookmarkEnd w:id="36"/>
    <w:bookmarkStart w:id="40" w:name="X64550725b07c473409c6419feaaccf78dab77fc"/>
    <w:p>
      <w:pPr>
        <w:pStyle w:val="Heading1"/>
      </w:pPr>
      <w:r>
        <w:t xml:space="preserve">6. Kodowanie i normalizacja (</w:t>
      </w:r>
      <w:r>
        <w:rPr>
          <w:rStyle w:val="VerbatimChar"/>
        </w:rPr>
        <w:t xml:space="preserve">data.py</w:t>
      </w:r>
      <w:r>
        <w:t xml:space="preserve">, klasa</w:t>
      </w:r>
      <w:r>
        <w:t xml:space="preserve"> </w:t>
      </w:r>
      <w:r>
        <w:rPr>
          <w:rStyle w:val="VerbatimChar"/>
        </w:rPr>
        <w:t xml:space="preserve">Preprocessor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restecg=1</w:t>
      </w:r>
      <w:r>
        <w:t xml:space="preserve"> </w:t>
      </w:r>
      <w:r>
        <w:t xml:space="preserve">(4 próbki) łączone z</w:t>
      </w:r>
      <w:r>
        <w:t xml:space="preserve"> </w:t>
      </w:r>
      <w:r>
        <w:rPr>
          <w:rStyle w:val="VerbatimChar"/>
        </w:rPr>
        <w:t xml:space="preserve">restecg=2</w:t>
      </w:r>
      <w:r>
        <w:t xml:space="preserve"> </w:t>
      </w:r>
      <w:r>
        <w:t xml:space="preserve">w kategorię „nieprawidłowe EKG”.</w:t>
      </w:r>
    </w:p>
    <w:p>
      <w:pPr>
        <w:numPr>
          <w:ilvl w:val="0"/>
          <w:numId w:val="1002"/>
        </w:numPr>
        <w:pStyle w:val="Compact"/>
      </w:pPr>
      <w:r>
        <w:t xml:space="preserve">Imputacja braków dominantą.</w:t>
      </w:r>
    </w:p>
    <w:p>
      <w:pPr>
        <w:numPr>
          <w:ilvl w:val="0"/>
          <w:numId w:val="1002"/>
        </w:numPr>
        <w:pStyle w:val="Compact"/>
      </w:pPr>
      <w:r>
        <w:t xml:space="preserve">One-hot dla</w:t>
      </w:r>
      <w:r>
        <w:t xml:space="preserve"> </w:t>
      </w:r>
      <w:r>
        <w:rPr>
          <w:rStyle w:val="VerbatimChar"/>
        </w:rPr>
        <w:t xml:space="preserve">cp, restecg, slope, thal</w:t>
      </w:r>
      <w:r>
        <w:t xml:space="preserve"> </w:t>
      </w:r>
      <w:r>
        <w:t xml:space="preserve">z pominięciem pierwszej kategorii (unikamy współliniowości z wyrazem wolnym).</w:t>
      </w:r>
    </w:p>
    <w:p>
      <w:pPr>
        <w:numPr>
          <w:ilvl w:val="0"/>
          <w:numId w:val="1002"/>
        </w:numPr>
        <w:pStyle w:val="Compact"/>
      </w:pPr>
      <w:r>
        <w:t xml:space="preserve">Standaryzacja z-score wszystkich kolumn: (x − μ)/σ.</w:t>
      </w:r>
    </w:p>
    <w:p>
      <w:pPr>
        <w:numPr>
          <w:ilvl w:val="0"/>
          <w:numId w:val="1002"/>
        </w:numPr>
        <w:pStyle w:val="Compact"/>
      </w:pPr>
      <w:r>
        <w:t xml:space="preserve">Wszystkie statystyki (dominanty, μ, σ) liczone</w:t>
      </w:r>
      <w:r>
        <w:t xml:space="preserve"> </w:t>
      </w:r>
      <w:r>
        <w:rPr>
          <w:bCs/>
          <w:b/>
        </w:rPr>
        <w:t xml:space="preserve">tylko na zbiorze treningowym</w:t>
      </w:r>
      <w:r>
        <w:t xml:space="preserve"> </w:t>
      </w:r>
      <w:r>
        <w:t xml:space="preserve">i stosowane do val/test – brak wycieku danych.</w:t>
      </w:r>
    </w:p>
    <w:p>
      <w:pPr>
        <w:pStyle w:val="FirstParagraph"/>
      </w:pPr>
      <w:r>
        <w:t xml:space="preserve">Wynik: 17 cech rzeczywistych. Podział warstwowy 60/20/20 (train 181 / val 61 / test 60, seed 42), używany też w ćw. 2.</w:t>
      </w:r>
    </w:p>
    <w:p>
      <w:pPr>
        <w:pStyle w:val="BodyText"/>
      </w:pPr>
      <w:r>
        <w:t xml:space="preserve">Najsilniej skorelowane z klasą (|r| Pearsona): cp_4 0,52; thal_7 0,49; ca 0,46; exang 0,44; oldpeak 0,43; thalach −0,42.</w:t>
      </w:r>
    </w:p>
    <w:p>
      <w:pPr>
        <w:pStyle w:val="CaptionedFigure"/>
      </w:pPr>
      <w:r>
        <w:drawing>
          <wp:inline>
            <wp:extent cx="4267200" cy="3627120"/>
            <wp:effectExtent b="0" l="0" r="0" t="0"/>
            <wp:docPr descr="Macierz korelacji" title="" id="38" name="Picture"/>
            <a:graphic>
              <a:graphicData uri="http://schemas.openxmlformats.org/drawingml/2006/picture">
                <pic:pic>
                  <pic:nvPicPr>
                    <pic:cNvPr descr="figures/5_korelacj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Macierz korelacji</w:t>
      </w:r>
    </w:p>
    <w:bookmarkEnd w:id="40"/>
    <w:bookmarkStart w:id="41" w:name="baseline-scikit-learn"/>
    <w:p>
      <w:pPr>
        <w:pStyle w:val="Heading1"/>
      </w:pPr>
      <w:r>
        <w:t xml:space="preserve">7. Baseline (scikit-learn)</w:t>
      </w:r>
    </w:p>
    <w:p>
      <w:pPr>
        <w:pStyle w:val="FirstParagraph"/>
      </w:pPr>
      <w:r>
        <w:t xml:space="preserve">Modele uczone na train+val (242 próbki), ocena na teście (60 próbek); dodatkowo 5-krotna walidacja krzyżowa (F1).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Dummy (klasa większościowa)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 ± 0,026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RandomForest (300 drzew)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 ± 0,034</w:t>
            </w:r>
          </w:p>
        </w:tc>
      </w:tr>
    </w:tbl>
    <w:p>
      <w:pPr>
        <w:pStyle w:val="BodyText"/>
      </w:pPr>
      <w:r>
        <w:t xml:space="preserve">Jako baseline przyjmujemy</w:t>
      </w:r>
      <w:r>
        <w:t xml:space="preserve"> </w:t>
      </w:r>
      <w:r>
        <w:rPr>
          <w:bCs/>
          <w:b/>
        </w:rPr>
        <w:t xml:space="preserve">regresję logistyczną ze scikit-learn: F1 ≈ 0,80 na teście, ≈ 0,82 w CV</w:t>
      </w:r>
      <w:r>
        <w:t xml:space="preserve">.</w:t>
      </w:r>
    </w:p>
    <w:bookmarkEnd w:id="41"/>
    <w:bookmarkStart w:id="42" w:name="wnioski"/>
    <w:p>
      <w:pPr>
        <w:pStyle w:val="Heading1"/>
      </w:pPr>
      <w:r>
        <w:t xml:space="preserve">8. Wnioski</w:t>
      </w:r>
    </w:p>
    <w:p>
      <w:pPr>
        <w:pStyle w:val="FirstParagraph"/>
      </w:pPr>
      <w:r>
        <w:rPr>
          <w:iCs/>
          <w:i/>
        </w:rPr>
        <w:t xml:space="preserve">(do uzupełnienia samodzielnie – pkt 11 regulaminu).</w:t>
      </w:r>
      <w:r>
        <w:t xml:space="preserve"> </w:t>
      </w:r>
      <w:r>
        <w:t xml:space="preserve">Pytania pomocnicze: czy niezbalansowanie wymaga</w:t>
      </w:r>
      <w:r>
        <w:t xml:space="preserve"> </w:t>
      </w:r>
      <w:r>
        <w:t xml:space="preserve">ważenia klas? które cechy wymagają szczególnej uwagi przy normalizacji i dlaczego? czy wybrana strategia</w:t>
      </w:r>
      <w:r>
        <w:t xml:space="preserve"> </w:t>
      </w:r>
      <w:r>
        <w:t xml:space="preserve">braków może zaburzyć wyniki? czemu prosty model liniowy wypada tu tak samo dobrze jak las losowy?</w:t>
      </w:r>
    </w:p>
    <w:bookmarkEnd w:id="42"/>
    <w:bookmarkStart w:id="43" w:name="uruchomienie"/>
    <w:p>
      <w:pPr>
        <w:pStyle w:val="Heading1"/>
      </w:pPr>
      <w:r>
        <w:t xml:space="preserve">Uruchomienie</w:t>
      </w:r>
    </w:p>
    <w:p>
      <w:pPr>
        <w:pStyle w:val="SourceCode"/>
      </w:pPr>
      <w:r>
        <w:rPr>
          <w:rStyle w:val="VerbatimChar"/>
        </w:rPr>
        <w:t xml:space="preserve">pip install numpy pandas matplotlib scipy scikit-learn</w:t>
      </w:r>
      <w:r>
        <w:br/>
      </w:r>
      <w:r>
        <w:rPr>
          <w:rStyle w:val="VerbatimChar"/>
        </w:rPr>
        <w:t xml:space="preserve">python eda.py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Sieci neuronowe – ćwiczenie 1: analiza eksploracyjna zbioru Heart Disease</dc:title>
  <dc:creator/>
  <cp:keywords/>
  <dcterms:created xsi:type="dcterms:W3CDTF">2026-10-12T00:00:16Z</dcterms:created>
  <dcterms:modified xsi:type="dcterms:W3CDTF">2026-10-12T00:00:16Z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