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Sieci</w:t>
      </w:r>
      <w:r>
        <w:t xml:space="preserve"> </w:t>
      </w:r>
      <w:r>
        <w:t xml:space="preserve">neuronowe</w:t>
      </w:r>
      <w:r>
        <w:t xml:space="preserve"> </w:t>
      </w:r>
      <w:r>
        <w:t xml:space="preserve">–</w:t>
      </w:r>
      <w:r>
        <w:t xml:space="preserve"> </w:t>
      </w:r>
      <w:r>
        <w:t xml:space="preserve">ćwiczenie</w:t>
      </w:r>
      <w:r>
        <w:t xml:space="preserve"> </w:t>
      </w:r>
      <w:r>
        <w:t xml:space="preserve">2:</w:t>
      </w:r>
      <w:r>
        <w:t xml:space="preserve"> </w:t>
      </w:r>
      <w:r>
        <w:t xml:space="preserve">regresja</w:t>
      </w:r>
      <w:r>
        <w:t xml:space="preserve"> </w:t>
      </w:r>
      <w:r>
        <w:t xml:space="preserve">logistyczna</w:t>
      </w:r>
    </w:p>
    <w:p>
      <w:pPr>
        <w:pStyle w:val="BlockText"/>
      </w:pPr>
      <w:r>
        <w:rPr>
          <w:bCs/>
          <w:b/>
        </w:rPr>
        <w:t xml:space="preserve">Oznaczenie użycia AI (pkt 11 regulaminu):</w:t>
      </w:r>
      <w:r>
        <w:t xml:space="preserve"> </w:t>
      </w:r>
      <w:r>
        <w:t xml:space="preserve">kod (</w:t>
      </w:r>
      <w:r>
        <w:rPr>
          <w:rStyle w:val="VerbatimChar"/>
        </w:rPr>
        <w:t xml:space="preserve">logreg.py</w:t>
      </w:r>
      <w:r>
        <w:t xml:space="preserve">,</w:t>
      </w:r>
      <w:r>
        <w:t xml:space="preserve"> </w:t>
      </w:r>
      <w:r>
        <w:rPr>
          <w:rStyle w:val="VerbatimChar"/>
        </w:rPr>
        <w:t xml:space="preserve">data.py</w:t>
      </w:r>
      <w:r>
        <w:t xml:space="preserve">) oraz szkic tego raportu</w:t>
      </w:r>
      <w:r>
        <w:t xml:space="preserve"> </w:t>
      </w:r>
      <w:r>
        <w:t xml:space="preserve">(opis metody, eksperymentów i zestawienie wyników) przygotowano z pomocą generatywnej AI (Claude).</w:t>
      </w:r>
      <w:r>
        <w:t xml:space="preserve"> </w:t>
      </w:r>
      <w:r>
        <w:t xml:space="preserve">Sekcja</w:t>
      </w:r>
      <w:r>
        <w:t xml:space="preserve"> </w:t>
      </w:r>
      <w:r>
        <w:rPr>
          <w:bCs/>
          <w:b/>
        </w:rPr>
        <w:t xml:space="preserve">Wnioski</w:t>
      </w:r>
      <w:r>
        <w:t xml:space="preserve"> </w:t>
      </w:r>
      <w:r>
        <w:t xml:space="preserve">jest celowo pusta: zgodnie z regulaminem wnioski formułuje student samodzielnie.</w:t>
      </w:r>
    </w:p>
    <w:bookmarkStart w:id="20" w:name="model-i-implementacja"/>
    <w:p>
      <w:pPr>
        <w:pStyle w:val="Heading1"/>
      </w:pPr>
      <w:r>
        <w:t xml:space="preserve">1. Model i implementacja</w:t>
      </w:r>
    </w:p>
    <w:p>
      <w:pPr>
        <w:pStyle w:val="FirstParagraph"/>
      </w:pPr>
      <w:r>
        <w:t xml:space="preserve">Regresja logistyczna zaimplementowana od zera w NumPy (bez gotowych metod uczenia), klasa</w:t>
      </w:r>
      <w:r>
        <w:t xml:space="preserve"> </w:t>
      </w:r>
      <w:r>
        <w:rPr>
          <w:rStyle w:val="VerbatimChar"/>
        </w:rPr>
        <w:t xml:space="preserve">LogisticRegressionGD</w:t>
      </w:r>
      <w:r>
        <w:t xml:space="preserve">:</w:t>
      </w:r>
    </w:p>
    <w:p>
      <w:pPr>
        <w:numPr>
          <w:ilvl w:val="0"/>
          <w:numId w:val="1001"/>
        </w:numPr>
        <w:pStyle w:val="Compact"/>
      </w:pPr>
      <w:r>
        <w:t xml:space="preserve">model: p(x) = σ(Wx + b), σ(z) = 1/(1+e^(−z)) (wersja stabilna numerycznie),</w:t>
      </w:r>
    </w:p>
    <w:p>
      <w:pPr>
        <w:numPr>
          <w:ilvl w:val="0"/>
          <w:numId w:val="1001"/>
        </w:numPr>
        <w:pStyle w:val="Compact"/>
      </w:pPr>
      <w:r>
        <w:t xml:space="preserve">koszt: średnia entropia krzyżowa L = −1/N Σ [y ln p + (1−y) ln(1−p)],</w:t>
      </w:r>
    </w:p>
    <w:p>
      <w:pPr>
        <w:numPr>
          <w:ilvl w:val="0"/>
          <w:numId w:val="1001"/>
        </w:numPr>
        <w:pStyle w:val="Compact"/>
      </w:pPr>
      <w:r>
        <w:t xml:space="preserve">gradient: ∂L/∂wᵢ = −1/N Σ (y − p) xᵢ, ∂L/∂b = −1/N Σ (y − p),</w:t>
      </w:r>
    </w:p>
    <w:p>
      <w:pPr>
        <w:numPr>
          <w:ilvl w:val="0"/>
          <w:numId w:val="1001"/>
        </w:numPr>
        <w:pStyle w:val="Compact"/>
      </w:pPr>
      <w:r>
        <w:t xml:space="preserve">aktualizacja: w ← w − α ∂L/∂w (pełny batch gradient descent),</w:t>
      </w:r>
    </w:p>
    <w:p>
      <w:pPr>
        <w:numPr>
          <w:ilvl w:val="0"/>
          <w:numId w:val="1001"/>
        </w:numPr>
        <w:pStyle w:val="Compact"/>
      </w:pPr>
      <w:r>
        <w:t xml:space="preserve">warunki stopu: stała liczba epok / |L_t − L_(t−1)| &lt; tol / early stopping na koszcie walidacyjnym (z przywróceniem najlepszych wag),</w:t>
      </w:r>
    </w:p>
    <w:p>
      <w:pPr>
        <w:numPr>
          <w:ilvl w:val="0"/>
          <w:numId w:val="1001"/>
        </w:numPr>
        <w:pStyle w:val="Compact"/>
      </w:pPr>
      <w:r>
        <w:t xml:space="preserve">w każdej epoce logowane są: koszt i F1/precision/recall (train i walidacja) oraz ‖∇L‖ – z tego powstają krzywe uczenia.</w:t>
      </w:r>
    </w:p>
    <w:p>
      <w:pPr>
        <w:pStyle w:val="FirstParagraph"/>
      </w:pPr>
      <w:r>
        <w:t xml:space="preserve">Metryki precision/recall/F1 liczone dla klasy pozytywnej (1 = choroba), próg 0,5.</w:t>
      </w:r>
    </w:p>
    <w:p>
      <w:pPr>
        <w:pStyle w:val="BodyText"/>
      </w:pPr>
      <w:r>
        <w:rPr>
          <w:bCs/>
          <w:b/>
        </w:rPr>
        <w:t xml:space="preserve">Dane:</w:t>
      </w:r>
      <w:r>
        <w:t xml:space="preserve"> </w:t>
      </w:r>
      <w:r>
        <w:t xml:space="preserve">preprocessing z ćwiczenia 1 (</w:t>
      </w:r>
      <w:r>
        <w:rPr>
          <w:rStyle w:val="VerbatimChar"/>
        </w:rPr>
        <w:t xml:space="preserve">data.py</w:t>
      </w:r>
      <w:r>
        <w:t xml:space="preserve">, ten sam co w ćw. 1): imputacja dominantą, one-hot, standaryzacja, 17 cech;</w:t>
      </w:r>
      <w:r>
        <w:t xml:space="preserve"> </w:t>
      </w:r>
      <w:r>
        <w:t xml:space="preserve">podział warstwowy train 181 / val 61 / test 60.</w:t>
      </w:r>
    </w:p>
    <w:p>
      <w:pPr>
        <w:pStyle w:val="BodyText"/>
      </w:pPr>
      <w:r>
        <w:rPr>
          <w:bCs/>
          <w:b/>
        </w:rPr>
        <w:t xml:space="preserve">Minimum globalne jako punkt odniesienia:</w:t>
      </w:r>
      <w:r>
        <w:t xml:space="preserve"> </w:t>
      </w:r>
      <w:r>
        <w:t xml:space="preserve">ponieważ koszt jest wypukły, wyznaczono minimum</w:t>
      </w:r>
      <w:r>
        <w:t xml:space="preserve"> </w:t>
      </w:r>
      <w:r>
        <w:t xml:space="preserve">długim treningiem (α = 0,5, do |ΔL| &lt; 10⁻¹⁴):</w:t>
      </w:r>
      <w:r>
        <w:t xml:space="preserve"> </w:t>
      </w:r>
      <w:r>
        <w:rPr>
          <w:bCs/>
          <w:b/>
        </w:rPr>
        <w:t xml:space="preserve">L* = 0,279698</w:t>
      </w:r>
      <w:r>
        <w:t xml:space="preserve">, ‖∇L‖ = 1,4·10⁻⁷.</w:t>
      </w:r>
      <w:r>
        <w:t xml:space="preserve"> </w:t>
      </w:r>
      <w:r>
        <w:t xml:space="preserve">Kontrola:</w:t>
      </w:r>
      <w:r>
        <w:t xml:space="preserve"> </w:t>
      </w:r>
      <w:r>
        <w:rPr>
          <w:rStyle w:val="VerbatimChar"/>
        </w:rPr>
        <w:t xml:space="preserve">sklearn.LogisticRegression</w:t>
      </w:r>
      <w:r>
        <w:t xml:space="preserve"> </w:t>
      </w:r>
      <w:r>
        <w:t xml:space="preserve">bez regularyzacji daje ten sam koszt, a jej wagi różnią się od naszych o 1,4·10⁻⁵ (norma) – implementacja jest poprawna.</w:t>
      </w:r>
      <w:r>
        <w:t xml:space="preserve"> </w:t>
      </w:r>
      <w:r>
        <w:rPr>
          <w:bCs/>
          <w:b/>
        </w:rPr>
        <w:t xml:space="preserve">Kryterium zbieżności</w:t>
      </w:r>
      <w:r>
        <w:t xml:space="preserve"> </w:t>
      </w:r>
      <w:r>
        <w:t xml:space="preserve">w tabelach: pierwsza epoka, w której L ≤ L* + 10⁻³.</w:t>
      </w:r>
    </w:p>
    <w:bookmarkEnd w:id="20"/>
    <w:bookmarkStart w:id="27" w:name="Xeafa11656deb3daee8f76f7ff7bc45ece4a9516"/>
    <w:p>
      <w:pPr>
        <w:pStyle w:val="Heading1"/>
      </w:pPr>
      <w:r>
        <w:t xml:space="preserve">2. Model bazowy (α = 0,1, inicjalizacja zerowa, 2000 epok)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zbiór</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w:t>
            </w:r>
          </w:p>
        </w:tc>
      </w:tr>
      <w:tr>
        <w:tc>
          <w:tcPr/>
          <w:p>
            <w:pPr>
              <w:pStyle w:val="Compact"/>
              <w:jc w:val="left"/>
            </w:pPr>
            <w:r>
              <w:t xml:space="preserve">train</w:t>
            </w:r>
          </w:p>
        </w:tc>
        <w:tc>
          <w:tcPr/>
          <w:p>
            <w:pPr>
              <w:pStyle w:val="Compact"/>
              <w:jc w:val="left"/>
            </w:pPr>
            <w:r>
              <w:t xml:space="preserve">0,897</w:t>
            </w:r>
          </w:p>
        </w:tc>
        <w:tc>
          <w:tcPr/>
          <w:p>
            <w:pPr>
              <w:pStyle w:val="Compact"/>
              <w:jc w:val="left"/>
            </w:pPr>
            <w:r>
              <w:t xml:space="preserve">0,843</w:t>
            </w:r>
          </w:p>
        </w:tc>
        <w:tc>
          <w:tcPr/>
          <w:p>
            <w:pPr>
              <w:pStyle w:val="Compact"/>
              <w:jc w:val="left"/>
            </w:pPr>
            <w:r>
              <w:t xml:space="preserve">0,870</w:t>
            </w:r>
          </w:p>
        </w:tc>
        <w:tc>
          <w:tcPr/>
          <w:p>
            <w:pPr>
              <w:pStyle w:val="Compact"/>
              <w:jc w:val="left"/>
            </w:pPr>
            <w:r>
              <w:t xml:space="preserve">0,884</w:t>
            </w:r>
          </w:p>
        </w:tc>
      </w:tr>
      <w:tr>
        <w:tc>
          <w:tcPr/>
          <w:p>
            <w:pPr>
              <w:pStyle w:val="Compact"/>
              <w:jc w:val="left"/>
            </w:pPr>
            <w:r>
              <w:t xml:space="preserve">walidacja</w:t>
            </w:r>
          </w:p>
        </w:tc>
        <w:tc>
          <w:tcPr/>
          <w:p>
            <w:pPr>
              <w:pStyle w:val="Compact"/>
              <w:jc w:val="left"/>
            </w:pPr>
            <w:r>
              <w:t xml:space="preserve">0,815</w:t>
            </w:r>
          </w:p>
        </w:tc>
        <w:tc>
          <w:tcPr/>
          <w:p>
            <w:pPr>
              <w:pStyle w:val="Compact"/>
              <w:jc w:val="left"/>
            </w:pPr>
            <w:r>
              <w:t xml:space="preserve">0,786</w:t>
            </w:r>
          </w:p>
        </w:tc>
        <w:tc>
          <w:tcPr/>
          <w:p>
            <w:pPr>
              <w:pStyle w:val="Compact"/>
              <w:jc w:val="left"/>
            </w:pPr>
            <w:r>
              <w:t xml:space="preserve">0,800</w:t>
            </w:r>
          </w:p>
        </w:tc>
        <w:tc>
          <w:tcPr/>
          <w:p>
            <w:pPr>
              <w:pStyle w:val="Compact"/>
              <w:jc w:val="left"/>
            </w:pPr>
            <w:r>
              <w:t xml:space="preserve">0,820</w:t>
            </w:r>
          </w:p>
        </w:tc>
      </w:tr>
      <w:tr>
        <w:tc>
          <w:tcPr/>
          <w:p>
            <w:pPr>
              <w:pStyle w:val="Compact"/>
              <w:jc w:val="left"/>
            </w:pPr>
            <w:r>
              <w:rPr>
                <w:bCs/>
                <w:b/>
              </w:rPr>
              <w:t xml:space="preserve">test</w:t>
            </w:r>
          </w:p>
        </w:tc>
        <w:tc>
          <w:tcPr/>
          <w:p>
            <w:pPr>
              <w:pStyle w:val="Compact"/>
              <w:jc w:val="left"/>
            </w:pPr>
            <w:r>
              <w:rPr>
                <w:bCs/>
                <w:b/>
              </w:rPr>
              <w:t xml:space="preserve">0,786</w:t>
            </w:r>
          </w:p>
        </w:tc>
        <w:tc>
          <w:tcPr/>
          <w:p>
            <w:pPr>
              <w:pStyle w:val="Compact"/>
              <w:jc w:val="left"/>
            </w:pPr>
            <w:r>
              <w:rPr>
                <w:bCs/>
                <w:b/>
              </w:rPr>
              <w:t xml:space="preserve">0,815</w:t>
            </w:r>
          </w:p>
        </w:tc>
        <w:tc>
          <w:tcPr/>
          <w:p>
            <w:pPr>
              <w:pStyle w:val="Compact"/>
              <w:jc w:val="left"/>
            </w:pPr>
            <w:r>
              <w:rPr>
                <w:bCs/>
                <w:b/>
              </w:rPr>
              <w:t xml:space="preserve">0,800</w:t>
            </w:r>
          </w:p>
        </w:tc>
        <w:tc>
          <w:tcPr/>
          <w:p>
            <w:pPr>
              <w:pStyle w:val="Compact"/>
              <w:jc w:val="left"/>
            </w:pPr>
            <w:r>
              <w:rPr>
                <w:bCs/>
                <w:b/>
              </w:rPr>
              <w:t xml:space="preserve">0,817</w:t>
            </w:r>
          </w:p>
        </w:tc>
      </w:tr>
    </w:tbl>
    <w:p>
      <w:pPr>
        <w:pStyle w:val="BodyText"/>
      </w:pPr>
      <w:r>
        <w:t xml:space="preserve">Wynik na teście jest identyczny z baseline’em sklearn z ćwiczenia 1 (F1 = 0,800) – oba modele trafiają w to samo minimum. Zbieżność do L* + 10⁻³ po 922 epokach.</w:t>
      </w:r>
    </w:p>
    <w:p>
      <w:pPr>
        <w:pStyle w:val="CaptionedFigure"/>
      </w:pPr>
      <w:r>
        <w:drawing>
          <wp:inline>
            <wp:extent cx="5334000" cy="1866900"/>
            <wp:effectExtent b="0" l="0" r="0" t="0"/>
            <wp:docPr descr="Krzywe uczenia modelu bazowego" title="" id="22" name="Picture"/>
            <a:graphic>
              <a:graphicData uri="http://schemas.openxmlformats.org/drawingml/2006/picture">
                <pic:pic>
                  <pic:nvPicPr>
                    <pic:cNvPr descr="figures/1_baseline_learning_curve.png" id="23" name="Picture"/>
                    <pic:cNvPicPr>
                      <a:picLocks noChangeArrowheads="1" noChangeAspect="1"/>
                    </pic:cNvPicPr>
                  </pic:nvPicPr>
                  <pic:blipFill>
                    <a:blip r:embed="rId21"/>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Krzywe uczenia modelu bazowego</w:t>
      </w:r>
    </w:p>
    <w:p>
      <w:pPr>
        <w:pStyle w:val="CaptionedFigure"/>
      </w:pPr>
      <w:r>
        <w:drawing>
          <wp:inline>
            <wp:extent cx="3467100" cy="2600325"/>
            <wp:effectExtent b="0" l="0" r="0" t="0"/>
            <wp:docPr descr="Wagi modelu (największy wpływ: cp_4, ca, sex, thalach, thal_7)" title="" id="25" name="Picture"/>
            <a:graphic>
              <a:graphicData uri="http://schemas.openxmlformats.org/drawingml/2006/picture">
                <pic:pic>
                  <pic:nvPicPr>
                    <pic:cNvPr descr="figures/2_weights.png" id="26" name="Picture"/>
                    <pic:cNvPicPr>
                      <a:picLocks noChangeArrowheads="1" noChangeAspect="1"/>
                    </pic:cNvPicPr>
                  </pic:nvPicPr>
                  <pic:blipFill>
                    <a:blip r:embed="rId24"/>
                    <a:stretch>
                      <a:fillRect/>
                    </a:stretch>
                  </pic:blipFill>
                  <pic:spPr bwMode="auto">
                    <a:xfrm>
                      <a:off x="0" y="0"/>
                      <a:ext cx="3467100" cy="2600325"/>
                    </a:xfrm>
                    <a:prstGeom prst="rect">
                      <a:avLst/>
                    </a:prstGeom>
                    <a:noFill/>
                    <a:ln w="9525">
                      <a:noFill/>
                      <a:headEnd/>
                      <a:tailEnd/>
                    </a:ln>
                  </pic:spPr>
                </pic:pic>
              </a:graphicData>
            </a:graphic>
          </wp:inline>
        </w:drawing>
      </w:r>
    </w:p>
    <w:p>
      <w:pPr>
        <w:pStyle w:val="ImageCaption"/>
      </w:pPr>
      <w:r>
        <w:t xml:space="preserve">Wagi modelu (największy wpływ: cp_4, ca, sex, thalach, thal_7)</w:t>
      </w:r>
    </w:p>
    <w:bookmarkEnd w:id="27"/>
    <w:bookmarkStart w:id="34" w:name="X3cb022fcaa977a93cbf5384818bdba6092fd5eb"/>
    <w:p>
      <w:pPr>
        <w:pStyle w:val="Heading1"/>
      </w:pPr>
      <w:r>
        <w:t xml:space="preserve">3. Wpływ współczynnika uczenia α (inicjalizacja zerowa, 5000 epok)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α</w:t>
            </w:r>
          </w:p>
        </w:tc>
        <w:tc>
          <w:tcPr/>
          <w:p>
            <w:pPr>
              <w:pStyle w:val="Compact"/>
              <w:jc w:val="left"/>
            </w:pPr>
            <w:r>
              <w:t xml:space="preserve">koszt końcowy</w:t>
            </w:r>
          </w:p>
        </w:tc>
        <w:tc>
          <w:tcPr/>
          <w:p>
            <w:pPr>
              <w:pStyle w:val="Compact"/>
              <w:jc w:val="left"/>
            </w:pPr>
            <w:r>
              <w:t xml:space="preserve">epoki do zbieżności</w:t>
            </w:r>
          </w:p>
        </w:tc>
        <w:tc>
          <w:tcPr/>
          <w:p>
            <w:pPr>
              <w:pStyle w:val="Compact"/>
              <w:jc w:val="left"/>
            </w:pPr>
            <w:r>
              <w:t xml:space="preserve">oscylacje</w:t>
            </w:r>
          </w:p>
        </w:tc>
        <w:tc>
          <w:tcPr/>
          <w:p>
            <w:pPr>
              <w:pStyle w:val="Compact"/>
              <w:jc w:val="left"/>
            </w:pPr>
            <w:r>
              <w:t xml:space="preserve">F1 val</w:t>
            </w:r>
          </w:p>
        </w:tc>
        <w:tc>
          <w:tcPr/>
          <w:p>
            <w:pPr>
              <w:pStyle w:val="Compact"/>
              <w:jc w:val="left"/>
            </w:pPr>
            <w:r>
              <w:t xml:space="preserve">F1 test</w:t>
            </w:r>
          </w:p>
        </w:tc>
      </w:tr>
      <w:tr>
        <w:tc>
          <w:tcPr/>
          <w:p>
            <w:pPr>
              <w:pStyle w:val="Compact"/>
              <w:jc w:val="left"/>
            </w:pPr>
            <w:r>
              <w:t xml:space="preserve">0,0001</w:t>
            </w:r>
          </w:p>
        </w:tc>
        <w:tc>
          <w:tcPr/>
          <w:p>
            <w:pPr>
              <w:pStyle w:val="Compact"/>
              <w:jc w:val="left"/>
            </w:pPr>
            <w:r>
              <w:t xml:space="preserve">0,5334</w:t>
            </w:r>
          </w:p>
        </w:tc>
        <w:tc>
          <w:tcPr/>
          <w:p>
            <w:pPr>
              <w:pStyle w:val="Compact"/>
              <w:jc w:val="left"/>
            </w:pPr>
            <w:r>
              <w:t xml:space="preserve">nie zbiegł</w:t>
            </w:r>
          </w:p>
        </w:tc>
        <w:tc>
          <w:tcPr/>
          <w:p>
            <w:pPr>
              <w:pStyle w:val="Compact"/>
              <w:jc w:val="left"/>
            </w:pPr>
            <w:r>
              <w:t xml:space="preserve">nie</w:t>
            </w:r>
          </w:p>
        </w:tc>
        <w:tc>
          <w:tcPr/>
          <w:p>
            <w:pPr>
              <w:pStyle w:val="Compact"/>
              <w:jc w:val="left"/>
            </w:pPr>
            <w:r>
              <w:t xml:space="preserve">0,836</w:t>
            </w:r>
          </w:p>
        </w:tc>
        <w:tc>
          <w:tcPr/>
          <w:p>
            <w:pPr>
              <w:pStyle w:val="Compact"/>
              <w:jc w:val="left"/>
            </w:pPr>
            <w:r>
              <w:t xml:space="preserve">0,807</w:t>
            </w:r>
          </w:p>
        </w:tc>
      </w:tr>
      <w:tr>
        <w:tc>
          <w:tcPr/>
          <w:p>
            <w:pPr>
              <w:pStyle w:val="Compact"/>
              <w:jc w:val="left"/>
            </w:pPr>
            <w:r>
              <w:t xml:space="preserve">0,001</w:t>
            </w:r>
          </w:p>
        </w:tc>
        <w:tc>
          <w:tcPr/>
          <w:p>
            <w:pPr>
              <w:pStyle w:val="Compact"/>
              <w:jc w:val="left"/>
            </w:pPr>
            <w:r>
              <w:t xml:space="preserve">0,3325</w:t>
            </w:r>
          </w:p>
        </w:tc>
        <w:tc>
          <w:tcPr/>
          <w:p>
            <w:pPr>
              <w:pStyle w:val="Compact"/>
              <w:jc w:val="left"/>
            </w:pPr>
            <w:r>
              <w:t xml:space="preserve">nie zbiegł</w:t>
            </w:r>
          </w:p>
        </w:tc>
        <w:tc>
          <w:tcPr/>
          <w:p>
            <w:pPr>
              <w:pStyle w:val="Compact"/>
              <w:jc w:val="left"/>
            </w:pPr>
            <w:r>
              <w:t xml:space="preserve">nie</w:t>
            </w:r>
          </w:p>
        </w:tc>
        <w:tc>
          <w:tcPr/>
          <w:p>
            <w:pPr>
              <w:pStyle w:val="Compact"/>
              <w:jc w:val="left"/>
            </w:pPr>
            <w:r>
              <w:t xml:space="preserve">0,815</w:t>
            </w:r>
          </w:p>
        </w:tc>
        <w:tc>
          <w:tcPr/>
          <w:p>
            <w:pPr>
              <w:pStyle w:val="Compact"/>
              <w:jc w:val="left"/>
            </w:pPr>
            <w:r>
              <w:t xml:space="preserve">0,821</w:t>
            </w:r>
          </w:p>
        </w:tc>
      </w:tr>
      <w:tr>
        <w:tc>
          <w:tcPr/>
          <w:p>
            <w:pPr>
              <w:pStyle w:val="Compact"/>
              <w:jc w:val="left"/>
            </w:pPr>
            <w:r>
              <w:t xml:space="preserve">0,01</w:t>
            </w:r>
          </w:p>
        </w:tc>
        <w:tc>
          <w:tcPr/>
          <w:p>
            <w:pPr>
              <w:pStyle w:val="Compact"/>
              <w:jc w:val="left"/>
            </w:pPr>
            <w:r>
              <w:t xml:space="preserve">0,2831</w:t>
            </w:r>
          </w:p>
        </w:tc>
        <w:tc>
          <w:tcPr/>
          <w:p>
            <w:pPr>
              <w:pStyle w:val="Compact"/>
              <w:jc w:val="left"/>
            </w:pPr>
            <w:r>
              <w:t xml:space="preserve">nie zbiegł (blisko)</w:t>
            </w:r>
          </w:p>
        </w:tc>
        <w:tc>
          <w:tcPr/>
          <w:p>
            <w:pPr>
              <w:pStyle w:val="Compact"/>
              <w:jc w:val="left"/>
            </w:pPr>
            <w:r>
              <w:t xml:space="preserve">nie</w:t>
            </w:r>
          </w:p>
        </w:tc>
        <w:tc>
          <w:tcPr/>
          <w:p>
            <w:pPr>
              <w:pStyle w:val="Compact"/>
              <w:jc w:val="left"/>
            </w:pPr>
            <w:r>
              <w:t xml:space="preserve">0,800</w:t>
            </w:r>
          </w:p>
        </w:tc>
        <w:tc>
          <w:tcPr/>
          <w:p>
            <w:pPr>
              <w:pStyle w:val="Compact"/>
              <w:jc w:val="left"/>
            </w:pPr>
            <w:r>
              <w:t xml:space="preserve">0,800</w:t>
            </w:r>
          </w:p>
        </w:tc>
      </w:tr>
      <w:tr>
        <w:tc>
          <w:tcPr/>
          <w:p>
            <w:pPr>
              <w:pStyle w:val="Compact"/>
              <w:jc w:val="left"/>
            </w:pPr>
            <w:r>
              <w:t xml:space="preserve">0,1</w:t>
            </w:r>
          </w:p>
        </w:tc>
        <w:tc>
          <w:tcPr/>
          <w:p>
            <w:pPr>
              <w:pStyle w:val="Compact"/>
              <w:jc w:val="left"/>
            </w:pPr>
            <w:r>
              <w:t xml:space="preserve">0,27970</w:t>
            </w:r>
          </w:p>
        </w:tc>
        <w:tc>
          <w:tcPr/>
          <w:p>
            <w:pPr>
              <w:pStyle w:val="Compact"/>
              <w:jc w:val="left"/>
            </w:pPr>
            <w:r>
              <w:t xml:space="preserve">922</w:t>
            </w:r>
          </w:p>
        </w:tc>
        <w:tc>
          <w:tcPr/>
          <w:p>
            <w:pPr>
              <w:pStyle w:val="Compact"/>
              <w:jc w:val="left"/>
            </w:pPr>
            <w:r>
              <w:t xml:space="preserve">nie</w:t>
            </w:r>
          </w:p>
        </w:tc>
        <w:tc>
          <w:tcPr/>
          <w:p>
            <w:pPr>
              <w:pStyle w:val="Compact"/>
              <w:jc w:val="left"/>
            </w:pPr>
            <w:r>
              <w:t xml:space="preserve">0,800</w:t>
            </w:r>
          </w:p>
        </w:tc>
        <w:tc>
          <w:tcPr/>
          <w:p>
            <w:pPr>
              <w:pStyle w:val="Compact"/>
              <w:jc w:val="left"/>
            </w:pPr>
            <w:r>
              <w:t xml:space="preserve">0,800</w:t>
            </w:r>
          </w:p>
        </w:tc>
      </w:tr>
      <w:tr>
        <w:tc>
          <w:tcPr/>
          <w:p>
            <w:pPr>
              <w:pStyle w:val="Compact"/>
              <w:jc w:val="left"/>
            </w:pPr>
            <w:r>
              <w:t xml:space="preserve">1</w:t>
            </w:r>
          </w:p>
        </w:tc>
        <w:tc>
          <w:tcPr/>
          <w:p>
            <w:pPr>
              <w:pStyle w:val="Compact"/>
              <w:jc w:val="left"/>
            </w:pPr>
            <w:r>
              <w:t xml:space="preserve">0,27970</w:t>
            </w:r>
          </w:p>
        </w:tc>
        <w:tc>
          <w:tcPr/>
          <w:p>
            <w:pPr>
              <w:pStyle w:val="Compact"/>
              <w:jc w:val="left"/>
            </w:pPr>
            <w:r>
              <w:t xml:space="preserve">91</w:t>
            </w:r>
          </w:p>
        </w:tc>
        <w:tc>
          <w:tcPr/>
          <w:p>
            <w:pPr>
              <w:pStyle w:val="Compact"/>
              <w:jc w:val="left"/>
            </w:pPr>
            <w:r>
              <w:t xml:space="preserve">nie</w:t>
            </w:r>
          </w:p>
        </w:tc>
        <w:tc>
          <w:tcPr/>
          <w:p>
            <w:pPr>
              <w:pStyle w:val="Compact"/>
              <w:jc w:val="left"/>
            </w:pPr>
            <w:r>
              <w:t xml:space="preserve">0,800</w:t>
            </w:r>
          </w:p>
        </w:tc>
        <w:tc>
          <w:tcPr/>
          <w:p>
            <w:pPr>
              <w:pStyle w:val="Compact"/>
              <w:jc w:val="left"/>
            </w:pPr>
            <w:r>
              <w:t xml:space="preserve">0,800</w:t>
            </w:r>
          </w:p>
        </w:tc>
      </w:tr>
      <w:tr>
        <w:tc>
          <w:tcPr/>
          <w:p>
            <w:pPr>
              <w:pStyle w:val="Compact"/>
              <w:jc w:val="left"/>
            </w:pPr>
            <w:r>
              <w:t xml:space="preserve">5</w:t>
            </w:r>
          </w:p>
        </w:tc>
        <w:tc>
          <w:tcPr/>
          <w:p>
            <w:pPr>
              <w:pStyle w:val="Compact"/>
              <w:jc w:val="left"/>
            </w:pPr>
            <w:r>
              <w:t xml:space="preserve">0,27970</w:t>
            </w:r>
          </w:p>
        </w:tc>
        <w:tc>
          <w:tcPr/>
          <w:p>
            <w:pPr>
              <w:pStyle w:val="Compact"/>
              <w:jc w:val="left"/>
            </w:pPr>
            <w:r>
              <w:rPr>
                <w:bCs/>
                <w:b/>
              </w:rPr>
              <w:t xml:space="preserve">14</w:t>
            </w:r>
          </w:p>
        </w:tc>
        <w:tc>
          <w:tcPr/>
          <w:p>
            <w:pPr>
              <w:pStyle w:val="Compact"/>
              <w:jc w:val="left"/>
            </w:pPr>
            <w:r>
              <w:t xml:space="preserve">nie</w:t>
            </w:r>
          </w:p>
        </w:tc>
        <w:tc>
          <w:tcPr/>
          <w:p>
            <w:pPr>
              <w:pStyle w:val="Compact"/>
              <w:jc w:val="left"/>
            </w:pPr>
            <w:r>
              <w:t xml:space="preserve">0,800</w:t>
            </w:r>
          </w:p>
        </w:tc>
        <w:tc>
          <w:tcPr/>
          <w:p>
            <w:pPr>
              <w:pStyle w:val="Compact"/>
              <w:jc w:val="left"/>
            </w:pPr>
            <w:r>
              <w:t xml:space="preserve">0,800</w:t>
            </w:r>
          </w:p>
        </w:tc>
      </w:tr>
      <w:tr>
        <w:tc>
          <w:tcPr/>
          <w:p>
            <w:pPr>
              <w:pStyle w:val="Compact"/>
              <w:jc w:val="left"/>
            </w:pPr>
            <w:r>
              <w:t xml:space="preserve">20</w:t>
            </w:r>
          </w:p>
        </w:tc>
        <w:tc>
          <w:tcPr/>
          <w:p>
            <w:pPr>
              <w:pStyle w:val="Compact"/>
              <w:jc w:val="left"/>
            </w:pPr>
            <w:r>
              <w:t xml:space="preserve">0,3267</w:t>
            </w:r>
          </w:p>
        </w:tc>
        <w:tc>
          <w:tcPr/>
          <w:p>
            <w:pPr>
              <w:pStyle w:val="Compact"/>
              <w:jc w:val="left"/>
            </w:pPr>
            <w:r>
              <w:t xml:space="preserve">nigdy</w:t>
            </w:r>
          </w:p>
        </w:tc>
        <w:tc>
          <w:tcPr/>
          <w:p>
            <w:pPr>
              <w:pStyle w:val="Compact"/>
              <w:jc w:val="left"/>
            </w:pPr>
            <w:r>
              <w:rPr>
                <w:bCs/>
                <w:b/>
              </w:rPr>
              <w:t xml:space="preserve">tak</w:t>
            </w:r>
          </w:p>
        </w:tc>
        <w:tc>
          <w:tcPr/>
          <w:p>
            <w:pPr>
              <w:pStyle w:val="Compact"/>
              <w:jc w:val="left"/>
            </w:pPr>
            <w:r>
              <w:t xml:space="preserve">0,733</w:t>
            </w:r>
          </w:p>
        </w:tc>
        <w:tc>
          <w:tcPr/>
          <w:p>
            <w:pPr>
              <w:pStyle w:val="Compact"/>
              <w:jc w:val="left"/>
            </w:pPr>
            <w:r>
              <w:t xml:space="preserve">0,857</w:t>
            </w:r>
          </w:p>
        </w:tc>
      </w:tr>
      <w:tr>
        <w:tc>
          <w:tcPr/>
          <w:p>
            <w:pPr>
              <w:pStyle w:val="Compact"/>
              <w:jc w:val="left"/>
            </w:pPr>
            <w:r>
              <w:t xml:space="preserve">100</w:t>
            </w:r>
          </w:p>
        </w:tc>
        <w:tc>
          <w:tcPr/>
          <w:p>
            <w:pPr>
              <w:pStyle w:val="Compact"/>
              <w:jc w:val="left"/>
            </w:pPr>
            <w:r>
              <w:t xml:space="preserve">3,0185</w:t>
            </w:r>
          </w:p>
        </w:tc>
        <w:tc>
          <w:tcPr/>
          <w:p>
            <w:pPr>
              <w:pStyle w:val="Compact"/>
              <w:jc w:val="left"/>
            </w:pPr>
            <w:r>
              <w:t xml:space="preserve">nigdy</w:t>
            </w:r>
          </w:p>
        </w:tc>
        <w:tc>
          <w:tcPr/>
          <w:p>
            <w:pPr>
              <w:pStyle w:val="Compact"/>
              <w:jc w:val="left"/>
            </w:pPr>
            <w:r>
              <w:rPr>
                <w:bCs/>
                <w:b/>
              </w:rPr>
              <w:t xml:space="preserve">tak</w:t>
            </w:r>
          </w:p>
        </w:tc>
        <w:tc>
          <w:tcPr/>
          <w:p>
            <w:pPr>
              <w:pStyle w:val="Compact"/>
              <w:jc w:val="left"/>
            </w:pPr>
            <w:r>
              <w:t xml:space="preserve">0,679</w:t>
            </w:r>
          </w:p>
        </w:tc>
        <w:tc>
          <w:tcPr/>
          <w:p>
            <w:pPr>
              <w:pStyle w:val="Compact"/>
              <w:jc w:val="left"/>
            </w:pPr>
            <w:r>
              <w:t xml:space="preserve">0,836</w:t>
            </w:r>
          </w:p>
        </w:tc>
      </w:tr>
    </w:tbl>
    <w:p>
      <w:pPr>
        <w:pStyle w:val="BodyText"/>
      </w:pPr>
      <w:r>
        <w:t xml:space="preserve">Obserwacje:</w:t>
      </w:r>
    </w:p>
    <w:p>
      <w:pPr>
        <w:numPr>
          <w:ilvl w:val="0"/>
          <w:numId w:val="1002"/>
        </w:numPr>
        <w:pStyle w:val="Compact"/>
      </w:pPr>
      <w:r>
        <w:t xml:space="preserve">α ≤ 0,01: koszt maleje monotonicznie, ale bardzo wolno – po 5000 epokach model nie osiąga minimum.</w:t>
      </w:r>
    </w:p>
    <w:p>
      <w:pPr>
        <w:numPr>
          <w:ilvl w:val="0"/>
          <w:numId w:val="1002"/>
        </w:numPr>
        <w:pStyle w:val="Compact"/>
      </w:pPr>
      <w:r>
        <w:t xml:space="preserve">0,1 ≤ α ≤ 5: zbieżność do tego samego L*; liczba epok maleje prawie odwrotnie proporcjonalnie do α (922 → 91 → 14).</w:t>
      </w:r>
    </w:p>
    <w:p>
      <w:pPr>
        <w:numPr>
          <w:ilvl w:val="0"/>
          <w:numId w:val="1002"/>
        </w:numPr>
        <w:pStyle w:val="Compact"/>
      </w:pPr>
      <w:r>
        <w:t xml:space="preserve">α ≥ 20: koszt nie zbiega – oscyluje (dla α = 20 między ~0,30 a ~0,85; dla α = 100 między ~1 a ~5), krok „przeskakuje” minimum. Minimum istnieje i jest jedno, ale optymalizator do niego nie dochodzi.</w:t>
      </w:r>
    </w:p>
    <w:p>
      <w:pPr>
        <w:numPr>
          <w:ilvl w:val="0"/>
          <w:numId w:val="1002"/>
        </w:numPr>
        <w:pStyle w:val="Compact"/>
      </w:pPr>
      <w:r>
        <w:t xml:space="preserve">F1 przy małym α bywa chwilowo wyższe niż w minimum (np. α = 0,0001: F1 test 0,807) – F1 nie jest minimalizowaną funkcją, więc niepełne dopasowanie nie musi szkodzić metrykom.</w:t>
      </w:r>
    </w:p>
    <w:p>
      <w:pPr>
        <w:pStyle w:val="CaptionedFigure"/>
      </w:pPr>
      <w:r>
        <w:drawing>
          <wp:inline>
            <wp:extent cx="5334000" cy="1866900"/>
            <wp:effectExtent b="0" l="0" r="0" t="0"/>
            <wp:docPr descr="Wpływ α na koszt i F1" title="" id="29" name="Picture"/>
            <a:graphic>
              <a:graphicData uri="http://schemas.openxmlformats.org/drawingml/2006/picture">
                <pic:pic>
                  <pic:nvPicPr>
                    <pic:cNvPr descr="figures/3_learning_rate.png" id="30" name="Picture"/>
                    <pic:cNvPicPr>
                      <a:picLocks noChangeArrowheads="1" noChangeAspect="1"/>
                    </pic:cNvPicPr>
                  </pic:nvPicPr>
                  <pic:blipFill>
                    <a:blip r:embed="rId28"/>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Wpływ α na koszt i F1</w:t>
      </w:r>
    </w:p>
    <w:p>
      <w:pPr>
        <w:pStyle w:val="CaptionedFigure"/>
      </w:pPr>
      <w:r>
        <w:drawing>
          <wp:inline>
            <wp:extent cx="3467100" cy="1981200"/>
            <wp:effectExtent b="0" l="0" r="0" t="0"/>
            <wp:docPr descr="Pierwsze 60 epok dla dużych α" title="" id="32" name="Picture"/>
            <a:graphic>
              <a:graphicData uri="http://schemas.openxmlformats.org/drawingml/2006/picture">
                <pic:pic>
                  <pic:nvPicPr>
                    <pic:cNvPr descr="figures/4_large_lr_zoom.png" id="33" name="Picture"/>
                    <pic:cNvPicPr>
                      <a:picLocks noChangeArrowheads="1" noChangeAspect="1"/>
                    </pic:cNvPicPr>
                  </pic:nvPicPr>
                  <pic:blipFill>
                    <a:blip r:embed="rId31"/>
                    <a:stretch>
                      <a:fillRect/>
                    </a:stretch>
                  </pic:blipFill>
                  <pic:spPr bwMode="auto">
                    <a:xfrm>
                      <a:off x="0" y="0"/>
                      <a:ext cx="3467100" cy="1981200"/>
                    </a:xfrm>
                    <a:prstGeom prst="rect">
                      <a:avLst/>
                    </a:prstGeom>
                    <a:noFill/>
                    <a:ln w="9525">
                      <a:noFill/>
                      <a:headEnd/>
                      <a:tailEnd/>
                    </a:ln>
                  </pic:spPr>
                </pic:pic>
              </a:graphicData>
            </a:graphic>
          </wp:inline>
        </w:drawing>
      </w:r>
    </w:p>
    <w:p>
      <w:pPr>
        <w:pStyle w:val="ImageCaption"/>
      </w:pPr>
      <w:r>
        <w:t xml:space="preserve">Pierwsze 60 epok dla dużych α</w:t>
      </w:r>
    </w:p>
    <w:bookmarkEnd w:id="34"/>
    <w:bookmarkStart w:id="38" w:name="X6c9287033965ae772dc139f516c1fa88848cf97"/>
    <w:p>
      <w:pPr>
        <w:pStyle w:val="Heading1"/>
      </w:pPr>
      <w:r>
        <w:t xml:space="preserve">4. Wpływ rozkładu inicjalizacji (α = 0,1, 5000 epok, 10 ziaren dla rozkładów losowych)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inicjalizacja</w:t>
            </w:r>
          </w:p>
        </w:tc>
        <w:tc>
          <w:tcPr/>
          <w:p>
            <w:pPr>
              <w:pStyle w:val="Compact"/>
              <w:jc w:val="left"/>
            </w:pPr>
            <w:r>
              <w:t xml:space="preserve">koszt początkowy</w:t>
            </w:r>
          </w:p>
        </w:tc>
        <w:tc>
          <w:tcPr/>
          <w:p>
            <w:pPr>
              <w:pStyle w:val="Compact"/>
              <w:jc w:val="left"/>
            </w:pPr>
            <w:r>
              <w:t xml:space="preserve">koszt końcowy (śr.)</w:t>
            </w:r>
          </w:p>
        </w:tc>
        <w:tc>
          <w:tcPr/>
          <w:p>
            <w:pPr>
              <w:pStyle w:val="Compact"/>
              <w:jc w:val="left"/>
            </w:pPr>
            <w:r>
              <w:t xml:space="preserve">epoki do zbieżności (śr.)</w:t>
            </w:r>
          </w:p>
        </w:tc>
        <w:tc>
          <w:tcPr/>
          <w:p>
            <w:pPr>
              <w:pStyle w:val="Compact"/>
              <w:jc w:val="left"/>
            </w:pPr>
            <w:r>
              <w:t xml:space="preserve">nie zbiegło (z 10)</w:t>
            </w:r>
          </w:p>
        </w:tc>
        <w:tc>
          <w:tcPr/>
          <w:p>
            <w:pPr>
              <w:pStyle w:val="Compact"/>
              <w:jc w:val="left"/>
            </w:pPr>
            <w:r>
              <w:t xml:space="preserve">F1 val po 100 ep.</w:t>
            </w:r>
          </w:p>
        </w:tc>
        <w:tc>
          <w:tcPr/>
          <w:p>
            <w:pPr>
              <w:pStyle w:val="Compact"/>
              <w:jc w:val="left"/>
            </w:pPr>
            <w:r>
              <w:t xml:space="preserve">F1 test końcowe</w:t>
            </w:r>
          </w:p>
        </w:tc>
        <w:tc>
          <w:tcPr/>
          <w:p>
            <w:pPr>
              <w:pStyle w:val="Compact"/>
              <w:jc w:val="left"/>
            </w:pPr>
            <w:r>
              <w:t xml:space="preserve">‖w − w*‖</w:t>
            </w:r>
          </w:p>
        </w:tc>
      </w:tr>
      <w:tr>
        <w:tc>
          <w:tcPr/>
          <w:p>
            <w:pPr>
              <w:pStyle w:val="Compact"/>
              <w:jc w:val="left"/>
            </w:pPr>
            <w:r>
              <w:t xml:space="preserve">zera</w:t>
            </w:r>
          </w:p>
        </w:tc>
        <w:tc>
          <w:tcPr/>
          <w:p>
            <w:pPr>
              <w:pStyle w:val="Compact"/>
              <w:jc w:val="left"/>
            </w:pPr>
            <w:r>
              <w:t xml:space="preserve">0,693</w:t>
            </w:r>
          </w:p>
        </w:tc>
        <w:tc>
          <w:tcPr/>
          <w:p>
            <w:pPr>
              <w:pStyle w:val="Compact"/>
              <w:jc w:val="left"/>
            </w:pPr>
            <w:r>
              <w:t xml:space="preserve">0,27970</w:t>
            </w:r>
          </w:p>
        </w:tc>
        <w:tc>
          <w:tcPr/>
          <w:p>
            <w:pPr>
              <w:pStyle w:val="Compact"/>
              <w:jc w:val="left"/>
            </w:pPr>
            <w:r>
              <w:t xml:space="preserve">922</w:t>
            </w:r>
          </w:p>
        </w:tc>
        <w:tc>
          <w:tcPr/>
          <w:p>
            <w:pPr>
              <w:pStyle w:val="Compact"/>
              <w:jc w:val="left"/>
            </w:pPr>
            <w:r>
              <w:t xml:space="preserve">0/1</w:t>
            </w:r>
          </w:p>
        </w:tc>
        <w:tc>
          <w:tcPr/>
          <w:p>
            <w:pPr>
              <w:pStyle w:val="Compact"/>
              <w:jc w:val="left"/>
            </w:pPr>
            <w:r>
              <w:t xml:space="preserve">0,815</w:t>
            </w:r>
          </w:p>
        </w:tc>
        <w:tc>
          <w:tcPr/>
          <w:p>
            <w:pPr>
              <w:pStyle w:val="Compact"/>
              <w:jc w:val="left"/>
            </w:pPr>
            <w:r>
              <w:t xml:space="preserve">0,800</w:t>
            </w:r>
          </w:p>
        </w:tc>
        <w:tc>
          <w:tcPr/>
          <w:p>
            <w:pPr>
              <w:pStyle w:val="Compact"/>
              <w:jc w:val="left"/>
            </w:pPr>
            <w:r>
              <w:t xml:space="preserve">0,006</w:t>
            </w:r>
          </w:p>
        </w:tc>
      </w:tr>
      <w:tr>
        <w:tc>
          <w:tcPr/>
          <w:p>
            <w:pPr>
              <w:pStyle w:val="Compact"/>
              <w:jc w:val="left"/>
            </w:pPr>
            <w:r>
              <w:t xml:space="preserve">N(0; 0,01)</w:t>
            </w:r>
          </w:p>
        </w:tc>
        <w:tc>
          <w:tcPr/>
          <w:p>
            <w:pPr>
              <w:pStyle w:val="Compact"/>
              <w:jc w:val="left"/>
            </w:pPr>
            <w:r>
              <w:t xml:space="preserve">0,694</w:t>
            </w:r>
          </w:p>
        </w:tc>
        <w:tc>
          <w:tcPr/>
          <w:p>
            <w:pPr>
              <w:pStyle w:val="Compact"/>
              <w:jc w:val="left"/>
            </w:pPr>
            <w:r>
              <w:t xml:space="preserve">0,27970</w:t>
            </w:r>
          </w:p>
        </w:tc>
        <w:tc>
          <w:tcPr/>
          <w:p>
            <w:pPr>
              <w:pStyle w:val="Compact"/>
              <w:jc w:val="left"/>
            </w:pPr>
            <w:r>
              <w:t xml:space="preserve">921</w:t>
            </w:r>
          </w:p>
        </w:tc>
        <w:tc>
          <w:tcPr/>
          <w:p>
            <w:pPr>
              <w:pStyle w:val="Compact"/>
              <w:jc w:val="left"/>
            </w:pPr>
            <w:r>
              <w:t xml:space="preserve">0</w:t>
            </w:r>
          </w:p>
        </w:tc>
        <w:tc>
          <w:tcPr/>
          <w:p>
            <w:pPr>
              <w:pStyle w:val="Compact"/>
              <w:jc w:val="left"/>
            </w:pPr>
            <w:r>
              <w:t xml:space="preserve">0,815</w:t>
            </w:r>
          </w:p>
        </w:tc>
        <w:tc>
          <w:tcPr/>
          <w:p>
            <w:pPr>
              <w:pStyle w:val="Compact"/>
              <w:jc w:val="left"/>
            </w:pPr>
            <w:r>
              <w:t xml:space="preserve">0,800</w:t>
            </w:r>
          </w:p>
        </w:tc>
        <w:tc>
          <w:tcPr/>
          <w:p>
            <w:pPr>
              <w:pStyle w:val="Compact"/>
              <w:jc w:val="left"/>
            </w:pPr>
            <w:r>
              <w:t xml:space="preserve">0,006</w:t>
            </w:r>
          </w:p>
        </w:tc>
      </w:tr>
      <w:tr>
        <w:tc>
          <w:tcPr/>
          <w:p>
            <w:pPr>
              <w:pStyle w:val="Compact"/>
              <w:jc w:val="left"/>
            </w:pPr>
            <w:r>
              <w:t xml:space="preserve">N(0; 1)</w:t>
            </w:r>
          </w:p>
        </w:tc>
        <w:tc>
          <w:tcPr/>
          <w:p>
            <w:pPr>
              <w:pStyle w:val="Compact"/>
              <w:jc w:val="left"/>
            </w:pPr>
            <w:r>
              <w:t xml:space="preserve">1,88</w:t>
            </w:r>
          </w:p>
        </w:tc>
        <w:tc>
          <w:tcPr/>
          <w:p>
            <w:pPr>
              <w:pStyle w:val="Compact"/>
              <w:jc w:val="left"/>
            </w:pPr>
            <w:r>
              <w:t xml:space="preserve">0,27970</w:t>
            </w:r>
          </w:p>
        </w:tc>
        <w:tc>
          <w:tcPr/>
          <w:p>
            <w:pPr>
              <w:pStyle w:val="Compact"/>
              <w:jc w:val="left"/>
            </w:pPr>
            <w:r>
              <w:t xml:space="preserve">891</w:t>
            </w:r>
          </w:p>
        </w:tc>
        <w:tc>
          <w:tcPr/>
          <w:p>
            <w:pPr>
              <w:pStyle w:val="Compact"/>
              <w:jc w:val="left"/>
            </w:pPr>
            <w:r>
              <w:t xml:space="preserve">0</w:t>
            </w:r>
          </w:p>
        </w:tc>
        <w:tc>
          <w:tcPr/>
          <w:p>
            <w:pPr>
              <w:pStyle w:val="Compact"/>
              <w:jc w:val="left"/>
            </w:pPr>
            <w:r>
              <w:t xml:space="preserve">0,766</w:t>
            </w:r>
          </w:p>
        </w:tc>
        <w:tc>
          <w:tcPr/>
          <w:p>
            <w:pPr>
              <w:pStyle w:val="Compact"/>
              <w:jc w:val="left"/>
            </w:pPr>
            <w:r>
              <w:t xml:space="preserve">0,800</w:t>
            </w:r>
          </w:p>
        </w:tc>
        <w:tc>
          <w:tcPr/>
          <w:p>
            <w:pPr>
              <w:pStyle w:val="Compact"/>
              <w:jc w:val="left"/>
            </w:pPr>
            <w:r>
              <w:t xml:space="preserve">0,004</w:t>
            </w:r>
          </w:p>
        </w:tc>
      </w:tr>
      <w:tr>
        <w:tc>
          <w:tcPr/>
          <w:p>
            <w:pPr>
              <w:pStyle w:val="Compact"/>
              <w:jc w:val="left"/>
            </w:pPr>
            <w:r>
              <w:t xml:space="preserve">U(−1; 1)</w:t>
            </w:r>
          </w:p>
        </w:tc>
        <w:tc>
          <w:tcPr/>
          <w:p>
            <w:pPr>
              <w:pStyle w:val="Compact"/>
              <w:jc w:val="left"/>
            </w:pPr>
            <w:r>
              <w:t xml:space="preserve">1,15</w:t>
            </w:r>
          </w:p>
        </w:tc>
        <w:tc>
          <w:tcPr/>
          <w:p>
            <w:pPr>
              <w:pStyle w:val="Compact"/>
              <w:jc w:val="left"/>
            </w:pPr>
            <w:r>
              <w:t xml:space="preserve">0,27970</w:t>
            </w:r>
          </w:p>
        </w:tc>
        <w:tc>
          <w:tcPr/>
          <w:p>
            <w:pPr>
              <w:pStyle w:val="Compact"/>
              <w:jc w:val="left"/>
            </w:pPr>
            <w:r>
              <w:t xml:space="preserve">983</w:t>
            </w:r>
          </w:p>
        </w:tc>
        <w:tc>
          <w:tcPr/>
          <w:p>
            <w:pPr>
              <w:pStyle w:val="Compact"/>
              <w:jc w:val="left"/>
            </w:pPr>
            <w:r>
              <w:t xml:space="preserve">0</w:t>
            </w:r>
          </w:p>
        </w:tc>
        <w:tc>
          <w:tcPr/>
          <w:p>
            <w:pPr>
              <w:pStyle w:val="Compact"/>
              <w:jc w:val="left"/>
            </w:pPr>
            <w:r>
              <w:t xml:space="preserve">0,813</w:t>
            </w:r>
          </w:p>
        </w:tc>
        <w:tc>
          <w:tcPr/>
          <w:p>
            <w:pPr>
              <w:pStyle w:val="Compact"/>
              <w:jc w:val="left"/>
            </w:pPr>
            <w:r>
              <w:t xml:space="preserve">0,800</w:t>
            </w:r>
          </w:p>
        </w:tc>
        <w:tc>
          <w:tcPr/>
          <w:p>
            <w:pPr>
              <w:pStyle w:val="Compact"/>
              <w:jc w:val="left"/>
            </w:pPr>
            <w:r>
              <w:t xml:space="preserve">0,006</w:t>
            </w:r>
          </w:p>
        </w:tc>
      </w:tr>
      <w:tr>
        <w:tc>
          <w:tcPr/>
          <w:p>
            <w:pPr>
              <w:pStyle w:val="Compact"/>
              <w:jc w:val="left"/>
            </w:pPr>
            <w:r>
              <w:t xml:space="preserve">U(−10; 10)</w:t>
            </w:r>
          </w:p>
        </w:tc>
        <w:tc>
          <w:tcPr/>
          <w:p>
            <w:pPr>
              <w:pStyle w:val="Compact"/>
              <w:jc w:val="left"/>
            </w:pPr>
            <w:r>
              <w:t xml:space="preserve">7,80</w:t>
            </w:r>
          </w:p>
        </w:tc>
        <w:tc>
          <w:tcPr/>
          <w:p>
            <w:pPr>
              <w:pStyle w:val="Compact"/>
              <w:jc w:val="left"/>
            </w:pPr>
            <w:r>
              <w:t xml:space="preserve">0,2812</w:t>
            </w:r>
          </w:p>
        </w:tc>
        <w:tc>
          <w:tcPr/>
          <w:p>
            <w:pPr>
              <w:pStyle w:val="Compact"/>
              <w:jc w:val="left"/>
            </w:pPr>
            <w:r>
              <w:t xml:space="preserve">3904</w:t>
            </w:r>
          </w:p>
        </w:tc>
        <w:tc>
          <w:tcPr/>
          <w:p>
            <w:pPr>
              <w:pStyle w:val="Compact"/>
              <w:jc w:val="left"/>
            </w:pPr>
            <w:r>
              <w:t xml:space="preserve">2</w:t>
            </w:r>
          </w:p>
        </w:tc>
        <w:tc>
          <w:tcPr/>
          <w:p>
            <w:pPr>
              <w:pStyle w:val="Compact"/>
              <w:jc w:val="left"/>
            </w:pPr>
            <w:r>
              <w:t xml:space="preserve">0,627</w:t>
            </w:r>
          </w:p>
        </w:tc>
        <w:tc>
          <w:tcPr/>
          <w:p>
            <w:pPr>
              <w:pStyle w:val="Compact"/>
              <w:jc w:val="left"/>
            </w:pPr>
            <w:r>
              <w:t xml:space="preserve">0,804</w:t>
            </w:r>
          </w:p>
        </w:tc>
        <w:tc>
          <w:tcPr/>
          <w:p>
            <w:pPr>
              <w:pStyle w:val="Compact"/>
              <w:jc w:val="left"/>
            </w:pPr>
            <w:r>
              <w:t xml:space="preserve">0,34</w:t>
            </w:r>
          </w:p>
        </w:tc>
      </w:tr>
      <w:tr>
        <w:tc>
          <w:tcPr/>
          <w:p>
            <w:pPr>
              <w:pStyle w:val="Compact"/>
              <w:jc w:val="left"/>
            </w:pPr>
            <w:r>
              <w:t xml:space="preserve">N(0; 10)</w:t>
            </w:r>
          </w:p>
        </w:tc>
        <w:tc>
          <w:tcPr/>
          <w:p>
            <w:pPr>
              <w:pStyle w:val="Compact"/>
              <w:jc w:val="left"/>
            </w:pPr>
            <w:r>
              <w:t xml:space="preserve">10,60</w:t>
            </w:r>
          </w:p>
        </w:tc>
        <w:tc>
          <w:tcPr/>
          <w:p>
            <w:pPr>
              <w:pStyle w:val="Compact"/>
              <w:jc w:val="left"/>
            </w:pPr>
            <w:r>
              <w:t xml:space="preserve">0,3702 ± 0,064</w:t>
            </w:r>
          </w:p>
        </w:tc>
        <w:tc>
          <w:tcPr/>
          <w:p>
            <w:pPr>
              <w:pStyle w:val="Compact"/>
              <w:jc w:val="left"/>
            </w:pPr>
            <w:r>
              <w:t xml:space="preserve">–</w:t>
            </w:r>
          </w:p>
        </w:tc>
        <w:tc>
          <w:tcPr/>
          <w:p>
            <w:pPr>
              <w:pStyle w:val="Compact"/>
              <w:jc w:val="left"/>
            </w:pPr>
            <w:r>
              <w:rPr>
                <w:bCs/>
                <w:b/>
              </w:rPr>
              <w:t xml:space="preserve">10</w:t>
            </w:r>
          </w:p>
        </w:tc>
        <w:tc>
          <w:tcPr/>
          <w:p>
            <w:pPr>
              <w:pStyle w:val="Compact"/>
              <w:jc w:val="left"/>
            </w:pPr>
            <w:r>
              <w:t xml:space="preserve">0,542</w:t>
            </w:r>
          </w:p>
        </w:tc>
        <w:tc>
          <w:tcPr/>
          <w:p>
            <w:pPr>
              <w:pStyle w:val="Compact"/>
              <w:jc w:val="left"/>
            </w:pPr>
            <w:r>
              <w:t xml:space="preserve">0,830</w:t>
            </w:r>
          </w:p>
        </w:tc>
        <w:tc>
          <w:tcPr/>
          <w:p>
            <w:pPr>
              <w:pStyle w:val="Compact"/>
              <w:jc w:val="left"/>
            </w:pPr>
            <w:r>
              <w:t xml:space="preserve">4,62</w:t>
            </w:r>
          </w:p>
        </w:tc>
      </w:tr>
      <w:tr>
        <w:tc>
          <w:tcPr/>
          <w:p>
            <w:pPr>
              <w:pStyle w:val="Compact"/>
              <w:jc w:val="left"/>
            </w:pPr>
            <w:r>
              <w:t xml:space="preserve">stała 5</w:t>
            </w:r>
          </w:p>
        </w:tc>
        <w:tc>
          <w:tcPr/>
          <w:p>
            <w:pPr>
              <w:pStyle w:val="Compact"/>
              <w:jc w:val="left"/>
            </w:pPr>
            <w:r>
              <w:t xml:space="preserve">2,93</w:t>
            </w:r>
          </w:p>
        </w:tc>
        <w:tc>
          <w:tcPr/>
          <w:p>
            <w:pPr>
              <w:pStyle w:val="Compact"/>
              <w:jc w:val="left"/>
            </w:pPr>
            <w:r>
              <w:t xml:space="preserve">0,2840</w:t>
            </w:r>
          </w:p>
        </w:tc>
        <w:tc>
          <w:tcPr/>
          <w:p>
            <w:pPr>
              <w:pStyle w:val="Compact"/>
              <w:jc w:val="left"/>
            </w:pPr>
            <w:r>
              <w:t xml:space="preserve">–</w:t>
            </w:r>
          </w:p>
        </w:tc>
        <w:tc>
          <w:tcPr/>
          <w:p>
            <w:pPr>
              <w:pStyle w:val="Compact"/>
              <w:jc w:val="left"/>
            </w:pPr>
            <w:r>
              <w:t xml:space="preserve">1/1</w:t>
            </w:r>
          </w:p>
        </w:tc>
        <w:tc>
          <w:tcPr/>
          <w:p>
            <w:pPr>
              <w:pStyle w:val="Compact"/>
              <w:jc w:val="left"/>
            </w:pPr>
            <w:r>
              <w:t xml:space="preserve">0,714</w:t>
            </w:r>
          </w:p>
        </w:tc>
        <w:tc>
          <w:tcPr/>
          <w:p>
            <w:pPr>
              <w:pStyle w:val="Compact"/>
              <w:jc w:val="left"/>
            </w:pPr>
            <w:r>
              <w:t xml:space="preserve">0,822</w:t>
            </w:r>
          </w:p>
        </w:tc>
        <w:tc>
          <w:tcPr/>
          <w:p>
            <w:pPr>
              <w:pStyle w:val="Compact"/>
              <w:jc w:val="left"/>
            </w:pPr>
            <w:r>
              <w:t xml:space="preserve">0,95</w:t>
            </w:r>
          </w:p>
        </w:tc>
      </w:tr>
    </w:tbl>
    <w:p>
      <w:pPr>
        <w:pStyle w:val="BodyText"/>
      </w:pPr>
      <w:r>
        <w:t xml:space="preserve">Obserwacje:</w:t>
      </w:r>
    </w:p>
    <w:p>
      <w:pPr>
        <w:numPr>
          <w:ilvl w:val="0"/>
          <w:numId w:val="1003"/>
        </w:numPr>
        <w:pStyle w:val="Compact"/>
      </w:pPr>
      <w:r>
        <w:t xml:space="preserve">Małe inicjalizacje (zera, N(0; 0,01), N(0;1), U(−1;1)) – wszystkie dochodzą do tego samego minimum (różnice w koszcie ~10⁻⁷, w wagach ~10⁻³), w podobnej liczbie epok.</w:t>
      </w:r>
    </w:p>
    <w:p>
      <w:pPr>
        <w:numPr>
          <w:ilvl w:val="0"/>
          <w:numId w:val="1003"/>
        </w:numPr>
        <w:pStyle w:val="Compact"/>
      </w:pPr>
      <w:r>
        <w:t xml:space="preserve">Duże inicjalizacje (σ = 10, U(−10;10), stała 5) zaczynają z ogromnym kosztem (do ~10) i nasyconą sigmoidą. Przy nasyceniu (p ≈ 0 lub 1) dla źle sklasyfikowanych próbek gradient jest ograniczony, a dla dobrze sklasyfikowanych ≈ 0, więc postęp jest bardzo wolny: N(0;10) w żadnym z 10 przebiegów nie osiągnął minimum w 5000 epokach.</w:t>
      </w:r>
    </w:p>
    <w:p>
      <w:pPr>
        <w:numPr>
          <w:ilvl w:val="0"/>
          <w:numId w:val="1003"/>
        </w:numPr>
        <w:pStyle w:val="Compact"/>
      </w:pPr>
      <w:r>
        <w:t xml:space="preserve">Odległość ‖w − w*‖ maleje jednak cały czas – przy dłuższym treningu wszystkie inicjalizacje zbiegają do tego samego punktu (wypukłość: brak lokalnych minimów). Zła inicjalizacja</w:t>
      </w:r>
      <w:r>
        <w:t xml:space="preserve"> </w:t>
      </w:r>
      <w:r>
        <w:rPr>
          <w:bCs/>
          <w:b/>
        </w:rPr>
        <w:t xml:space="preserve">wydłuża</w:t>
      </w:r>
      <w:r>
        <w:t xml:space="preserve"> </w:t>
      </w:r>
      <w:r>
        <w:t xml:space="preserve">uczenie, nie zmienia celu.</w:t>
      </w:r>
    </w:p>
    <w:p>
      <w:pPr>
        <w:pStyle w:val="CaptionedFigure"/>
      </w:pPr>
      <w:r>
        <w:drawing>
          <wp:inline>
            <wp:extent cx="5334000" cy="1866900"/>
            <wp:effectExtent b="0" l="0" r="0" t="0"/>
            <wp:docPr descr="Wpływ inicjalizacji: średnia i zakres (min–max) z 10 ziaren" title="" id="36" name="Picture"/>
            <a:graphic>
              <a:graphicData uri="http://schemas.openxmlformats.org/drawingml/2006/picture">
                <pic:pic>
                  <pic:nvPicPr>
                    <pic:cNvPr descr="figures/5_initialization.png" id="37" name="Picture"/>
                    <pic:cNvPicPr>
                      <a:picLocks noChangeArrowheads="1" noChangeAspect="1"/>
                    </pic:cNvPicPr>
                  </pic:nvPicPr>
                  <pic:blipFill>
                    <a:blip r:embed="rId35"/>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Wpływ inicjalizacji: średnia i zakres (min–max) z 10 ziaren</w:t>
      </w:r>
    </w:p>
    <w:bookmarkEnd w:id="38"/>
    <w:bookmarkStart w:id="42" w:name="liczba-epok-i-warunek-stopu-α-01"/>
    <w:p>
      <w:pPr>
        <w:pStyle w:val="Heading1"/>
      </w:pPr>
      <w:r>
        <w:t xml:space="preserve">5. Liczba epok i warunek stopu (α = 0,1)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warunek stopu</w:t>
            </w:r>
          </w:p>
        </w:tc>
        <w:tc>
          <w:tcPr/>
          <w:p>
            <w:pPr>
              <w:pStyle w:val="Compact"/>
              <w:jc w:val="left"/>
            </w:pPr>
            <w:r>
              <w:t xml:space="preserve">epoki</w:t>
            </w:r>
          </w:p>
        </w:tc>
        <w:tc>
          <w:tcPr/>
          <w:p>
            <w:pPr>
              <w:pStyle w:val="Compact"/>
              <w:jc w:val="left"/>
            </w:pPr>
            <w:r>
              <w:t xml:space="preserve">koszt train</w:t>
            </w:r>
          </w:p>
        </w:tc>
        <w:tc>
          <w:tcPr/>
          <w:p>
            <w:pPr>
              <w:pStyle w:val="Compact"/>
              <w:jc w:val="left"/>
            </w:pPr>
            <w:r>
              <w:t xml:space="preserve">koszt val</w:t>
            </w:r>
          </w:p>
        </w:tc>
        <w:tc>
          <w:tcPr/>
          <w:p>
            <w:pPr>
              <w:pStyle w:val="Compact"/>
              <w:jc w:val="left"/>
            </w:pPr>
            <w:r>
              <w:t xml:space="preserve">F1 val</w:t>
            </w:r>
          </w:p>
        </w:tc>
        <w:tc>
          <w:tcPr/>
          <w:p>
            <w:pPr>
              <w:pStyle w:val="Compact"/>
              <w:jc w:val="left"/>
            </w:pPr>
            <w:r>
              <w:t xml:space="preserve">P test</w:t>
            </w:r>
          </w:p>
        </w:tc>
        <w:tc>
          <w:tcPr/>
          <w:p>
            <w:pPr>
              <w:pStyle w:val="Compact"/>
              <w:jc w:val="left"/>
            </w:pPr>
            <w:r>
              <w:t xml:space="preserve">R test</w:t>
            </w:r>
          </w:p>
        </w:tc>
        <w:tc>
          <w:tcPr/>
          <w:p>
            <w:pPr>
              <w:pStyle w:val="Compact"/>
              <w:jc w:val="left"/>
            </w:pPr>
            <w:r>
              <w:t xml:space="preserve">F1 test</w:t>
            </w:r>
          </w:p>
        </w:tc>
      </w:tr>
      <w:tr>
        <w:tc>
          <w:tcPr/>
          <w:p>
            <w:pPr>
              <w:pStyle w:val="Compact"/>
              <w:jc w:val="left"/>
            </w:pPr>
            <w:r>
              <w:t xml:space="preserve">stałe 10 epok</w:t>
            </w:r>
          </w:p>
        </w:tc>
        <w:tc>
          <w:tcPr/>
          <w:p>
            <w:pPr>
              <w:pStyle w:val="Compact"/>
              <w:jc w:val="left"/>
            </w:pPr>
            <w:r>
              <w:t xml:space="preserve">10</w:t>
            </w:r>
          </w:p>
        </w:tc>
        <w:tc>
          <w:tcPr/>
          <w:p>
            <w:pPr>
              <w:pStyle w:val="Compact"/>
              <w:jc w:val="left"/>
            </w:pPr>
            <w:r>
              <w:t xml:space="preserve">0,454</w:t>
            </w:r>
          </w:p>
        </w:tc>
        <w:tc>
          <w:tcPr/>
          <w:p>
            <w:pPr>
              <w:pStyle w:val="Compact"/>
              <w:jc w:val="left"/>
            </w:pPr>
            <w:r>
              <w:t xml:space="preserve">0,497</w:t>
            </w:r>
          </w:p>
        </w:tc>
        <w:tc>
          <w:tcPr/>
          <w:p>
            <w:pPr>
              <w:pStyle w:val="Compact"/>
              <w:jc w:val="left"/>
            </w:pPr>
            <w:r>
              <w:t xml:space="preserve">0,836</w:t>
            </w:r>
          </w:p>
        </w:tc>
        <w:tc>
          <w:tcPr/>
          <w:p>
            <w:pPr>
              <w:pStyle w:val="Compact"/>
              <w:jc w:val="left"/>
            </w:pPr>
            <w:r>
              <w:t xml:space="preserve">0,767</w:t>
            </w:r>
          </w:p>
        </w:tc>
        <w:tc>
          <w:tcPr/>
          <w:p>
            <w:pPr>
              <w:pStyle w:val="Compact"/>
              <w:jc w:val="left"/>
            </w:pPr>
            <w:r>
              <w:t xml:space="preserve">0,852</w:t>
            </w:r>
          </w:p>
        </w:tc>
        <w:tc>
          <w:tcPr/>
          <w:p>
            <w:pPr>
              <w:pStyle w:val="Compact"/>
              <w:jc w:val="left"/>
            </w:pPr>
            <w:r>
              <w:t xml:space="preserve">0,807</w:t>
            </w:r>
          </w:p>
        </w:tc>
      </w:tr>
      <w:tr>
        <w:tc>
          <w:tcPr/>
          <w:p>
            <w:pPr>
              <w:pStyle w:val="Compact"/>
              <w:jc w:val="left"/>
            </w:pPr>
            <w:r>
              <w:t xml:space="preserve">stałe 100 epok</w:t>
            </w:r>
          </w:p>
        </w:tc>
        <w:tc>
          <w:tcPr/>
          <w:p>
            <w:pPr>
              <w:pStyle w:val="Compact"/>
              <w:jc w:val="left"/>
            </w:pPr>
            <w:r>
              <w:t xml:space="preserve">100</w:t>
            </w:r>
          </w:p>
        </w:tc>
        <w:tc>
          <w:tcPr/>
          <w:p>
            <w:pPr>
              <w:pStyle w:val="Compact"/>
              <w:jc w:val="left"/>
            </w:pPr>
            <w:r>
              <w:t xml:space="preserve">0,307</w:t>
            </w:r>
          </w:p>
        </w:tc>
        <w:tc>
          <w:tcPr/>
          <w:p>
            <w:pPr>
              <w:pStyle w:val="Compact"/>
              <w:jc w:val="left"/>
            </w:pPr>
            <w:r>
              <w:t xml:space="preserve">0,387</w:t>
            </w:r>
          </w:p>
        </w:tc>
        <w:tc>
          <w:tcPr/>
          <w:p>
            <w:pPr>
              <w:pStyle w:val="Compact"/>
              <w:jc w:val="left"/>
            </w:pPr>
            <w:r>
              <w:t xml:space="preserve">0,815</w:t>
            </w:r>
          </w:p>
        </w:tc>
        <w:tc>
          <w:tcPr/>
          <w:p>
            <w:pPr>
              <w:pStyle w:val="Compact"/>
              <w:jc w:val="left"/>
            </w:pPr>
            <w:r>
              <w:t xml:space="preserve">0,778</w:t>
            </w:r>
          </w:p>
        </w:tc>
        <w:tc>
          <w:tcPr/>
          <w:p>
            <w:pPr>
              <w:pStyle w:val="Compact"/>
              <w:jc w:val="left"/>
            </w:pPr>
            <w:r>
              <w:t xml:space="preserve">0,778</w:t>
            </w:r>
          </w:p>
        </w:tc>
        <w:tc>
          <w:tcPr/>
          <w:p>
            <w:pPr>
              <w:pStyle w:val="Compact"/>
              <w:jc w:val="left"/>
            </w:pPr>
            <w:r>
              <w:t xml:space="preserve">0,778</w:t>
            </w:r>
          </w:p>
        </w:tc>
      </w:tr>
      <w:tr>
        <w:tc>
          <w:tcPr/>
          <w:p>
            <w:pPr>
              <w:pStyle w:val="Compact"/>
              <w:jc w:val="left"/>
            </w:pPr>
            <w:r>
              <w:t xml:space="preserve">stałe 1000 epok</w:t>
            </w:r>
          </w:p>
        </w:tc>
        <w:tc>
          <w:tcPr/>
          <w:p>
            <w:pPr>
              <w:pStyle w:val="Compact"/>
              <w:jc w:val="left"/>
            </w:pPr>
            <w:r>
              <w:t xml:space="preserve">1000</w:t>
            </w:r>
          </w:p>
        </w:tc>
        <w:tc>
          <w:tcPr/>
          <w:p>
            <w:pPr>
              <w:pStyle w:val="Compact"/>
              <w:jc w:val="left"/>
            </w:pPr>
            <w:r>
              <w:t xml:space="preserve">0,2805</w:t>
            </w:r>
          </w:p>
        </w:tc>
        <w:tc>
          <w:tcPr/>
          <w:p>
            <w:pPr>
              <w:pStyle w:val="Compact"/>
              <w:jc w:val="left"/>
            </w:pPr>
            <w:r>
              <w:t xml:space="preserve">0,421</w:t>
            </w:r>
          </w:p>
        </w:tc>
        <w:tc>
          <w:tcPr/>
          <w:p>
            <w:pPr>
              <w:pStyle w:val="Compact"/>
              <w:jc w:val="left"/>
            </w:pPr>
            <w:r>
              <w:t xml:space="preserve">0,800</w:t>
            </w:r>
          </w:p>
        </w:tc>
        <w:tc>
          <w:tcPr/>
          <w:p>
            <w:pPr>
              <w:pStyle w:val="Compact"/>
              <w:jc w:val="left"/>
            </w:pPr>
            <w:r>
              <w:t xml:space="preserve">0,786</w:t>
            </w:r>
          </w:p>
        </w:tc>
        <w:tc>
          <w:tcPr/>
          <w:p>
            <w:pPr>
              <w:pStyle w:val="Compact"/>
              <w:jc w:val="left"/>
            </w:pPr>
            <w:r>
              <w:t xml:space="preserve">0,815</w:t>
            </w:r>
          </w:p>
        </w:tc>
        <w:tc>
          <w:tcPr/>
          <w:p>
            <w:pPr>
              <w:pStyle w:val="Compact"/>
              <w:jc w:val="left"/>
            </w:pPr>
            <w:r>
              <w:t xml:space="preserve">0,800</w:t>
            </w:r>
          </w:p>
        </w:tc>
      </w:tr>
      <w:tr>
        <w:tc>
          <w:tcPr/>
          <w:p>
            <w:pPr>
              <w:pStyle w:val="Compact"/>
              <w:jc w:val="left"/>
            </w:pPr>
            <w:r>
              <w:t xml:space="preserve">stałe 20000 epok</w:t>
            </w:r>
          </w:p>
        </w:tc>
        <w:tc>
          <w:tcPr/>
          <w:p>
            <w:pPr>
              <w:pStyle w:val="Compact"/>
              <w:jc w:val="left"/>
            </w:pPr>
            <w:r>
              <w:t xml:space="preserve">20000</w:t>
            </w:r>
          </w:p>
        </w:tc>
        <w:tc>
          <w:tcPr/>
          <w:p>
            <w:pPr>
              <w:pStyle w:val="Compact"/>
              <w:jc w:val="left"/>
            </w:pPr>
            <w:r>
              <w:t xml:space="preserve">0,2797</w:t>
            </w:r>
          </w:p>
        </w:tc>
        <w:tc>
          <w:tcPr/>
          <w:p>
            <w:pPr>
              <w:pStyle w:val="Compact"/>
              <w:jc w:val="left"/>
            </w:pPr>
            <w:r>
              <w:t xml:space="preserve">0,433</w:t>
            </w:r>
          </w:p>
        </w:tc>
        <w:tc>
          <w:tcPr/>
          <w:p>
            <w:pPr>
              <w:pStyle w:val="Compact"/>
              <w:jc w:val="left"/>
            </w:pPr>
            <w:r>
              <w:t xml:space="preserve">0,800</w:t>
            </w:r>
          </w:p>
        </w:tc>
        <w:tc>
          <w:tcPr/>
          <w:p>
            <w:pPr>
              <w:pStyle w:val="Compact"/>
              <w:jc w:val="left"/>
            </w:pPr>
            <w:r>
              <w:t xml:space="preserve">0,786</w:t>
            </w:r>
          </w:p>
        </w:tc>
        <w:tc>
          <w:tcPr/>
          <w:p>
            <w:pPr>
              <w:pStyle w:val="Compact"/>
              <w:jc w:val="left"/>
            </w:pPr>
            <w:r>
              <w:t xml:space="preserve">0,815</w:t>
            </w:r>
          </w:p>
        </w:tc>
        <w:tc>
          <w:tcPr/>
          <w:p>
            <w:pPr>
              <w:pStyle w:val="Compact"/>
              <w:jc w:val="left"/>
            </w:pPr>
            <w:r>
              <w:t xml:space="preserve">0,800</w:t>
            </w:r>
          </w:p>
        </w:tc>
      </w:tr>
      <w:tr>
        <w:tc>
          <w:tcPr/>
          <w:p>
            <w:pPr>
              <w:pStyle w:val="Compact"/>
            </w:pPr>
          </w:p>
        </w:tc>
        <w:tc>
          <w:tcPr/>
          <w:p>
            <w:pPr>
              <w:pStyle w:val="Compact"/>
              <w:jc w:val="left"/>
            </w:pPr>
            <w:r>
              <w:t xml:space="preserve">ΔL</w:t>
            </w:r>
          </w:p>
        </w:tc>
        <w:tc>
          <w:tcPr/>
          <w:p>
            <w:pPr>
              <w:pStyle w:val="Compact"/>
              <w:jc w:val="left"/>
            </w:pPr>
            <w:r>
              <w:t xml:space="preserve">&lt; 10⁻⁴</w:t>
            </w:r>
          </w:p>
        </w:tc>
        <w:tc>
          <w:tcPr/>
          <w:p>
            <w:pPr>
              <w:pStyle w:val="Compact"/>
              <w:jc w:val="left"/>
            </w:pPr>
            <w:r>
              <w:t xml:space="preserve">175</w:t>
            </w:r>
          </w:p>
        </w:tc>
        <w:tc>
          <w:tcPr/>
          <w:p>
            <w:pPr>
              <w:pStyle w:val="Compact"/>
              <w:jc w:val="left"/>
            </w:pPr>
            <w:r>
              <w:t xml:space="preserve">0,294</w:t>
            </w:r>
          </w:p>
        </w:tc>
        <w:tc>
          <w:tcPr/>
          <w:p>
            <w:pPr>
              <w:pStyle w:val="Compact"/>
              <w:jc w:val="left"/>
            </w:pPr>
            <w:r>
              <w:t xml:space="preserve">0,390</w:t>
            </w:r>
          </w:p>
        </w:tc>
        <w:tc>
          <w:tcPr/>
          <w:p>
            <w:pPr>
              <w:pStyle w:val="Compact"/>
              <w:jc w:val="left"/>
            </w:pPr>
            <w:r>
              <w:t xml:space="preserve">0,815</w:t>
            </w:r>
          </w:p>
        </w:tc>
        <w:tc>
          <w:tcPr/>
          <w:p>
            <w:pPr>
              <w:pStyle w:val="Compact"/>
              <w:jc w:val="left"/>
            </w:pPr>
            <w:r>
              <w:t xml:space="preserve">0,786</w:t>
            </w:r>
          </w:p>
        </w:tc>
      </w:tr>
      <w:tr>
        <w:tc>
          <w:tcPr/>
          <w:p>
            <w:pPr>
              <w:pStyle w:val="Compact"/>
            </w:pPr>
          </w:p>
        </w:tc>
        <w:tc>
          <w:tcPr/>
          <w:p>
            <w:pPr>
              <w:pStyle w:val="Compact"/>
              <w:jc w:val="left"/>
            </w:pPr>
            <w:r>
              <w:t xml:space="preserve">ΔL</w:t>
            </w:r>
          </w:p>
        </w:tc>
        <w:tc>
          <w:tcPr/>
          <w:p>
            <w:pPr>
              <w:pStyle w:val="Compact"/>
              <w:jc w:val="left"/>
            </w:pPr>
            <w:r>
              <w:t xml:space="preserve">&lt; 10⁻⁶</w:t>
            </w:r>
          </w:p>
        </w:tc>
        <w:tc>
          <w:tcPr/>
          <w:p>
            <w:pPr>
              <w:pStyle w:val="Compact"/>
              <w:jc w:val="left"/>
            </w:pPr>
            <w:r>
              <w:t xml:space="preserve">1271</w:t>
            </w:r>
          </w:p>
        </w:tc>
        <w:tc>
          <w:tcPr/>
          <w:p>
            <w:pPr>
              <w:pStyle w:val="Compact"/>
              <w:jc w:val="left"/>
            </w:pPr>
            <w:r>
              <w:t xml:space="preserve">0,2801</w:t>
            </w:r>
          </w:p>
        </w:tc>
        <w:tc>
          <w:tcPr/>
          <w:p>
            <w:pPr>
              <w:pStyle w:val="Compact"/>
              <w:jc w:val="left"/>
            </w:pPr>
            <w:r>
              <w:t xml:space="preserve">0,424</w:t>
            </w:r>
          </w:p>
        </w:tc>
        <w:tc>
          <w:tcPr/>
          <w:p>
            <w:pPr>
              <w:pStyle w:val="Compact"/>
              <w:jc w:val="left"/>
            </w:pPr>
            <w:r>
              <w:t xml:space="preserve">0,800</w:t>
            </w:r>
          </w:p>
        </w:tc>
        <w:tc>
          <w:tcPr/>
          <w:p>
            <w:pPr>
              <w:pStyle w:val="Compact"/>
              <w:jc w:val="left"/>
            </w:pPr>
            <w:r>
              <w:t xml:space="preserve">0,786</w:t>
            </w:r>
          </w:p>
        </w:tc>
      </w:tr>
      <w:tr>
        <w:tc>
          <w:tcPr/>
          <w:p>
            <w:pPr>
              <w:pStyle w:val="Compact"/>
              <w:jc w:val="left"/>
            </w:pPr>
            <w:r>
              <w:t xml:space="preserve">early stopping (patience 50)</w:t>
            </w:r>
          </w:p>
        </w:tc>
        <w:tc>
          <w:tcPr/>
          <w:p>
            <w:pPr>
              <w:pStyle w:val="Compact"/>
              <w:jc w:val="left"/>
            </w:pPr>
            <w:r>
              <w:t xml:space="preserve">161 (najlepsza: 111)</w:t>
            </w:r>
          </w:p>
        </w:tc>
        <w:tc>
          <w:tcPr/>
          <w:p>
            <w:pPr>
              <w:pStyle w:val="Compact"/>
              <w:jc w:val="left"/>
            </w:pPr>
            <w:r>
              <w:t xml:space="preserve">0,304</w:t>
            </w:r>
          </w:p>
        </w:tc>
        <w:tc>
          <w:tcPr/>
          <w:p>
            <w:pPr>
              <w:pStyle w:val="Compact"/>
              <w:jc w:val="left"/>
            </w:pPr>
            <w:r>
              <w:t xml:space="preserve">0,386</w:t>
            </w:r>
          </w:p>
        </w:tc>
        <w:tc>
          <w:tcPr/>
          <w:p>
            <w:pPr>
              <w:pStyle w:val="Compact"/>
              <w:jc w:val="left"/>
            </w:pPr>
            <w:r>
              <w:t xml:space="preserve">0,815</w:t>
            </w:r>
          </w:p>
        </w:tc>
        <w:tc>
          <w:tcPr/>
          <w:p>
            <w:pPr>
              <w:pStyle w:val="Compact"/>
              <w:jc w:val="left"/>
            </w:pPr>
            <w:r>
              <w:t xml:space="preserve">0,778</w:t>
            </w:r>
          </w:p>
        </w:tc>
        <w:tc>
          <w:tcPr/>
          <w:p>
            <w:pPr>
              <w:pStyle w:val="Compact"/>
              <w:jc w:val="left"/>
            </w:pPr>
            <w:r>
              <w:t xml:space="preserve">0,778</w:t>
            </w:r>
          </w:p>
        </w:tc>
        <w:tc>
          <w:tcPr/>
          <w:p>
            <w:pPr>
              <w:pStyle w:val="Compact"/>
              <w:jc w:val="left"/>
            </w:pPr>
            <w:r>
              <w:t xml:space="preserve">0,778</w:t>
            </w:r>
          </w:p>
        </w:tc>
      </w:tr>
    </w:tbl>
    <w:p>
      <w:pPr>
        <w:pStyle w:val="BodyText"/>
      </w:pPr>
      <w:r>
        <w:t xml:space="preserve">Obserwacje:</w:t>
      </w:r>
    </w:p>
    <w:p>
      <w:pPr>
        <w:numPr>
          <w:ilvl w:val="0"/>
          <w:numId w:val="1004"/>
        </w:numPr>
        <w:pStyle w:val="Compact"/>
      </w:pPr>
      <w:r>
        <w:t xml:space="preserve">Koszt treningowy maleje monotonicznie do L*, a ‖∇L‖ spada od ~0,7 do ~10⁻¹¹ – zbieżność jest stabilna.</w:t>
      </w:r>
    </w:p>
    <w:p>
      <w:pPr>
        <w:numPr>
          <w:ilvl w:val="0"/>
          <w:numId w:val="1004"/>
        </w:numPr>
        <w:pStyle w:val="Compact"/>
      </w:pPr>
      <w:r>
        <w:rPr>
          <w:bCs/>
          <w:b/>
        </w:rPr>
        <w:t xml:space="preserve">Koszt walidacyjny ma minimum ok. epoki 111 (0,386) i potem rośnie do 0,433</w:t>
      </w:r>
      <w:r>
        <w:t xml:space="preserve"> </w:t>
      </w:r>
      <w:r>
        <w:t xml:space="preserve">– mimo wypukłości model zaczyna nadmiernie dopasowywać się do 181 próbek treningowych (rosną wagi, predykcje stają się zbyt pewne). F1 prawie się przy tym nie zmienia (metryki zależą tylko od strony progu 0,5, a koszt także od pewności predykcji).</w:t>
      </w:r>
    </w:p>
    <w:p>
      <w:pPr>
        <w:numPr>
          <w:ilvl w:val="0"/>
          <w:numId w:val="1004"/>
        </w:numPr>
        <w:pStyle w:val="Compact"/>
      </w:pPr>
      <w:r>
        <w:t xml:space="preserve">Kryterium |ΔL| &lt; 10⁻⁴ zatrzymuje po 175 epokach przy niemal tych samych metrykach co pełny trening – kolejne tysiące epok niczego nie poprawiają w metrykach.</w:t>
      </w:r>
    </w:p>
    <w:p>
      <w:pPr>
        <w:numPr>
          <w:ilvl w:val="0"/>
          <w:numId w:val="1004"/>
        </w:numPr>
        <w:pStyle w:val="Compact"/>
      </w:pPr>
      <w:r>
        <w:t xml:space="preserve">Na 60-próbkowym zbiorze testowym zmiana F1 o 0,02 to zmiana klasyfikacji jednej próbki – różnice między warunkami stopu mieszczą się w szumie.</w:t>
      </w:r>
    </w:p>
    <w:p>
      <w:pPr>
        <w:pStyle w:val="CaptionedFigure"/>
      </w:pPr>
      <w:r>
        <w:drawing>
          <wp:inline>
            <wp:extent cx="5334000" cy="1866900"/>
            <wp:effectExtent b="0" l="0" r="0" t="0"/>
            <wp:docPr descr="Warunki stopu na krzywej uczenia i norma gradientu" title="" id="40" name="Picture"/>
            <a:graphic>
              <a:graphicData uri="http://schemas.openxmlformats.org/drawingml/2006/picture">
                <pic:pic>
                  <pic:nvPicPr>
                    <pic:cNvPr descr="figures/6_stopping.png" id="41" name="Picture"/>
                    <pic:cNvPicPr>
                      <a:picLocks noChangeArrowheads="1" noChangeAspect="1"/>
                    </pic:cNvPicPr>
                  </pic:nvPicPr>
                  <pic:blipFill>
                    <a:blip r:embed="rId39"/>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Warunki stopu na krzywej uczenia i norma gradientu</w:t>
      </w:r>
    </w:p>
    <w:bookmarkEnd w:id="42"/>
    <w:bookmarkStart w:id="51" w:name="dodatkowo-zła-parametryzacja-danych"/>
    <w:p>
      <w:pPr>
        <w:pStyle w:val="Heading1"/>
      </w:pPr>
      <w:r>
        <w:t xml:space="preserve">6. Dodatkowo: zła parametryzacja danych</w:t>
      </w:r>
    </w:p>
    <w:bookmarkStart w:id="46" w:name="brak-standaryzacji-cech"/>
    <w:p>
      <w:pPr>
        <w:pStyle w:val="Heading2"/>
      </w:pPr>
      <w:r>
        <w:t xml:space="preserve">6.1 Brak standaryzacji cech</w:t>
      </w:r>
    </w:p>
    <w:p>
      <w:pPr>
        <w:pStyle w:val="FirstParagraph"/>
      </w:pPr>
      <w:r>
        <w:t xml:space="preserve">Ten sam model na surowych cechach (chol ~250, oldpeak ~1). Minimum kosztu jest to samo (standaryzacja to przekształcenie afiniczne), zmienia się tylko kształt funkcji kosztu:</w:t>
      </w:r>
      <w:r>
        <w:t xml:space="preserve"> </w:t>
      </w:r>
      <w:r>
        <w:t xml:space="preserve">wskaźnik uwarunkowania XᵀX rośnie z</w:t>
      </w:r>
      <w:r>
        <w:t xml:space="preserve"> </w:t>
      </w:r>
      <w:r>
        <w:rPr>
          <w:bCs/>
          <w:b/>
        </w:rPr>
        <w:t xml:space="preserve">38</w:t>
      </w:r>
      <w:r>
        <w:t xml:space="preserve"> </w:t>
      </w:r>
      <w:r>
        <w:t xml:space="preserve">do</w:t>
      </w:r>
      <w:r>
        <w:t xml:space="preserve"> </w:t>
      </w:r>
      <w:r>
        <w:rPr>
          <w:bCs/>
          <w:b/>
        </w:rPr>
        <w:t xml:space="preserve">4,8·10⁶</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α (surowe dane, 20000 epok)</w:t>
            </w:r>
          </w:p>
        </w:tc>
        <w:tc>
          <w:tcPr/>
          <w:p>
            <w:pPr>
              <w:pStyle w:val="Compact"/>
              <w:jc w:val="left"/>
            </w:pPr>
            <w:r>
              <w:t xml:space="preserve">koszt końcowy</w:t>
            </w:r>
          </w:p>
        </w:tc>
        <w:tc>
          <w:tcPr/>
          <w:p>
            <w:pPr>
              <w:pStyle w:val="Compact"/>
              <w:jc w:val="left"/>
            </w:pPr>
            <w:r>
              <w:t xml:space="preserve">F1 test</w:t>
            </w:r>
          </w:p>
        </w:tc>
      </w:tr>
      <w:tr>
        <w:tc>
          <w:tcPr/>
          <w:p>
            <w:pPr>
              <w:pStyle w:val="Compact"/>
              <w:jc w:val="left"/>
            </w:pPr>
            <w:r>
              <w:t xml:space="preserve">10⁻⁵</w:t>
            </w:r>
          </w:p>
        </w:tc>
        <w:tc>
          <w:tcPr/>
          <w:p>
            <w:pPr>
              <w:pStyle w:val="Compact"/>
              <w:jc w:val="left"/>
            </w:pPr>
            <w:r>
              <w:t xml:space="preserve">0,547</w:t>
            </w:r>
          </w:p>
        </w:tc>
        <w:tc>
          <w:tcPr/>
          <w:p>
            <w:pPr>
              <w:pStyle w:val="Compact"/>
              <w:jc w:val="left"/>
            </w:pPr>
            <w:r>
              <w:t xml:space="preserve">0,678</w:t>
            </w:r>
          </w:p>
        </w:tc>
      </w:tr>
      <w:tr>
        <w:tc>
          <w:tcPr/>
          <w:p>
            <w:pPr>
              <w:pStyle w:val="Compact"/>
              <w:jc w:val="left"/>
            </w:pPr>
            <w:r>
              <w:t xml:space="preserve">10⁻⁴</w:t>
            </w:r>
          </w:p>
        </w:tc>
        <w:tc>
          <w:tcPr/>
          <w:p>
            <w:pPr>
              <w:pStyle w:val="Compact"/>
              <w:jc w:val="left"/>
            </w:pPr>
            <w:r>
              <w:t xml:space="preserve">0,463</w:t>
            </w:r>
          </w:p>
        </w:tc>
        <w:tc>
          <w:tcPr/>
          <w:p>
            <w:pPr>
              <w:pStyle w:val="Compact"/>
              <w:jc w:val="left"/>
            </w:pPr>
            <w:r>
              <w:t xml:space="preserve">0,714</w:t>
            </w:r>
          </w:p>
        </w:tc>
      </w:tr>
      <w:tr>
        <w:tc>
          <w:tcPr/>
          <w:p>
            <w:pPr>
              <w:pStyle w:val="Compact"/>
              <w:jc w:val="left"/>
            </w:pPr>
            <w:r>
              <w:t xml:space="preserve">10⁻³</w:t>
            </w:r>
          </w:p>
        </w:tc>
        <w:tc>
          <w:tcPr/>
          <w:p>
            <w:pPr>
              <w:pStyle w:val="Compact"/>
              <w:jc w:val="left"/>
            </w:pPr>
            <w:r>
              <w:t xml:space="preserve">3,99 (oscylacje)</w:t>
            </w:r>
          </w:p>
        </w:tc>
        <w:tc>
          <w:tcPr/>
          <w:p>
            <w:pPr>
              <w:pStyle w:val="Compact"/>
              <w:jc w:val="left"/>
            </w:pPr>
            <w:r>
              <w:t xml:space="preserve">0,486</w:t>
            </w:r>
          </w:p>
        </w:tc>
      </w:tr>
      <w:tr>
        <w:tc>
          <w:tcPr/>
          <w:p>
            <w:pPr>
              <w:pStyle w:val="Compact"/>
              <w:jc w:val="left"/>
            </w:pPr>
            <w:r>
              <w:t xml:space="preserve">10⁻²</w:t>
            </w:r>
          </w:p>
        </w:tc>
        <w:tc>
          <w:tcPr/>
          <w:p>
            <w:pPr>
              <w:pStyle w:val="Compact"/>
              <w:jc w:val="left"/>
            </w:pPr>
            <w:r>
              <w:t xml:space="preserve">8,94 (oscylacje)</w:t>
            </w:r>
          </w:p>
        </w:tc>
        <w:tc>
          <w:tcPr/>
          <w:p>
            <w:pPr>
              <w:pStyle w:val="Compact"/>
              <w:jc w:val="left"/>
            </w:pPr>
            <w:r>
              <w:t xml:space="preserve">0,486</w:t>
            </w:r>
          </w:p>
        </w:tc>
      </w:tr>
      <w:tr>
        <w:tc>
          <w:tcPr/>
          <w:p>
            <w:pPr>
              <w:pStyle w:val="Compact"/>
              <w:jc w:val="left"/>
            </w:pPr>
            <w:r>
              <w:t xml:space="preserve">standaryzowane, α = 0,1</w:t>
            </w:r>
          </w:p>
        </w:tc>
        <w:tc>
          <w:tcPr/>
          <w:p>
            <w:pPr>
              <w:pStyle w:val="Compact"/>
              <w:jc w:val="left"/>
            </w:pPr>
            <w:r>
              <w:t xml:space="preserve">0,280</w:t>
            </w:r>
          </w:p>
        </w:tc>
        <w:tc>
          <w:tcPr/>
          <w:p>
            <w:pPr>
              <w:pStyle w:val="Compact"/>
              <w:jc w:val="left"/>
            </w:pPr>
            <w:r>
              <w:t xml:space="preserve">0,800</w:t>
            </w:r>
          </w:p>
        </w:tc>
      </w:tr>
    </w:tbl>
    <w:p>
      <w:pPr>
        <w:pStyle w:val="BodyText"/>
      </w:pPr>
      <w:r>
        <w:t xml:space="preserve">Nie istnieje α, które działa dobrze: krok wystarczająco mały dla „stromego” kierunku (chol) jest zdecydowanie za mały dla „płaskich” kierunków – po 20000 epokach koszt jest daleko od minimum.</w:t>
      </w:r>
    </w:p>
    <w:p>
      <w:pPr>
        <w:pStyle w:val="CaptionedFigure"/>
      </w:pPr>
      <w:r>
        <w:drawing>
          <wp:inline>
            <wp:extent cx="3733800" cy="2133600"/>
            <wp:effectExtent b="0" l="0" r="0" t="0"/>
            <wp:docPr descr="Brak standaryzacji" title="" id="44" name="Picture"/>
            <a:graphic>
              <a:graphicData uri="http://schemas.openxmlformats.org/drawingml/2006/picture">
                <pic:pic>
                  <pic:nvPicPr>
                    <pic:cNvPr descr="figures/7_no_standardization.png" id="45" name="Picture"/>
                    <pic:cNvPicPr>
                      <a:picLocks noChangeArrowheads="1" noChangeAspect="1"/>
                    </pic:cNvPicPr>
                  </pic:nvPicPr>
                  <pic:blipFill>
                    <a:blip r:embed="rId43"/>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t xml:space="preserve">Brak standaryzacji</w:t>
      </w:r>
    </w:p>
    <w:bookmarkEnd w:id="46"/>
    <w:bookmarkStart w:id="50" w:name="Xd9a387735e9eff8298fb7b73ef61c440ee91499"/>
    <w:p>
      <w:pPr>
        <w:pStyle w:val="Heading2"/>
      </w:pPr>
      <w:r>
        <w:t xml:space="preserve">6.2 Minimum „w nieskończoności”: kolumny-wskaźniki braków</w:t>
      </w:r>
    </w:p>
    <w:p>
      <w:pPr>
        <w:pStyle w:val="FirstParagraph"/>
      </w:pPr>
      <w:r>
        <w:t xml:space="preserve">Wariant preprocessingu, w którym braki koduje się dodatkowymi kolumnami 0/1 (</w:t>
      </w:r>
      <w:r>
        <w:rPr>
          <w:rStyle w:val="VerbatimChar"/>
        </w:rPr>
        <w:t xml:space="preserve">ca_brak</w:t>
      </w:r>
      <w:r>
        <w:t xml:space="preserve">,</w:t>
      </w:r>
      <w:r>
        <w:t xml:space="preserve"> </w:t>
      </w:r>
      <w:r>
        <w:rPr>
          <w:rStyle w:val="VerbatimChar"/>
        </w:rPr>
        <w:t xml:space="preserve">thal_brak</w:t>
      </w:r>
      <w:r>
        <w:t xml:space="preserve">). W zbiorze treningowym</w:t>
      </w:r>
      <w:r>
        <w:t xml:space="preserve"> </w:t>
      </w:r>
      <w:r>
        <w:rPr>
          <w:rStyle w:val="VerbatimChar"/>
        </w:rPr>
        <w:t xml:space="preserve">thal_brak</w:t>
      </w:r>
      <w:r>
        <w:t xml:space="preserve"> </w:t>
      </w:r>
      <w:r>
        <w:t xml:space="preserve">ma tylko</w:t>
      </w:r>
      <w:r>
        <w:t xml:space="preserve"> </w:t>
      </w:r>
      <w:r>
        <w:rPr>
          <w:bCs/>
          <w:b/>
        </w:rPr>
        <w:t xml:space="preserve">jedną</w:t>
      </w:r>
      <w:r>
        <w:t xml:space="preserve"> </w:t>
      </w:r>
      <w:r>
        <w:t xml:space="preserve">jedynkę (próbka z klasy 0) – w tym kierunku dane są liniowo separowalne. Koszt można wtedy obniżać w nieskończoność, przesuwając wagę</w:t>
      </w:r>
      <w:r>
        <w:t xml:space="preserve"> </w:t>
      </w:r>
      <w:r>
        <w:rPr>
          <w:rStyle w:val="VerbatimChar"/>
        </w:rPr>
        <w:t xml:space="preserve">thal_brak</w:t>
      </w:r>
      <w:r>
        <w:t xml:space="preserve"> </w:t>
      </w:r>
      <w:r>
        <w:t xml:space="preserve">→ −∞, więc</w:t>
      </w:r>
      <w:r>
        <w:t xml:space="preserve"> </w:t>
      </w:r>
      <w:r>
        <w:rPr>
          <w:bCs/>
          <w:b/>
        </w:rPr>
        <w:t xml:space="preserve">minimum nie jest osiągane dla skończonych wag</w:t>
      </w:r>
      <w:r>
        <w:t xml:space="preserve">.</w:t>
      </w:r>
    </w:p>
    <w:p>
      <w:pPr>
        <w:pStyle w:val="BodyText"/>
      </w:pPr>
      <w:r>
        <w:t xml:space="preserve">Przebieg (α = 0,5, 200 000 epok): koszt praktycznie stały (0,27953 → 0,27953), ale ‖w‖ rośnie bez końca (2,684 → 2,740), a waga</w:t>
      </w:r>
      <w:r>
        <w:t xml:space="preserve"> </w:t>
      </w:r>
      <w:r>
        <w:rPr>
          <w:rStyle w:val="VerbatimChar"/>
        </w:rPr>
        <w:t xml:space="preserve">thal_brak</w:t>
      </w:r>
      <w:r>
        <w:t xml:space="preserve"> </w:t>
      </w:r>
      <w:r>
        <w:t xml:space="preserve">maleje mniej więcej liniowo względem log(epoki) (ok. −0,2 po 10³ epok, −0,57 po 2·10⁵ epok) i nie zatrzymuje się; przy imputacji dominantą ‖w‖ stabilizuje się na 2,681 już po ~10³ epokach.</w:t>
      </w:r>
      <w:r>
        <w:t xml:space="preserve"> </w:t>
      </w:r>
      <w:r>
        <w:t xml:space="preserve">Warunek stopu oparty na |ΔL| zatrzyma taki trening, ale wektor wag nigdy nie zbiegnie.</w:t>
      </w:r>
    </w:p>
    <w:p>
      <w:pPr>
        <w:pStyle w:val="CaptionedFigure"/>
      </w:pPr>
      <w:r>
        <w:drawing>
          <wp:inline>
            <wp:extent cx="5334000" cy="1400175"/>
            <wp:effectExtent b="0" l="0" r="0" t="0"/>
            <wp:docPr descr="Kolumny-wskaźniki braków: koszt zbiega, wagi nie" title="" id="48" name="Picture"/>
            <a:graphic>
              <a:graphicData uri="http://schemas.openxmlformats.org/drawingml/2006/picture">
                <pic:pic>
                  <pic:nvPicPr>
                    <pic:cNvPr descr="figures/8_rare_categories_divergence.png" id="49" name="Picture"/>
                    <pic:cNvPicPr>
                      <a:picLocks noChangeArrowheads="1" noChangeAspect="1"/>
                    </pic:cNvPicPr>
                  </pic:nvPicPr>
                  <pic:blipFill>
                    <a:blip r:embed="rId47"/>
                    <a:stretch>
                      <a:fillRect/>
                    </a:stretch>
                  </pic:blipFill>
                  <pic:spPr bwMode="auto">
                    <a:xfrm>
                      <a:off x="0" y="0"/>
                      <a:ext cx="5334000" cy="1400175"/>
                    </a:xfrm>
                    <a:prstGeom prst="rect">
                      <a:avLst/>
                    </a:prstGeom>
                    <a:noFill/>
                    <a:ln w="9525">
                      <a:noFill/>
                      <a:headEnd/>
                      <a:tailEnd/>
                    </a:ln>
                  </pic:spPr>
                </pic:pic>
              </a:graphicData>
            </a:graphic>
          </wp:inline>
        </w:drawing>
      </w:r>
    </w:p>
    <w:p>
      <w:pPr>
        <w:pStyle w:val="ImageCaption"/>
      </w:pPr>
      <w:r>
        <w:t xml:space="preserve">Kolumny-wskaźniki braków: koszt zbiega, wagi nie</w:t>
      </w:r>
    </w:p>
    <w:bookmarkEnd w:id="50"/>
    <w:bookmarkEnd w:id="51"/>
    <w:bookmarkStart w:id="52" w:name="wnioski"/>
    <w:p>
      <w:pPr>
        <w:pStyle w:val="Heading1"/>
      </w:pPr>
      <w:r>
        <w:t xml:space="preserve">7. Wnioski</w:t>
      </w:r>
    </w:p>
    <w:p>
      <w:pPr>
        <w:pStyle w:val="FirstParagraph"/>
      </w:pPr>
      <w:r>
        <w:rPr>
          <w:iCs/>
          <w:i/>
        </w:rPr>
        <w:t xml:space="preserve">(do uzupełnienia samodzielnie – pkt 11 regulaminu).</w:t>
      </w:r>
      <w:r>
        <w:t xml:space="preserve"> </w:t>
      </w:r>
      <w:r>
        <w:t xml:space="preserve">Pytania z treści zadania, na które warto odpowiedzieć na podstawie powyższych wyników:</w:t>
      </w:r>
    </w:p>
    <w:p>
      <w:pPr>
        <w:numPr>
          <w:ilvl w:val="0"/>
          <w:numId w:val="1005"/>
        </w:numPr>
        <w:pStyle w:val="Compact"/>
      </w:pPr>
      <w:r>
        <w:t xml:space="preserve">Czy klasyfikator liniowy zawsze zbiega do globalnego minimum? (por. sekcje 3, 4, 6.2)</w:t>
      </w:r>
    </w:p>
    <w:p>
      <w:pPr>
        <w:numPr>
          <w:ilvl w:val="0"/>
          <w:numId w:val="1005"/>
        </w:numPr>
        <w:pStyle w:val="Compact"/>
      </w:pPr>
      <w:r>
        <w:t xml:space="preserve">Czy zła parametryzacja (α, inicjalizacja, skala cech) uniemożliwia zbieżność, czy tylko ją wydłuża? Które przypadki należą do której grupy?</w:t>
      </w:r>
    </w:p>
    <w:p>
      <w:pPr>
        <w:numPr>
          <w:ilvl w:val="0"/>
          <w:numId w:val="1005"/>
        </w:numPr>
        <w:pStyle w:val="Compact"/>
      </w:pPr>
      <w:r>
        <w:t xml:space="preserve">Jaki warunek stopu wybrać i dlaczego minimum kosztu treningowego nie oznacza najlepszego modelu?</w:t>
      </w:r>
    </w:p>
    <w:bookmarkEnd w:id="52"/>
    <w:bookmarkStart w:id="53" w:name="uruchomienie"/>
    <w:p>
      <w:pPr>
        <w:pStyle w:val="Heading1"/>
      </w:pPr>
      <w:r>
        <w:t xml:space="preserve">Uruchomienie</w:t>
      </w:r>
    </w:p>
    <w:p>
      <w:pPr>
        <w:pStyle w:val="SourceCode"/>
      </w:pPr>
      <w:r>
        <w:rPr>
          <w:rStyle w:val="VerbatimChar"/>
        </w:rPr>
        <w:t xml:space="preserve">pip install numpy pandas matplotlib scikit-learn</w:t>
      </w:r>
      <w:r>
        <w:br/>
      </w:r>
      <w:r>
        <w:rPr>
          <w:rStyle w:val="VerbatimChar"/>
        </w:rPr>
        <w:t xml:space="preserve">python logreg.py      # ok. 2,5 min, wykresy -&gt; figures/, liczby -&gt; results.json</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Sieci neuronowe – ćwiczenie 2: regresja logistyczna</dc:title>
  <dc:creator/>
  <cp:keywords/>
  <dcterms:created xsi:type="dcterms:W3CDTF">2026-10-12T00:00:18Z</dcterms:created>
  <dcterms:modified xsi:type="dcterms:W3CDTF">2026-10-12T00:00:18Z</dcterms:modified>
</cp:coreProperties>
</file>

<file path=docProps/custom.xml><?xml version="1.0" encoding="utf-8"?>
<Properties xmlns="http://schemas.openxmlformats.org/officeDocument/2006/custom-properties" xmlns:vt="http://schemas.openxmlformats.org/officeDocument/2006/docPropsVTypes"/>
</file>