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sz w:val="28"/>
          <w:szCs w:val="28"/>
        </w:rPr>
        <w:t xml:space="preserve">SIECI NEURONOWE</w:t>
      </w:r>
    </w:p>
    <w:p>
      <w:pPr>
        <w:spacing w:before="200"/>
        <w:jc w:val="center"/>
      </w:pPr>
      <w:r>
        <w:rPr>
          <w:sz w:val="26"/>
          <w:szCs w:val="26"/>
        </w:rPr>
        <w:t xml:space="preserve">Sprawozdanie z ćwiczenia laboratoryjnego nr 2</w:t>
      </w:r>
    </w:p>
    <w:p>
      <w:pPr>
        <w:spacing w:after="120" w:before="600"/>
        <w:jc w:val="center"/>
      </w:pPr>
      <w:r>
        <w:rPr>
          <w:b/>
          <w:bCs/>
          <w:sz w:val="36"/>
          <w:szCs w:val="36"/>
        </w:rPr>
        <w:t xml:space="preserve">Regresja logistyczna uczona metodą gradientową</w:t>
      </w:r>
    </w:p>
    <w:p>
      <w:pPr>
        <w:jc w:val="center"/>
      </w:pPr>
      <w:r>
        <w:rPr>
          <w:i/>
          <w:iCs/>
          <w:sz w:val="26"/>
          <w:szCs w:val="26"/>
        </w:rPr>
        <w:t xml:space="preserve">wpływ współczynnika uczenia, inicjalizacji i warunku stopu na zbieżność</w:t>
      </w:r>
    </w:p>
    <w:p>
      <w:pPr>
        <w:spacing w:before="3200"/>
      </w:pPr>
      <w:r>
        <w:rPr>
          <w:b/>
          <w:bCs/>
        </w:rPr>
        <w:t xml:space="preserve">Imię i nazwisko: </w:t>
      </w:r>
      <w:r>
        <w:t xml:space="preserve">............................................................</w:t>
      </w:r>
    </w:p>
    <w:p>
      <w:pPr>
        <w:spacing w:before="200"/>
      </w:pPr>
      <w:r>
        <w:rPr>
          <w:b/>
          <w:bCs/>
        </w:rPr>
        <w:t xml:space="preserve">Nr albumu: </w:t>
      </w:r>
      <w:r>
        <w:t xml:space="preserve">............................................................</w:t>
      </w:r>
    </w:p>
    <w:p>
      <w:pPr>
        <w:spacing w:before="200"/>
      </w:pPr>
      <w:r>
        <w:rPr>
          <w:b/>
          <w:bCs/>
        </w:rPr>
        <w:t xml:space="preserve">Termin zajęć: </w:t>
      </w:r>
      <w:r>
        <w:t xml:space="preserve">............................................................</w:t>
      </w:r>
    </w:p>
    <w:p>
      <w:pPr>
        <w:spacing w:before="200"/>
      </w:pPr>
      <w:r>
        <w:rPr>
          <w:b/>
          <w:bCs/>
        </w:rPr>
        <w:t xml:space="preserve">Data oddania: </w:t>
      </w:r>
      <w:r>
        <w:t xml:space="preserve">............................................................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Cel ćwiczenia</w:t>
      </w:r>
    </w:p>
    <w:p>
      <w:pPr>
        <w:spacing w:after="120" w:line="300"/>
        <w:jc w:val="both"/>
      </w:pPr>
      <w:r>
        <w:t xml:space="preserve">Celem ćwiczenia była samodzielna implementacja regresji logistycznej uczonej metodą spadku gradientu i zastosowanie jej do klasyfikacji zbioru Heart Disease. Regresję logistyczną można traktować jako najprostszą, jednowarstwową sieć neuronową. Zbadano: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jakość klasyfikacji (precision, recall, F1),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wpływ współczynnika uczenia α na zbieżność,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wpływ rozkładu inicjalizacji wag,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wpływ liczby epok i warunku stopu (krzywe uczenia).</w:t>
      </w:r>
    </w:p>
    <w:p>
      <w:pPr>
        <w:spacing w:after="120" w:before="120" w:line="300"/>
        <w:jc w:val="both"/>
      </w:pPr>
      <w:r>
        <w:t xml:space="preserve">Główne pytanie: czy klasyfikator liniowy zawsze zbiega do globalnego minimum i czy zła parametryzacja uniemożliwia zbieżność, czy tylko ją wydłuża?</w:t>
      </w:r>
    </w:p>
    <w:p>
      <w:pPr>
        <w:pStyle w:val="Heading1"/>
        <w:spacing w:after="160" w:before="360"/>
      </w:pPr>
      <w:r>
        <w:t xml:space="preserve">2. Model i implementacja</w:t>
      </w:r>
    </w:p>
    <w:p>
      <w:pPr>
        <w:pStyle w:val="Heading2"/>
        <w:spacing w:after="120" w:before="240"/>
      </w:pPr>
      <w:r>
        <w:t xml:space="preserve">2.1. Model</w:t>
      </w:r>
    </w:p>
    <w:p>
      <w:pPr>
        <w:spacing w:after="120" w:line="300"/>
        <w:jc w:val="both"/>
      </w:pPr>
      <w:r>
        <w:t xml:space="preserve">Model zwraca prawdopodobieństwo, że pacjent jest chory: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wyjście: </w:t>
      </w:r>
      <w:r>
        <w:t xml:space="preserve">p(x) = σ(Wx + b), gdzie σ(z) = 1 / (1 + e^(−z)),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koszt: </w:t>
      </w:r>
      <w:r>
        <w:t xml:space="preserve">średnia entropia krzyżowa L = −(1/N) Σ [y ln p + (1 − y) ln(1 − p)],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gradient: </w:t>
      </w:r>
      <w:r>
        <w:t xml:space="preserve">∂L/∂wᵢ = −(1/N) Σ (y − p) xᵢ, ∂L/∂b = −(1/N) Σ (y − p),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aktualizacja: </w:t>
      </w:r>
      <w:r>
        <w:t xml:space="preserve">w ← w − α ∂L/∂w (pełny batch – wszystkie próbki w każdej epoce).</w:t>
      </w:r>
    </w:p>
    <w:p>
      <w:pPr>
        <w:spacing w:after="120" w:before="120" w:line="300"/>
        <w:jc w:val="both"/>
      </w:pPr>
      <w:r>
        <w:t xml:space="preserve">Funkcja kosztu jest wypukła, więc ma co najwyżej jedno minimum i nie ma minimów lokalnych. Klasyfikacja: klasa 1, gdy p ≥ 0,5.</w:t>
      </w:r>
    </w:p>
    <w:p>
      <w:pPr>
        <w:pStyle w:val="Heading2"/>
        <w:spacing w:after="120" w:before="240"/>
      </w:pPr>
      <w:r>
        <w:t xml:space="preserve">2.2. Implementacja</w:t>
      </w:r>
    </w:p>
    <w:p>
      <w:pPr>
        <w:spacing w:after="120" w:line="300"/>
        <w:jc w:val="both"/>
      </w:pPr>
      <w:r>
        <w:t xml:space="preserve">Model zaimplementowano w NumPy w klasie LogisticRegressionGD (plik logreg.py), bez gotowych metod uczenia. Najważniejsze elementy: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sigmoida w wersji stabilnej numerycznie (brak przepełnienia exp dla dużych |z|),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trzy warunki stopu: stała liczba epok, |L_t − L_(t−1)| &lt; tol oraz early stopping na koszcie walidacyjnym z przywróceniem najlepszych wag,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w każdej epoce zapisywane są koszt, F1, precision, recall (trening i walidacja) oraz norma gradientu – z nich powstają krzywe uczenia,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scikit-learn użyto tylko do kontroli wyniku i metryk.</w:t>
      </w:r>
    </w:p>
    <w:p>
      <w:pPr>
        <w:pStyle w:val="Heading2"/>
        <w:spacing w:after="120" w:before="240"/>
      </w:pPr>
      <w:r>
        <w:t xml:space="preserve">2.3. Dane</w:t>
      </w:r>
    </w:p>
    <w:p>
      <w:pPr>
        <w:spacing w:after="120" w:line="300"/>
        <w:jc w:val="both"/>
      </w:pPr>
      <w:r>
        <w:t xml:space="preserve">Wykorzystano przygotowanie danych z ćwiczenia 1 (data.py): uzupełnienie braków dominantą, kodowanie one-hot i standaryzację. Każda próbka ma 17 cech. Podział warstwowy: 181 próbek treningowych, 61 walidacyjnych i 61 testowych (46% chorych w każdym zbiorze).</w:t>
      </w:r>
    </w:p>
    <w:p>
      <w:pPr>
        <w:pStyle w:val="Heading2"/>
        <w:spacing w:after="120" w:before="240"/>
      </w:pPr>
      <w:r>
        <w:t xml:space="preserve">2.4. Minimum globalne i testy poprawności</w:t>
      </w:r>
    </w:p>
    <w:p>
      <w:pPr>
        <w:spacing w:after="120" w:line="300"/>
        <w:jc w:val="both"/>
      </w:pPr>
      <w:r>
        <w:t xml:space="preserve">Jako punkt odniesienia wyznaczono minimum kosztu długim treningiem (α = 0,5, do |ΔL| &lt; 10⁻¹⁴): L* = 0,287171 przy normie gradientu 1,4·10⁻⁷. Za zbieżność przyjęto osiągnięcie L ≤ L* + 10⁻³. Poprawność implementacji sprawdzono testami (plik test_logreg.py):</w:t>
      </w:r>
    </w:p>
    <w:p>
      <w:pPr>
        <w:keepNext/>
        <w:spacing w:after="60" w:before="160"/>
        <w:jc w:val="left"/>
      </w:pPr>
      <w:r>
        <w:rPr>
          <w:i/>
          <w:iCs/>
          <w:sz w:val="20"/>
          <w:szCs w:val="20"/>
        </w:rPr>
        <w:t xml:space="preserve">Tabela 1. Testy poprawności implementacji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4000"/>
      </w:tblGrid>
      <w:tr>
        <w:trPr>
          <w:tblHeader/>
        </w:trPr>
        <w:tc>
          <w:tcPr>
            <w:tcW w:type="dxa" w:w="5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Wynik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gradient analityczny vs różnice skończone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różnica 8,8·10⁻¹¹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sigmoida dla z = ±1000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brak NaN, σ(0) = 0,5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precision / recall / F1 vs scikit-learn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identyczne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koszt przy w = 0 i jego przebieg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ln 2 = 0,693, maleje monotonicznie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minimum vs LogisticRegression (bez regularyzacji)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różnica kosztu 1,1·10⁻¹²</w:t>
            </w:r>
          </w:p>
        </w:tc>
      </w:tr>
    </w:tbl>
    <w:p>
      <w:pPr>
        <w:pStyle w:val="Heading1"/>
        <w:spacing w:after="160" w:before="360"/>
      </w:pPr>
      <w:r>
        <w:t xml:space="preserve">3. Model bazowy</w:t>
      </w:r>
    </w:p>
    <w:p>
      <w:pPr>
        <w:spacing w:after="120" w:line="300"/>
        <w:jc w:val="both"/>
      </w:pPr>
      <w:r>
        <w:t xml:space="preserve">Model bazowy: α = 0,1, wagi początkowe zerowe, 2000 epok. Wyniki przedstawiono w tabeli 2 i na rysunku 1.</w:t>
      </w:r>
    </w:p>
    <w:p>
      <w:pPr>
        <w:keepNext/>
        <w:spacing w:after="60" w:before="160"/>
        <w:jc w:val="left"/>
      </w:pPr>
      <w:r>
        <w:rPr>
          <w:i/>
          <w:iCs/>
          <w:sz w:val="20"/>
          <w:szCs w:val="20"/>
        </w:rPr>
        <w:t xml:space="preserve">Tabela 2. Wyniki modelu bazowego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Zbiór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Precision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Recall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Accuracy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treningowy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0,919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0,819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0,866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0,884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walidacyjny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0,815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0,820</w:t>
            </w:r>
          </w:p>
        </w:tc>
      </w:tr>
      <w:tr>
        <w:trPr>
          <w:cantSplit/>
        </w:trPr>
        <w:tc>
          <w:tcPr>
            <w:tcW w:type="dxa" w:w="2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testowy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</w:tr>
    </w:tbl>
    <w:p>
      <w:pPr>
        <w:spacing w:after="80" w:before="160" w:line="300"/>
        <w:jc w:val="both"/>
      </w:pPr>
      <w:r>
        <w:t xml:space="preserve">Obserwacje: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zbieżność do L* + 10⁻³ po 1067 epokach,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na zbiorze testowym 22 z 28 chorych wykrytych, 6 fałszywych alarmów,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wynik jest bliski baseline z ćw. 1 (F1 = 0,821); tamten model uczono na 242 próbkach (train + val), więc nie jest to porównanie 1:1,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największe wagi mają cp_4 (1,34), thalach (−0,95, ujemna), sex (0,94), ca (0,88) i thal_7 (0,69) – te same cechy, które w ćw. 1 miały najsilniejszą korelację z chorobą (rys.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1_baseline_learning_curve.png" descr="Krzywe uczenia modelu bazowego: koszt (lewo) i metryki (prawo)" title="Krzywe uczenia modelu bazowego: koszt (lewo) i metryki (praw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1. Krzywe uczenia modelu bazowego: koszt (lewo) i metryki (prawo)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2857500"/>
            <wp:effectExtent t="0" r="0" b="0" l="0"/>
            <wp:docPr id="1" name="2_weights.png" descr="Wagi modelu po uczeniu (cechy standaryzowane)" title="Wagi modelu po uczeniu (cechy standaryzowan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2. Wagi modelu po uczeniu (cechy standaryzowane)</w:t>
      </w:r>
    </w:p>
    <w:p>
      <w:pPr>
        <w:pStyle w:val="Heading1"/>
        <w:spacing w:after="160" w:before="360"/>
      </w:pPr>
      <w:r>
        <w:t xml:space="preserve">4. Wpływ współczynnika uczenia</w:t>
      </w:r>
    </w:p>
    <w:p>
      <w:pPr>
        <w:spacing w:after="120" w:line="300"/>
        <w:jc w:val="both"/>
      </w:pPr>
      <w:r>
        <w:t xml:space="preserve">Model uczono przez 5000 epok z inicjalizacją zerową dla ośmiu wartości α (tabela 3, rys. 3 i 4).</w:t>
      </w:r>
    </w:p>
    <w:p>
      <w:pPr>
        <w:keepNext/>
        <w:spacing w:after="60" w:before="160"/>
        <w:jc w:val="left"/>
      </w:pPr>
      <w:r>
        <w:rPr>
          <w:i/>
          <w:iCs/>
          <w:sz w:val="20"/>
          <w:szCs w:val="20"/>
        </w:rPr>
        <w:t xml:space="preserve">Tabela 3. Wpływ współczynnika uczenia 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00"/>
        <w:gridCol w:w="2138"/>
        <w:gridCol w:w="1400"/>
        <w:gridCol w:w="1500"/>
        <w:gridCol w:w="150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α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Koszt końcowy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Epoki do zbieżności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Oscylacje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 val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 test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0,5247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brak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0,3291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brak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0,01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0,2908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brak (blisko)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0,792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0,793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0,1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1067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0,4996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nigdy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0,727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1,8651</w:t>
            </w:r>
          </w:p>
        </w:tc>
        <w:tc>
          <w:tcPr>
            <w:tcW w:type="dxa" w:w="21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nigdy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tak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0,755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0,741</w:t>
            </w:r>
          </w:p>
        </w:tc>
      </w:tr>
    </w:tbl>
    <w:p>
      <w:pPr>
        <w:spacing w:after="80" w:before="160" w:line="300"/>
        <w:jc w:val="both"/>
      </w:pPr>
      <w:r>
        <w:t xml:space="preserve">Obserwacje: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α ≤ 0,01</w:t>
      </w:r>
      <w:r>
        <w:t xml:space="preserve"> – koszt maleje stabilnie, ale za wolno; po 5000 epokach model nie dochodzi do minimum,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0,1 ≤ α ≤ 5</w:t>
      </w:r>
      <w:r>
        <w:t xml:space="preserve"> – zbieżność do tego samego L*; liczba epok maleje prawie odwrotnie proporcjonalnie do α (1067 → 106 → 18),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α ≥ 20</w:t>
      </w:r>
      <w:r>
        <w:t xml:space="preserve"> – krok „przeskakuje” minimum i koszt oscyluje (dla α = 100 między 0,9 a 4,5); minimum istnieje, ale optymalizator do niego nie dochodzi,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wyższe F1 testowe przy α = 20 to przypadek – na 61 próbkach jedna próbka zmienia F1 o ok. 0,02, a F1 nie jest funkcją minimalizowaną.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3_learning_rate.png" descr="Wpływ α na koszt treningowy (lewo) i F1 walidacyjne (prawo)" title="Wpływ α na koszt treningowy (lewo) i F1 walidacyjne (praw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3. Wpływ α na koszt treningowy (lewo) i F1 walidacyjne (prawo)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810000" cy="2181225"/>
            <wp:effectExtent t="0" r="0" b="0" l="0"/>
            <wp:docPr id="1" name="4_large_lr_zoom.png" descr="Pierwsze 60 epok dla dużych wartości α" title="Pierwsze 60 epok dla dużych wartości 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4. Pierwsze 60 epok dla dużych wartości α</w:t>
      </w:r>
    </w:p>
    <w:p>
      <w:pPr>
        <w:pStyle w:val="Heading1"/>
        <w:spacing w:after="160" w:before="360"/>
      </w:pPr>
      <w:r>
        <w:t xml:space="preserve">5. Wpływ inicjalizacji wag</w:t>
      </w:r>
    </w:p>
    <w:p>
      <w:pPr>
        <w:spacing w:after="120" w:line="300"/>
        <w:jc w:val="both"/>
      </w:pPr>
      <w:r>
        <w:t xml:space="preserve">Porównano inicjalizację zerową, stałą oraz losową z rozkładu normalnego N(0, σ) i jednostajnego U(−a, a). Dla rozkładów losowych wykonano po 10 przebiegów z różnymi ziarnami (α = 0,1, 5000 epok). ‖w − w*‖ to odległość wag końcowych od wag w minimum.</w:t>
      </w:r>
    </w:p>
    <w:p>
      <w:pPr>
        <w:keepNext/>
        <w:spacing w:after="60" w:before="160"/>
        <w:jc w:val="left"/>
      </w:pPr>
      <w:r>
        <w:rPr>
          <w:i/>
          <w:iCs/>
          <w:sz w:val="20"/>
          <w:szCs w:val="20"/>
        </w:rPr>
        <w:t xml:space="preserve">Tabela 4. Wpływ inicjalizacji (średnie z 10 przebiegów)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200"/>
        <w:gridCol w:w="1400"/>
        <w:gridCol w:w="1500"/>
        <w:gridCol w:w="1300"/>
        <w:gridCol w:w="1200"/>
        <w:gridCol w:w="1400"/>
      </w:tblGrid>
      <w:tr>
        <w:trPr>
          <w:tblHeader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Inicjalizacja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Koszt start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Koszt końcowy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Epoki do zbieżności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Nie zbiegło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 test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‖w − w*‖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zera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0,693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1067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/ 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0,013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N(0; 0,01)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0,694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1065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/ 10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0,013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N(0; 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1,87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987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/ 10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0,009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U(−1; 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1,15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1168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 / 10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0,015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U(−10; 10)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7,81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3761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 / 10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N(0; 10)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10,50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0,3558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 / 10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0,823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3,96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stała 5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3,02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0,2943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 / 1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1,35</w:t>
            </w:r>
          </w:p>
        </w:tc>
      </w:tr>
    </w:tbl>
    <w:p>
      <w:pPr>
        <w:spacing w:after="80" w:before="160" w:line="300"/>
        <w:jc w:val="both"/>
      </w:pPr>
      <w:r>
        <w:t xml:space="preserve">Obserwacje: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małe inicjalizacje</w:t>
      </w:r>
      <w:r>
        <w:t xml:space="preserve"> (zera, N(0; 0,01), N(0; 1), U(−1; 1)) – wszystkie dochodzą do tego samego minimum w podobnej liczbie epok,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rPr>
          <w:b/>
          <w:bCs/>
        </w:rPr>
        <w:t xml:space="preserve">duże inicjalizacje</w:t>
      </w:r>
      <w:r>
        <w:t xml:space="preserve"> (N(0; 10), U(−10; 10), stała 5) – startują z bardzo dużym kosztem i nasyconą sigmoidą (p ≈ 0 lub 1), przez co gradient jest mały i uczenie trwa dużo dłużej,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mimo to ‖w − w*‖ cały czas maleje – przy dłuższym treningu wszystkie inicjalizacje trafiają do tego samego punktu, bo wypukła funkcja nie ma minimów lokalnych,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zła inicjalizacja wydłuża uczenie, ale nie zmienia jego wyniku.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5_initialization.png" descr="Wpływ inicjalizacji na koszt (średnia i zakres z 10 ziaren) i F1 walidacyjne" title="Wpływ inicjalizacji na koszt (średnia i zakres z 10 ziaren) i F1 walidacyj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5. Wpływ inicjalizacji na koszt (średnia i zakres z 10 ziaren) i F1 walidacyjne</w:t>
      </w:r>
    </w:p>
    <w:p>
      <w:pPr>
        <w:pStyle w:val="Heading1"/>
        <w:spacing w:after="160" w:before="360"/>
      </w:pPr>
      <w:r>
        <w:t xml:space="preserve">6. Liczba epok i warunek stopu</w:t>
      </w:r>
    </w:p>
    <w:p>
      <w:pPr>
        <w:spacing w:after="120" w:line="300"/>
        <w:jc w:val="both"/>
      </w:pPr>
      <w:r>
        <w:t xml:space="preserve">Porównano stałą liczbę epok, zatrzymanie przy małej zmianie kosztu (|ΔL| &lt; tol) oraz early stopping, który kończy uczenie, gdy koszt walidacyjny nie poprawia się przez 50 epok (α = 0,1).</w:t>
      </w:r>
    </w:p>
    <w:p>
      <w:pPr>
        <w:keepNext/>
        <w:spacing w:after="60" w:before="160"/>
        <w:jc w:val="left"/>
      </w:pPr>
      <w:r>
        <w:rPr>
          <w:i/>
          <w:iCs/>
          <w:sz w:val="20"/>
          <w:szCs w:val="20"/>
        </w:rPr>
        <w:t xml:space="preserve">Tabela 5. Wpływ warunku stopu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700"/>
        <w:gridCol w:w="1300"/>
        <w:gridCol w:w="1300"/>
        <w:gridCol w:w="1300"/>
        <w:gridCol w:w="1400"/>
      </w:tblGrid>
      <w:tr>
        <w:trPr>
          <w:tblHeader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Warunek stopu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Epoki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Koszt train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Koszt val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 val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 test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stałe 10 epok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0,444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0,821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stałe 100 epok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0,308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0,389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0,815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0,764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stałe 1000 epok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0,418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stałe 20 000 epok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20 000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0,437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|ΔL| &lt; 10⁻⁴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0,301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0,388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0,815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|ΔL| &lt; 10⁻⁶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1400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0,424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0,786</w:t>
            </w:r>
          </w:p>
        </w:tc>
      </w:tr>
      <w:tr>
        <w:trPr>
          <w:cantSplit/>
        </w:trPr>
        <w:tc>
          <w:tcPr>
            <w:tcW w:type="dxa" w:w="2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early stopping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183 (najl. 133)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0,303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0,387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0,815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0,764</w:t>
            </w:r>
          </w:p>
        </w:tc>
      </w:tr>
    </w:tbl>
    <w:p>
      <w:pPr>
        <w:spacing w:after="80" w:before="160" w:line="300"/>
        <w:jc w:val="both"/>
      </w:pPr>
      <w:r>
        <w:t xml:space="preserve">Obserwacje: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koszt treningowy maleje monotonicznie do L*, a norma gradientu spada z ok. 0,7 do 10⁻¹¹ – uczenie jest stabilne,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koszt walidacyjny ma minimum ok. 133. epoki (0,387), a potem rośnie do 0,437 – model zaczyna przeuczać się na 181 próbkach (predykcje stają się zbyt pewne),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F1 prawie się nie zmienia, bo zależy tylko od strony progu 0,5, a koszt również od pewności predykcji,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|ΔL| &lt; 10⁻⁴ i early stopping kończą uczenie po ok. 150 epokach z tymi samymi metrykami co trening przez 20 000 epok.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066925"/>
            <wp:effectExtent t="0" r="0" b="0" l="0"/>
            <wp:docPr id="1" name="6_stopping.png" descr="Warunki stopu na krzywej uczenia (lewo) i norma gradientu (prawo)" title="Warunki stopu na krzywej uczenia (lewo) i norma gradientu (praw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6. Warunki stopu na krzywej uczenia (lewo) i norma gradientu (prawo)</w:t>
      </w:r>
    </w:p>
    <w:p>
      <w:pPr>
        <w:pStyle w:val="Heading1"/>
        <w:spacing w:after="160" w:before="360"/>
      </w:pPr>
      <w:r>
        <w:t xml:space="preserve">7. Zła parametryzacja danych: brak standaryzacji</w:t>
      </w:r>
    </w:p>
    <w:p>
      <w:pPr>
        <w:spacing w:after="120" w:line="300"/>
        <w:jc w:val="both"/>
      </w:pPr>
      <w:r>
        <w:t xml:space="preserve">Ten sam model uczono na surowych cechach (cholesterol ok. 250, oldpeak ok. 1). Minimum jest takie samo jak dla danych standaryzowanych, ale zmienia się kształt funkcji kosztu: wskaźnik uwarunkowania macierzy XᵀX rośnie z 46 do 5,5·10⁶.</w:t>
      </w:r>
    </w:p>
    <w:p>
      <w:pPr>
        <w:keepNext/>
        <w:spacing w:after="60" w:before="160"/>
        <w:jc w:val="left"/>
      </w:pPr>
      <w:r>
        <w:rPr>
          <w:i/>
          <w:iCs/>
          <w:sz w:val="20"/>
          <w:szCs w:val="20"/>
        </w:rPr>
        <w:t xml:space="preserve">Tabela 6. Uczenie na danych niestandaryzowanych (20 000 epok)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3000"/>
        <w:gridCol w:w="3000"/>
      </w:tblGrid>
      <w:tr>
        <w:trPr>
          <w:tblHeader/>
        </w:trP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Dane i α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Koszt końcowy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 test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surowe, α = 10⁻⁵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0,533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0,621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surowe, α = 10⁻⁴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0,455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0,667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surowe, α = 10⁻³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4,79 (oscylacje)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0,691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surowe, α = 10⁻²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8,97 (oscylacje)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0,675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standaryzowane, α = 0,1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0,287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0,772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before="160" w:line="290"/>
      </w:pPr>
      <w:r>
        <w:t xml:space="preserve">nie istnieje dobre α: krok bezpieczny dla „stromego” kierunku (chol) jest za mały dla „płaskich” kierunków,</w:t>
      </w:r>
    </w:p>
    <w:p>
      <w:pPr>
        <w:pStyle w:val="ListParagraph"/>
        <w:numPr>
          <w:ilvl w:val="0"/>
          <w:numId w:val="2"/>
        </w:numPr>
        <w:spacing w:after="80" w:before="0" w:line="290"/>
      </w:pPr>
      <w:r>
        <w:t xml:space="preserve">po 20 000 epok koszt jest daleko od minimum – brak standaryzacji w praktyce uniemożliwia zbieżność.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095750" cy="2343150"/>
            <wp:effectExtent t="0" r="0" b="0" l="0"/>
            <wp:docPr id="1" name="7_no_standardization.png" descr="Uczenie na danych surowych i standaryzowanych" title="Uczenie na danych surowych i standaryzowany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sz w:val="20"/>
          <w:szCs w:val="20"/>
        </w:rPr>
        <w:t xml:space="preserve">Rysunek 7. Uczenie na danych surowych i standaryzowanych</w:t>
      </w:r>
    </w:p>
    <w:p>
      <w:pPr>
        <w:pStyle w:val="Heading1"/>
        <w:spacing w:after="160" w:before="360"/>
      </w:pPr>
      <w:r>
        <w:t xml:space="preserve">8. Wnioski</w:t>
      </w:r>
    </w:p>
    <w:p>
      <w:pPr>
        <w:spacing w:after="120" w:line="300"/>
        <w:jc w:val="both"/>
      </w:pPr>
      <w:r>
        <w:t xml:space="preserve">Przy dobrze dobranym α i małych wagach początkowych model zawsze dochodził do tego samego minimum L* = 0,287, co wynika z wypukłości funkcji kosztu. Zbyt małe α i duża inicjalizacja tylko wydłużały uczenie, bo model dalej zmierzał do tego samego punktu, tylko potrzebował tysięcy epok zamiast setek. Zbyt duże α (≥ 20) i brak standaryzacji w praktyce uniemożliwiały zbieżność, bo krok przeskakiwał minimum albo był za mały w części kierunków. Najlepiej sprawdzało się α od 1 do 5, które dochodziło do minimum w kilkadziesiąt do stu epok bez oscylacji. Najniższy koszt treningowy nie oznacza najlepszego modelu: koszt walidacyjny był najmniejszy ok. 133. epoki, więc early stopping lub stop przy |ΔL| &lt; 10⁻⁴ daje ten sam wynik (F1 ≈ 0,79) dużo szybciej.</w:t>
      </w:r>
    </w:p>
    <w:p>
      <w:pPr>
        <w:spacing w:before="240"/>
        <w:jc w:val="both"/>
      </w:pPr>
      <w:r>
        <w:rPr>
          <w:i/>
          <w:iCs/>
          <w:sz w:val="20"/>
          <w:szCs w:val="20"/>
        </w:rPr>
        <w:t xml:space="preserve">Uwaga: kod w plikach logreg.py (model i eksperymenty), test_logreg.py (testy) i data.py (przygotowanie danych z ćw. 1). Przy kodzie korzystano z narzędzia AI (Claude), co oznaczono w plikach zgodnie z pkt 11 regulaminu.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f616e122ef1bf0865411a7e7d61c9ed384f96a60.png"/><Relationship Id="rId10" Type="http://schemas.openxmlformats.org/officeDocument/2006/relationships/image" Target="media/bb797da5bc3fa555301f2a594a9905591adde142.png"/><Relationship Id="rId11" Type="http://schemas.openxmlformats.org/officeDocument/2006/relationships/image" Target="media/0e769122c83251b342e469bb27ba7e95f4461a4a.png"/><Relationship Id="rId12" Type="http://schemas.openxmlformats.org/officeDocument/2006/relationships/image" Target="media/524b4de88b8d9c3bc659017a48ba1b4151ed948f.png"/><Relationship Id="rId13" Type="http://schemas.openxmlformats.org/officeDocument/2006/relationships/image" Target="media/3f52b624da802566b5faa53fcbd7b19e6b1c6950.png"/><Relationship Id="rId14" Type="http://schemas.openxmlformats.org/officeDocument/2006/relationships/image" Target="media/9e9b3c1117fa29874023d3cb1b9443c988d4d327.png"/><Relationship Id="rId15" Type="http://schemas.openxmlformats.org/officeDocument/2006/relationships/image" Target="media/b597ec6deb27ebed96b270bbc306402db29eef6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Sieci neuronowe – ćwiczenie 2</dc:title>
  <dc:creator>Student</dc:creator>
  <cp:lastModifiedBy>Un-named</cp:lastModifiedBy>
  <cp:revision>1</cp:revision>
  <dcterms:created xsi:type="dcterms:W3CDTF">2026-10-25T19:33:09.548Z</dcterms:created>
  <dcterms:modified xsi:type="dcterms:W3CDTF">2026-10-25T19:33:09.548Z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