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Expense and Accounting SaaS</w:t>
      </w:r>
    </w:p>
    <w:p>
      <w:pPr>
        <w:pStyle w:val="Subtitle"/>
      </w:pPr>
      <w:r>
        <w:t>Project idea and business rules before implementation</w:t>
      </w:r>
    </w:p>
    <w:p>
      <w:r>
        <w:t>Prepared for Vishwa Deshan Dayarathne • Interview portfolio project • Version 1.0 • 10 October 2026</w:t>
      </w:r>
    </w:p>
    <w:p>
      <w:pPr>
        <w:pStyle w:val="Heading2"/>
      </w:pPr>
      <w:r>
        <w:t>Purpose and recommended direction</w:t>
      </w:r>
    </w:p>
    <w:p>
      <w:r>
        <w:t>Build a multi tenant application for small service businesses to collect receipts, approve expenses, record supplier bills and customer invoices, track payments, and produce reliable accounting reports. AI helps read documents and explain recorded information. People remain responsible for financial decisions.</w:t>
      </w:r>
    </w:p>
    <w:p>
      <w:r>
        <w:t>The recommended first release uses one legal entity per organization, LKR as the only currency, accrual accounting, a double entry ledger, human reviewed OCR, and PayHere for the SaaS subscription. This is a proposed starting point, not a record of decisions already made by you.</w:t>
      </w:r>
    </w:p>
    <w:p>
      <w:pPr>
        <w:pStyle w:val="Heading2"/>
      </w:pPr>
      <w:r>
        <w:t>How to use this document</w:t>
      </w:r>
    </w:p>
    <w:p>
      <w:r>
        <w:t>Read the accounting concepts first. Then review the rules and examples with a business owner or accountant. Resolve the decision register before asking Codex to implement the affected modules. Every BR identifier can become an acceptance criterion, a validation rule, and a meaningful automated test.</w:t>
      </w:r>
    </w:p>
    <w:p>
      <w:pPr>
        <w:pStyle w:val="Heading2"/>
      </w:pPr>
      <w:r>
        <w:t>Contents</w:t>
      </w:r>
    </w:p>
    <w:tbl>
      <w:tblPr>
        <w:tblW w:type="auto" w:w="0"/>
        <w:tblLayout w:type="fixed"/>
        <w:tblLook w:firstColumn="1" w:firstRow="1" w:lastColumn="0" w:lastRow="0" w:noHBand="0" w:noVBand="1" w:val="04A0"/>
      </w:tblPr>
      <w:tblGrid>
        <w:gridCol w:w="1152"/>
        <w:gridCol w:w="8784"/>
      </w:tblGrid>
      <w:tr>
        <w:trPr>
          <w:tblHeader/>
        </w:trPr>
        <w:tc>
          <w:tcPr>
            <w:tcW w:type="dxa" w:w="1152"/>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Pages</w:t>
            </w:r>
          </w:p>
        </w:tc>
        <w:tc>
          <w:tcPr>
            <w:tcW w:type="dxa" w:w="8784"/>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Topics</w:t>
            </w:r>
          </w:p>
        </w:tc>
      </w:tr>
      <w:tr>
        <w:tc>
          <w:tcPr>
            <w:tcW w:type="dxa" w:w="11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2–4</w:t>
            </w:r>
          </w:p>
        </w:tc>
        <w:tc>
          <w:tcPr>
            <w:tcW w:type="dxa" w:w="87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Business scope, accounting foundations, and roles</w:t>
            </w:r>
          </w:p>
        </w:tc>
      </w:tr>
      <w:tr>
        <w:tc>
          <w:tcPr>
            <w:tcW w:type="dxa" w:w="115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5–8</w:t>
            </w:r>
          </w:p>
        </w:tc>
        <w:tc>
          <w:tcPr>
            <w:tcW w:type="dxa" w:w="878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Documents, expenses, approvals, bills, invoices, and payments</w:t>
            </w:r>
          </w:p>
        </w:tc>
      </w:tr>
      <w:tr>
        <w:tc>
          <w:tcPr>
            <w:tcW w:type="dxa" w:w="11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9–12</w:t>
            </w:r>
          </w:p>
        </w:tc>
        <w:tc>
          <w:tcPr>
            <w:tcW w:type="dxa" w:w="87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Ledger, reconciliation, budgets, reports, AI, and SaaS billing</w:t>
            </w:r>
          </w:p>
        </w:tc>
      </w:tr>
      <w:tr>
        <w:tc>
          <w:tcPr>
            <w:tcW w:type="dxa" w:w="115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13–16</w:t>
            </w:r>
          </w:p>
        </w:tc>
        <w:tc>
          <w:tcPr>
            <w:tcW w:type="dxa" w:w="878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Tax and privacy, entities, examples, and acceptance scenarios</w:t>
            </w:r>
          </w:p>
        </w:tc>
      </w:tr>
      <w:tr>
        <w:tc>
          <w:tcPr>
            <w:tcW w:type="dxa" w:w="11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17–18</w:t>
            </w:r>
          </w:p>
        </w:tc>
        <w:tc>
          <w:tcPr>
            <w:tcW w:type="dxa" w:w="87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Major decisions, learning checklist, delivery gates, and references</w:t>
            </w:r>
          </w:p>
        </w:tc>
      </w:tr>
    </w:tbl>
    <w:p>
      <w:pPr>
        <w:spacing w:after="0"/>
      </w:pPr>
    </w:p>
    <w:p>
      <w:r>
        <w:t>Status: proposed business specification. Policy numbers, limits, and thresholds are illustrative product choices. Legal requirements and payment provider behavior are identified separately. The application is an interview prototype until its operational and compliance gates are satisfied.</w:t>
      </w:r>
    </w:p>
    <w:p>
      <w:r>
        <w:br w:type="page"/>
      </w:r>
    </w:p>
    <w:p>
      <w:pPr>
        <w:pStyle w:val="Heading1"/>
      </w:pPr>
      <w:r>
        <w:t>02  Business model and scope</w:t>
      </w:r>
    </w:p>
    <w:p>
      <w:pPr>
        <w:pStyle w:val="Heading2"/>
      </w:pPr>
      <w:r>
        <w:t>The business problem</w:t>
      </w:r>
    </w:p>
    <w:p>
      <w:r>
        <w:t>A small software agency receives supplier invoices by email, employees pay for travel or software, and managers approve spending through messages. The owner cannot easily see unpaid bills, outstanding customer invoices, or whether the business is profitable. This application joins those records into one traceable workflow.</w:t>
      </w:r>
    </w:p>
    <w:p>
      <w:pPr>
        <w:pStyle w:val="Heading2"/>
      </w:pPr>
      <w:r>
        <w:t>Who buys and who uses it</w:t>
      </w:r>
    </w:p>
    <w:p>
      <w:r>
        <w:t>The agency is the tenant and pays the SaaS provider for access. Its employees submit claims; managers authorize spending; finance staff record accounts and payments; the owner reviews reports. The tenant’s suppliers and customers are counterparties, not SaaS subscribers.</w:t>
      </w:r>
    </w:p>
    <w:p>
      <w:pPr>
        <w:pStyle w:val="Heading2"/>
      </w:pPr>
      <w:r>
        <w:t>First release boundaries</w:t>
      </w:r>
    </w:p>
    <w:tbl>
      <w:tblPr>
        <w:tblW w:type="auto" w:w="0"/>
        <w:tblLayout w:type="fixed"/>
        <w:tblLook w:firstColumn="1" w:firstRow="1" w:lastColumn="0" w:lastRow="0" w:noHBand="0" w:noVBand="1" w:val="04A0"/>
      </w:tblPr>
      <w:tblGrid>
        <w:gridCol w:w="4968"/>
        <w:gridCol w:w="4968"/>
      </w:tblGrid>
      <w:tr>
        <w:trPr>
          <w:tblHeader/>
        </w:trPr>
        <w:tc>
          <w:tcPr>
            <w:tcW w:type="dxa" w:w="4968"/>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Include in first release</w:t>
            </w:r>
          </w:p>
        </w:tc>
        <w:tc>
          <w:tcPr>
            <w:tcW w:type="dxa" w:w="4968"/>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Defer to a later release</w:t>
            </w:r>
          </w:p>
        </w:tc>
      </w:tr>
      <w:tr>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Organizations, memberships, roles, chart of accounts</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Multiple legal entities and consolidation</w:t>
            </w:r>
          </w:p>
        </w:tc>
      </w:tr>
      <w:tr>
        <w:tc>
          <w:tcPr>
            <w:tcW w:type="dxa" w:w="4968"/>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Receipts, OCR, claims, approval and reimbursements</w:t>
            </w:r>
          </w:p>
        </w:tc>
        <w:tc>
          <w:tcPr>
            <w:tcW w:type="dxa" w:w="4968"/>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Employee advances, mileage and per diem engines</w:t>
            </w:r>
          </w:p>
        </w:tc>
      </w:tr>
      <w:tr>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Supplier bills, customer invoices, credit notes</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Purchasing, inventory, payroll and fixed asset register</w:t>
            </w:r>
          </w:p>
        </w:tc>
      </w:tr>
      <w:tr>
        <w:tc>
          <w:tcPr>
            <w:tcW w:type="dxa" w:w="4968"/>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Manual cash and bank payment records, CSV reconciliation</w:t>
            </w:r>
          </w:p>
        </w:tc>
        <w:tc>
          <w:tcPr>
            <w:tcW w:type="dxa" w:w="4968"/>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Bank API connections and automated payouts</w:t>
            </w:r>
          </w:p>
        </w:tc>
      </w:tr>
      <w:tr>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Ledger, trial balance, profit and loss, balance sheet</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Statutory accounts, tax filing and certified compliance</w:t>
            </w:r>
          </w:p>
        </w:tc>
      </w:tr>
      <w:tr>
        <w:tc>
          <w:tcPr>
            <w:tcW w:type="dxa" w:w="4968"/>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AI suggestions and source linked document questions</w:t>
            </w:r>
          </w:p>
        </w:tc>
        <w:tc>
          <w:tcPr>
            <w:tcW w:type="dxa" w:w="4968"/>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Autonomous posting or autonomous money transfers</w:t>
            </w:r>
          </w:p>
        </w:tc>
      </w:tr>
      <w:tr>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PayHere subscription checkout and entitlement rules</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Customer invoice collection through tenant merchants</w:t>
            </w:r>
          </w:p>
        </w:tc>
      </w:tr>
    </w:tbl>
    <w:p>
      <w:pPr>
        <w:spacing w:after="0"/>
      </w:pPr>
    </w:p>
    <w:p>
      <w:pPr>
        <w:pStyle w:val="Heading2"/>
      </w:pPr>
      <w:r>
        <w:t>BR01  Organization boundaries</w:t>
      </w:r>
    </w:p>
    <w:p>
      <w:r>
        <w:t>One organization represents one legal entity and one set of books. A user may belong to several organizations, but must actively select one. Every financial record, document, report, export and AI retrieval belongs to that organization.</w:t>
      </w:r>
    </w:p>
    <w:p>
      <w:pPr>
        <w:pStyle w:val="Heading2"/>
      </w:pPr>
      <w:r>
        <w:t>BR02  Two separate money flows</w:t>
      </w:r>
    </w:p>
    <w:p>
      <w:r>
        <w:t>SaaS subscription payments go from the tenant to the SaaS provider. Business payments go between the tenant and its customers, suppliers or employees. A subscription checkout must never settle a tenant’s supplier bill. Do not collect tenant customer money under the provider’s merchant account without a separately validated payment and settlement arrangement.</w:t>
      </w:r>
    </w:p>
    <w:p>
      <w:r>
        <w:br w:type="page"/>
      </w:r>
    </w:p>
    <w:p>
      <w:pPr>
        <w:pStyle w:val="Heading1"/>
      </w:pPr>
      <w:r>
        <w:t>03  Accounting concepts to learn first</w:t>
      </w:r>
    </w:p>
    <w:tbl>
      <w:tblPr>
        <w:tblW w:type="auto" w:w="0"/>
        <w:tblLayout w:type="fixed"/>
        <w:tblLook w:firstColumn="1" w:firstRow="1" w:lastColumn="0" w:lastRow="0" w:noHBand="0" w:noVBand="1" w:val="04A0"/>
      </w:tblPr>
      <w:tblGrid>
        <w:gridCol w:w="2160"/>
        <w:gridCol w:w="7776"/>
      </w:tblGrid>
      <w:tr>
        <w:trPr>
          <w:tblHeader/>
        </w:trPr>
        <w:tc>
          <w:tcPr>
            <w:tcW w:type="dxa" w:w="216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Concept</w:t>
            </w:r>
          </w:p>
        </w:tc>
        <w:tc>
          <w:tcPr>
            <w:tcW w:type="dxa" w:w="7776"/>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Meaning and effect on the application</w:t>
            </w:r>
          </w:p>
        </w:tc>
      </w:tr>
      <w:t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Expense versus payment</w:t>
            </w:r>
          </w:p>
        </w:tc>
        <w:tc>
          <w:tcPr>
            <w:tcW w:type="dxa" w:w="77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An expense records consumption or cost. A payment moves cash. They can occur on different dates.</w:t>
            </w:r>
          </w:p>
        </w:tc>
      </w:tr>
      <w:tr>
        <w:tc>
          <w:tcPr>
            <w:tcW w:type="dxa" w:w="2160"/>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Accrual accounting</w:t>
            </w:r>
          </w:p>
        </w:tc>
        <w:tc>
          <w:tcPr>
            <w:tcW w:type="dxa" w:w="7776"/>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Recognize revenue when earned and costs when incurred under the chosen policy, rather than only when cash moves.</w:t>
            </w:r>
          </w:p>
        </w:tc>
      </w:tr>
      <w:t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Assets and liabilities</w:t>
            </w:r>
          </w:p>
        </w:tc>
        <w:tc>
          <w:tcPr>
            <w:tcW w:type="dxa" w:w="77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Assets include cash and receivables. Liabilities include supplier bills and amounts owed to employees.</w:t>
            </w:r>
          </w:p>
        </w:tc>
      </w:tr>
      <w:tr>
        <w:tc>
          <w:tcPr>
            <w:tcW w:type="dxa" w:w="2160"/>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Equity</w:t>
            </w:r>
          </w:p>
        </w:tc>
        <w:tc>
          <w:tcPr>
            <w:tcW w:type="dxa" w:w="7776"/>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The owner’s residual interest. Assets = liabilities + equity; current profit contributes to equity.</w:t>
            </w:r>
          </w:p>
        </w:tc>
      </w:tr>
      <w:t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Receivable and payable</w:t>
            </w:r>
          </w:p>
        </w:tc>
        <w:tc>
          <w:tcPr>
            <w:tcW w:type="dxa" w:w="77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Accounts receivable is customer debt to the business. Accounts payable is business debt to suppliers.</w:t>
            </w:r>
          </w:p>
        </w:tc>
      </w:tr>
      <w:tr>
        <w:tc>
          <w:tcPr>
            <w:tcW w:type="dxa" w:w="2160"/>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Debit and credit</w:t>
            </w:r>
          </w:p>
        </w:tc>
        <w:tc>
          <w:tcPr>
            <w:tcW w:type="dxa" w:w="7776"/>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Two sides of a journal. Debits normally increase assets and expenses; credits normally increase liabilities, equity and revenue.</w:t>
            </w:r>
          </w:p>
        </w:tc>
      </w:tr>
      <w:t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Chart of accounts</w:t>
            </w:r>
          </w:p>
        </w:tc>
        <w:tc>
          <w:tcPr>
            <w:tcW w:type="dxa" w:w="77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Named accounts with codes, types and report mappings. A category must map to an account before posting.</w:t>
            </w:r>
          </w:p>
        </w:tc>
      </w:tr>
      <w:tr>
        <w:tc>
          <w:tcPr>
            <w:tcW w:type="dxa" w:w="2160"/>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Journal and general ledger</w:t>
            </w:r>
          </w:p>
        </w:tc>
        <w:tc>
          <w:tcPr>
            <w:tcW w:type="dxa" w:w="7776"/>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A journal is a balanced transaction; the ledger is the collection of postings grouped by account.</w:t>
            </w:r>
          </w:p>
        </w:tc>
      </w:tr>
      <w:t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Profit versus cash</w:t>
            </w:r>
          </w:p>
        </w:tc>
        <w:tc>
          <w:tcPr>
            <w:tcW w:type="dxa" w:w="77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A profitable business can have little cash because customers have not paid. A loan increases cash without creating sales revenue.</w:t>
            </w:r>
          </w:p>
        </w:tc>
      </w:tr>
      <w:tr>
        <w:tc>
          <w:tcPr>
            <w:tcW w:type="dxa" w:w="2160"/>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Tax and credit notes</w:t>
            </w:r>
          </w:p>
        </w:tc>
        <w:tc>
          <w:tcPr>
            <w:tcW w:type="dxa" w:w="7776"/>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Recoverable tax can be an asset; nonrecoverable tax can form part of the cost. A credit note reduces an existing bill or invoice.</w:t>
            </w:r>
          </w:p>
        </w:tc>
      </w:tr>
    </w:tbl>
    <w:p>
      <w:pPr>
        <w:spacing w:after="0"/>
      </w:pPr>
    </w:p>
    <w:p>
      <w:pPr>
        <w:pStyle w:val="Heading2"/>
      </w:pPr>
      <w:r>
        <w:t>BR03  Money and dates</w:t>
      </w:r>
    </w:p>
    <w:p>
      <w:r>
        <w:t>Use exact decimal money, not binary floating point. Proposed LKR amounts have two decimal places; calculations retain additional precision until the documented rounding step. Store business dates separately from UTC audit timestamps. Display business dates in Asia/Colombo and keep the tenant’s fiscal year configurable.</w:t>
      </w:r>
    </w:p>
    <w:p>
      <w:pPr>
        <w:pStyle w:val="Heading2"/>
      </w:pPr>
      <w:r>
        <w:t>BR04  Cost classification</w:t>
      </w:r>
    </w:p>
    <w:p>
      <w:r>
        <w:t>Buying a laptop is not automatically an office expense; it may be a capital asset under the business policy. Annual subscriptions may require prepaid expense treatment. For the first release, finance may use controlled manual journals for these cases; automated depreciation and amortization are deferred.</w:t>
      </w:r>
    </w:p>
    <w:p>
      <w:r>
        <w:t>Learning exercise: explain why a LKR 20,000 unpaid bill affects expenses and payables today, while paying it next month reduces cash and payables without recording the expense again.</w:t>
      </w:r>
    </w:p>
    <w:p>
      <w:r>
        <w:br w:type="page"/>
      </w:r>
    </w:p>
    <w:p>
      <w:pPr>
        <w:pStyle w:val="Heading1"/>
      </w:pPr>
      <w:r>
        <w:t>04  Roles and organization rules</w:t>
      </w:r>
    </w:p>
    <w:tbl>
      <w:tblPr>
        <w:tblW w:type="auto" w:w="0"/>
        <w:tblLayout w:type="fixed"/>
        <w:tblLook w:firstColumn="1" w:firstRow="1" w:lastColumn="0" w:lastRow="0" w:noHBand="0" w:noVBand="1" w:val="04A0"/>
      </w:tblPr>
      <w:tblGrid>
        <w:gridCol w:w="1944"/>
        <w:gridCol w:w="4752"/>
        <w:gridCol w:w="3240"/>
      </w:tblGrid>
      <w:tr>
        <w:trPr>
          <w:tblHeader/>
        </w:trPr>
        <w:tc>
          <w:tcPr>
            <w:tcW w:type="dxa" w:w="1944"/>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Role</w:t>
            </w:r>
          </w:p>
        </w:tc>
        <w:tc>
          <w:tcPr>
            <w:tcW w:type="dxa" w:w="4752"/>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Allowed responsibilities</w:t>
            </w:r>
          </w:p>
        </w:tc>
        <w:tc>
          <w:tcPr>
            <w:tcW w:type="dxa" w:w="324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Restriction</w:t>
            </w:r>
          </w:p>
        </w:tc>
      </w:tr>
      <w:t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Owner or administrator</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Organization setup, invitations, policy and billing</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Administration alone does not grant posting or payment permission</w:t>
            </w:r>
          </w:p>
        </w:tc>
      </w:tr>
      <w:tr>
        <w:tc>
          <w:tcPr>
            <w:tcW w:type="dxa" w:w="194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Employee</w:t>
            </w:r>
          </w:p>
        </w:tc>
        <w:tc>
          <w:tcPr>
            <w:tcW w:type="dxa" w:w="475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Upload receipts, submit and track own claims</w:t>
            </w:r>
          </w:p>
        </w:tc>
        <w:tc>
          <w:tcPr>
            <w:tcW w:type="dxa" w:w="3240"/>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Cannot view other employees’ private claims by default</w:t>
            </w:r>
          </w:p>
        </w:tc>
      </w:tr>
      <w:t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Manager or approver</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Review assigned claims and approve within authority</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Cannot approve own claims or record payments by default</w:t>
            </w:r>
          </w:p>
        </w:tc>
      </w:tr>
      <w:tr>
        <w:tc>
          <w:tcPr>
            <w:tcW w:type="dxa" w:w="194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Accountant or finance</w:t>
            </w:r>
          </w:p>
        </w:tc>
        <w:tc>
          <w:tcPr>
            <w:tcW w:type="dxa" w:w="475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Validate, post, allocate payments, reconcile and close periods</w:t>
            </w:r>
          </w:p>
        </w:tc>
        <w:tc>
          <w:tcPr>
            <w:tcW w:type="dxa" w:w="3240"/>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Cannot bypass locked periods or edit posted amounts</w:t>
            </w:r>
          </w:p>
        </w:tc>
      </w:tr>
      <w:t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Auditor</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Read financial history and authorized evidence; export</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Cannot approve, post or change data</w:t>
            </w:r>
          </w:p>
        </w:tc>
      </w:tr>
      <w:tr>
        <w:tc>
          <w:tcPr>
            <w:tcW w:type="dxa" w:w="194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Platform operator</w:t>
            </w:r>
          </w:p>
        </w:tc>
        <w:tc>
          <w:tcPr>
            <w:tcW w:type="dxa" w:w="475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Maintain service and tenant metadata</w:t>
            </w:r>
          </w:p>
        </w:tc>
        <w:tc>
          <w:tcPr>
            <w:tcW w:type="dxa" w:w="3240"/>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No routine access to tenant financial documents</w:t>
            </w:r>
          </w:p>
        </w:tc>
      </w:tr>
    </w:tbl>
    <w:p>
      <w:pPr>
        <w:spacing w:after="0"/>
      </w:pPr>
    </w:p>
    <w:p>
      <w:pPr>
        <w:pStyle w:val="Heading2"/>
      </w:pPr>
      <w:r>
        <w:t>BR05  Membership and authority</w:t>
      </w:r>
    </w:p>
    <w:p>
      <w:r>
        <w:t>Authorize against active membership, role permissions, document ownership and approval assignment on every request. The backend determines organization access; an organization ID sent by a browser is not proof of access. Removing a member immediately removes access but preserves their historical attribution.</w:t>
      </w:r>
    </w:p>
    <w:p>
      <w:pPr>
        <w:pStyle w:val="Heading2"/>
      </w:pPr>
      <w:r>
        <w:t>BR06  Separation of duties</w:t>
      </w:r>
    </w:p>
    <w:p>
      <w:r>
        <w:t>Roles may be combined in a small organization, but self approval remains prohibited. An owner’s claim requires another authorized approver. If no approver exists, submission can be saved but approval is blocked until another member is appointed. Never silently auto approve it.</w:t>
      </w:r>
    </w:p>
    <w:p>
      <w:pPr>
        <w:pStyle w:val="Heading2"/>
      </w:pPr>
      <w:r>
        <w:t>BR07  Master data and setup</w:t>
      </w:r>
    </w:p>
    <w:p>
      <w:r>
        <w:t>Required setup: legal name, country, base currency, fiscal year, chart of accounts, tax status, cash and bank accounts, categories, departments, approvers and billing contact. Archive used accounts or vendors instead of deleting them. Prevent posting to inactive accounts; preserve old references and names through snapshots.</w:t>
      </w:r>
    </w:p>
    <w:p>
      <w:pPr>
        <w:pStyle w:val="Heading2"/>
      </w:pPr>
      <w:r>
        <w:t>BR08  Account and identity changes</w:t>
      </w:r>
    </w:p>
    <w:p>
      <w:r>
        <w:t>Invitations expire and are single use. Never accept a role supplied by the invited user. Changes to supplier or employee bank details require an audit event and finance review before new payment records use them. A suspended organization keeps historical records and export access according to the subscription policy.</w:t>
      </w:r>
    </w:p>
    <w:p>
      <w:r>
        <w:br w:type="page"/>
      </w:r>
    </w:p>
    <w:p>
      <w:pPr>
        <w:pStyle w:val="Heading1"/>
      </w:pPr>
      <w:r>
        <w:t>05  Documents and OCR processing</w:t>
      </w:r>
    </w:p>
    <w:p>
      <w:pPr>
        <w:pStyle w:val="Heading2"/>
      </w:pPr>
      <w:r>
        <w:t>BR09  Document lifecycle</w:t>
      </w:r>
    </w:p>
    <w:p>
      <w:r>
        <w:t>Uploaded → quarantine and validation → queued → extracting → review required → verified, or failed. These states describe processing, not expense approval. Supported first release formats are JPEG, PNG and PDF. Proposed limits are 10 MB per file and 20 pages per PDF; reject encrypted PDFs with a clear message rather than attempting to bypass protection.</w:t>
      </w:r>
    </w:p>
    <w:p>
      <w:pPr>
        <w:pStyle w:val="Heading2"/>
      </w:pPr>
      <w:r>
        <w:t>BR10  Original evidence and extraction</w:t>
      </w:r>
    </w:p>
    <w:p>
      <w:r>
        <w:t>Keep the original file immutable and private. Create separate extraction runs and reviewed values. Extract supplier name, invoice number, invoice date, currency, subtotal, tax, total and line items when present. Preserve raw text, page references, provider and model version, confidence where supplied, and reviewer corrections. OCR output never directly becomes a posted transaction.</w:t>
      </w:r>
    </w:p>
    <w:p>
      <w:pPr>
        <w:pStyle w:val="Heading2"/>
      </w:pPr>
      <w:r>
        <w:t>BR11  Validation and duplicates</w:t>
      </w:r>
    </w:p>
    <w:p>
      <w:r>
        <w:t>Validate file signatures, page limits and malware status before sending a file to a provider. Check exact file hashes within the tenant and flag likely business duplicates using normalized supplier, document number, date and amount. An identical receipt cannot be reimbursed through two claims. Similar documents produce a warning that finance can resolve with a recorded reason.</w:t>
      </w:r>
    </w:p>
    <w:p>
      <w:pPr>
        <w:pStyle w:val="Heading2"/>
      </w:pPr>
      <w:r>
        <w:t>BR12  Human review rules</w:t>
      </w:r>
    </w:p>
    <w:p>
      <w:r>
        <w:t>Require a person to confirm the supplier, date, currency, totals, tax treatment and account category for every first release document. Missing or inconsistent critical fields block submission. Any later confidence based automation needs its own evaluated dataset and explicit decision; confidence scores from different providers are not interchangeable.</w:t>
      </w:r>
    </w:p>
    <w:p>
      <w:pPr>
        <w:pStyle w:val="Heading2"/>
      </w:pPr>
      <w:r>
        <w:t>BR13  Arithmetic and failures</w:t>
      </w:r>
    </w:p>
    <w:p>
      <w:r>
        <w:t>Compare extracted totals with recalculated line values. A proposed tolerance of LKR 0.01 accommodates rounding only; larger differences require correction or a documented adjustment. Failed extraction can retry up to three attempts with backoff, then enter manual review. A retry creates an extraction version, not another expense.</w:t>
      </w:r>
    </w:p>
    <w:p>
      <w:pPr>
        <w:pStyle w:val="Heading2"/>
      </w:pPr>
      <w:r>
        <w:t>BR14  Ownership and quotas</w:t>
      </w:r>
    </w:p>
    <w:p>
      <w:r>
        <w:t>Store one bill per reviewable business record; one file may support several records through explicit page references. Count OCR usage by pages actually processed, with a unique job identity to avoid double charging retries. Deleting a draft does not erase the usage already consumed or evidence attached to a posted record.</w:t>
      </w:r>
    </w:p>
    <w:p>
      <w:r>
        <w:br w:type="page"/>
      </w:r>
    </w:p>
    <w:p>
      <w:pPr>
        <w:pStyle w:val="Heading1"/>
      </w:pPr>
      <w:r>
        <w:t>06  Expenses approvals and reimbursement</w:t>
      </w:r>
    </w:p>
    <w:p>
      <w:pPr>
        <w:pStyle w:val="Heading2"/>
      </w:pPr>
      <w:r>
        <w:t>BR15  Identify who paid</w:t>
      </w:r>
    </w:p>
    <w:p>
      <w:r>
        <w:t>An employee paid expense creates a reimbursement obligation after approval and posting. A company paid expense records company cash, bank or card settlement and creates no employee reimbursement. An unpaid supplier invoice belongs in bills. A receipt linked to an existing bill is evidence for that bill, not a second expense.</w:t>
      </w:r>
    </w:p>
    <w:p>
      <w:pPr>
        <w:pStyle w:val="Heading2"/>
      </w:pPr>
      <w:r>
        <w:t>BR16  Claim lifecycle</w:t>
      </w:r>
    </w:p>
    <w:p>
      <w:r>
        <w:t>Draft → submitted → under review → approved or rejected. A rejected claim can be revised as a new version and resubmitted. A submitter can withdraw a pending claim before approval. Financial posting and reimbursement statuses are tracked separately: unposted or posted; unpaid, partially reimbursed or reimbursed.</w:t>
      </w:r>
    </w:p>
    <w:p>
      <w:pPr>
        <w:pStyle w:val="Heading2"/>
      </w:pPr>
      <w:r>
        <w:t>BR17  Required fields and policies</w:t>
      </w:r>
    </w:p>
    <w:p>
      <w:r>
        <w:t>Require claimant, business purpose, expense date, payer type, category, amount, currency, department and receipt. A missing receipt requires a signed declaration and finance exception before submission. Personal expenses are rejected. Mixed receipts must separate the business eligible amount from personal costs; only eligible costs enter the business ledger.</w:t>
      </w:r>
    </w:p>
    <w:p>
      <w:pPr>
        <w:pStyle w:val="Heading2"/>
      </w:pPr>
      <w:r>
        <w:t>BR18  Approval routing</w:t>
      </w:r>
    </w:p>
    <w:p>
      <w:r>
        <w:t>Proposed policy: claims up to LKR 25,000 require one assigned manager; larger claims require manager and finance approvals in sequence. Route on the complete claim total, not individual lines. Finance resolves missing approvers or conflicts. Delegations have start and end dates and cannot allow self approval. There is no automatic approval on timeout.</w:t>
      </w:r>
    </w:p>
    <w:p>
      <w:pPr>
        <w:pStyle w:val="Heading2"/>
      </w:pPr>
      <w:r>
        <w:t>BR19  Freeze reviewed values</w:t>
      </w:r>
    </w:p>
    <w:p>
      <w:r>
        <w:t>Snapshot the policy version and claim values at submission. Changes to amount, category, department, receipt or tax reset approvals. Each decision records actor, timestamp, version and reason; rejection requires a reason. Two concurrent decisions use a version check so only a valid transition succeeds.</w:t>
      </w:r>
    </w:p>
    <w:p>
      <w:pPr>
        <w:pStyle w:val="Heading2"/>
      </w:pPr>
      <w:r>
        <w:t>BR20  Reimbursement</w:t>
      </w:r>
    </w:p>
    <w:p>
      <w:r>
        <w:t>Approval authorizes the claim; finance posting creates the employee payable. Finance records a reimbursement only after confirming an actual transfer or cash payment, with date, account and reference. Support partial reimbursement and prohibit amounts above the payable balance. Employee advances are deferred, so advance funded claims are blocked in the first release.</w:t>
      </w:r>
    </w:p>
    <w:p>
      <w:r>
        <w:br w:type="page"/>
      </w:r>
    </w:p>
    <w:p>
      <w:pPr>
        <w:pStyle w:val="Heading1"/>
      </w:pPr>
      <w:r>
        <w:t>07  Supplier bills and customer invoices</w:t>
      </w:r>
    </w:p>
    <w:p>
      <w:pPr>
        <w:pStyle w:val="Heading2"/>
      </w:pPr>
      <w:r>
        <w:t>BR21  Supplier bills</w:t>
      </w:r>
    </w:p>
    <w:p>
      <w:r>
        <w:t>A bill needs supplier, supplier invoice number, issue and due dates, currency, lines, expense or asset accounts, tax treatment and evidence. Draft → validated → approved for posting → posted. Posting creates a supplier payable. Payment state is derived from allocations and credit notes, not an editable checkbox. A unique supplier invoice number within the tenant warns or blocks duplicates according to finance review.</w:t>
      </w:r>
    </w:p>
    <w:p>
      <w:pPr>
        <w:pStyle w:val="Heading2"/>
      </w:pPr>
      <w:r>
        <w:t>BR22  Customer invoices</w:t>
      </w:r>
    </w:p>
    <w:p>
      <w:r>
        <w:t>A customer invoice needs customer details, issue and due dates, service description, quantity, unit price, discount, tax and total. Draft → finalized and posted → sent. Sending status is separate from posting. For the first release, posting an ordinary service invoice recognizes revenue when the service has been delivered; advance invoices need finance review and a deferred revenue journal.</w:t>
      </w:r>
    </w:p>
    <w:p>
      <w:pPr>
        <w:pStyle w:val="Heading2"/>
      </w:pPr>
      <w:r>
        <w:t>BR23  Numbering and snapshots</w:t>
      </w:r>
    </w:p>
    <w:p>
      <w:r>
        <w:t>Assign unique tenant scoped numbers atomically at finalization, with configurable prefixes such as INV and CRN. Never reuse an issued number. Preserve customer or supplier details, prices and tax rules as transaction snapshots so a later master data change does not rewrite an old invoice. Record any reserved but unused number in the audit history.</w:t>
      </w:r>
    </w:p>
    <w:p>
      <w:pPr>
        <w:pStyle w:val="Heading2"/>
      </w:pPr>
      <w:r>
        <w:t>BR24  Credits and corrections</w:t>
      </w:r>
    </w:p>
    <w:p>
      <w:r>
        <w:t>Delete only drafts with no financial effect. Correct a posted invoice or bill through a linked credit note and, where needed, a replacement document. Credits cannot exceed the remaining creditable amount of the original lines. Tax reversals follow the original tax treatment. An already paid invoice can create customer credit; recording a refund is a separate money movement.</w:t>
      </w:r>
    </w:p>
    <w:p>
      <w:pPr>
        <w:pStyle w:val="Heading2"/>
      </w:pPr>
      <w:r>
        <w:t>BR25  Dates and outstanding amounts</w:t>
      </w:r>
    </w:p>
    <w:p>
      <w:r>
        <w:t>Due date must not precede issue date. Overdue means a positive outstanding amount after the due date in the tenant’s timezone; overdue is derived. Support partial payments and allocate explicitly to documents. Unallocated receipts become customer credit; unallocated supplier payments become advances, requiring finance authorization.</w:t>
      </w:r>
    </w:p>
    <w:p>
      <w:r>
        <w:t>First release online collections are deferred. Users can still record genuine customer receipts and supplier transfers manually with evidence and account references.</w:t>
      </w:r>
    </w:p>
    <w:p>
      <w:r>
        <w:br w:type="page"/>
      </w:r>
    </w:p>
    <w:p>
      <w:pPr>
        <w:pStyle w:val="Heading1"/>
      </w:pPr>
      <w:r>
        <w:t>08  Payments refunds and settlement</w:t>
      </w:r>
    </w:p>
    <w:p>
      <w:pPr>
        <w:pStyle w:val="Heading2"/>
      </w:pPr>
      <w:r>
        <w:t>BR26  Recording a payment</w:t>
      </w:r>
    </w:p>
    <w:p>
      <w:r>
        <w:t>A payment record captures payer or payee, direction, method, source or destination account, value date, currency, amount and external reference. Require confirmed settlement evidence for bank transfer entries. Pending requests do not reduce receivables or payables. Cash payments require a cash account and receipt reference. Card liability accounting requires a dedicated liability account if company cards are supported.</w:t>
      </w:r>
    </w:p>
    <w:p>
      <w:pPr>
        <w:pStyle w:val="Heading2"/>
      </w:pPr>
      <w:r>
        <w:t>BR27  Allocation constraints</w:t>
      </w:r>
    </w:p>
    <w:p>
      <w:r>
        <w:t>For each confirmed payment, total allocations cannot exceed its available amount. An allocation cannot exceed the document’s remaining balance; overpayments stay as credit or advance. A transaction may allocate one payment across several documents. Payment confirmation, ledger posting and allocation changes succeed together or roll back together.</w:t>
      </w:r>
    </w:p>
    <w:p>
      <w:pPr>
        <w:pStyle w:val="Heading2"/>
      </w:pPr>
      <w:r>
        <w:t>BR28  Refunds and reversals</w:t>
      </w:r>
    </w:p>
    <w:p>
      <w:r>
        <w:t>A refund is an outgoing payment to a customer or an incoming repayment from a supplier or employee. It must reference an eligible credit or repayment obligation. Record partial refunds and prevent cumulative refunds above the refundable amount. A recorded refund request is not proof that money moved. Reverse incorrect payment entries with linked correcting entries; preserve the original.</w:t>
      </w:r>
    </w:p>
    <w:p>
      <w:pPr>
        <w:pStyle w:val="Heading2"/>
      </w:pPr>
      <w:r>
        <w:t>BR29  Gateway settlement accounting</w:t>
      </w:r>
    </w:p>
    <w:p>
      <w:r>
        <w:t>In a later tenant collections feature, a successful gateway payment is recorded to a gateway clearing asset account. The bank payout reduces clearing and increases bank; fees are recorded separately. A LKR 10,000 collection with a LKR 300 fee produces LKR 9,700 bank cash, not LKR 9,700 sales. Success, bank payout, fee, refund and chargeback have different financial meanings.</w:t>
      </w:r>
    </w:p>
    <w:p>
      <w:pPr>
        <w:pStyle w:val="Heading2"/>
      </w:pPr>
      <w:r>
        <w:t>BR30  Idempotency and concurrency</w:t>
      </w:r>
    </w:p>
    <w:p>
      <w:r>
        <w:t>Posting, allocation, payment confirmation and refund operations require an idempotency key or unique source identity. A repeated identical request returns its previous result. A reused key with different content is rejected. Lock or version check balances while allocating so two simultaneous requests cannot both spend the same available amount.</w:t>
      </w:r>
    </w:p>
    <w:p>
      <w:pPr>
        <w:pStyle w:val="Heading2"/>
      </w:pPr>
      <w:r>
        <w:t>BR31  Fraud and mistakes</w:t>
      </w:r>
    </w:p>
    <w:p>
      <w:r>
        <w:t>Flag reused references, unexpected payee changes and unusually large payments for finance review. A warning cannot prove fraud. Preserve the reason when finance clears a warning. Reports distinguish confirmed, pending, reversed and reconciled payments rather than assuming every entry equals verified bank cash.</w:t>
      </w:r>
    </w:p>
    <w:p>
      <w:r>
        <w:br w:type="page"/>
      </w:r>
    </w:p>
    <w:p>
      <w:pPr>
        <w:pStyle w:val="Heading1"/>
      </w:pPr>
      <w:r>
        <w:t>09  Ledger and period close</w:t>
      </w:r>
    </w:p>
    <w:p>
      <w:pPr>
        <w:pStyle w:val="Heading2"/>
      </w:pPr>
      <w:r>
        <w:t>BR32  Posting invariants</w:t>
      </w:r>
    </w:p>
    <w:p>
      <w:r>
        <w:t>Each posted journal has at least two lines, valid active accounts, one currency in the first release, a business date, source reference and an actor. Each line has either a positive debit or a positive credit. Total debits equal total credits exactly after rounding. The journal and all lines commit atomically. One business event creates at most one posting of a given type.</w:t>
      </w:r>
    </w:p>
    <w:p>
      <w:pPr>
        <w:pStyle w:val="Heading2"/>
      </w:pPr>
      <w:r>
        <w:t>BR33  Example postings without tax</w:t>
      </w:r>
    </w:p>
    <w:tbl>
      <w:tblPr>
        <w:tblW w:type="auto" w:w="0"/>
        <w:tblLayout w:type="fixed"/>
        <w:tblLook w:firstColumn="1" w:firstRow="1" w:lastColumn="0" w:lastRow="0" w:noHBand="0" w:noVBand="1" w:val="04A0"/>
      </w:tblPr>
      <w:tblGrid>
        <w:gridCol w:w="4320"/>
        <w:gridCol w:w="2808"/>
        <w:gridCol w:w="2808"/>
      </w:tblGrid>
      <w:tr>
        <w:trPr>
          <w:tblHeader/>
        </w:trPr>
        <w:tc>
          <w:tcPr>
            <w:tcW w:type="dxa" w:w="432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Business event</w:t>
            </w:r>
          </w:p>
        </w:tc>
        <w:tc>
          <w:tcPr>
            <w:tcW w:type="dxa" w:w="2808"/>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Debit</w:t>
            </w:r>
          </w:p>
        </w:tc>
        <w:tc>
          <w:tcPr>
            <w:tcW w:type="dxa" w:w="2808"/>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Credit</w:t>
            </w:r>
          </w:p>
        </w:tc>
      </w:tr>
      <w:tr>
        <w:tc>
          <w:tcPr>
            <w:tcW w:type="dxa" w:w="43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Post unpaid software bill of 20,000</w:t>
            </w:r>
          </w:p>
        </w:tc>
        <w:tc>
          <w:tcPr>
            <w:tcW w:type="dxa" w:w="28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Software expense 20,000</w:t>
            </w:r>
          </w:p>
        </w:tc>
        <w:tc>
          <w:tcPr>
            <w:tcW w:type="dxa" w:w="28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Supplier payable 20,000</w:t>
            </w:r>
          </w:p>
        </w:tc>
      </w:tr>
      <w:tr>
        <w:tc>
          <w:tcPr>
            <w:tcW w:type="dxa" w:w="4320"/>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Pay that bill</w:t>
            </w:r>
          </w:p>
        </w:tc>
        <w:tc>
          <w:tcPr>
            <w:tcW w:type="dxa" w:w="2808"/>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Supplier payable 20,000</w:t>
            </w:r>
          </w:p>
        </w:tc>
        <w:tc>
          <w:tcPr>
            <w:tcW w:type="dxa" w:w="2808"/>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Bank 20,000</w:t>
            </w:r>
          </w:p>
        </w:tc>
      </w:tr>
      <w:tr>
        <w:tc>
          <w:tcPr>
            <w:tcW w:type="dxa" w:w="43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Post employee travel claim of 5,000</w:t>
            </w:r>
          </w:p>
        </w:tc>
        <w:tc>
          <w:tcPr>
            <w:tcW w:type="dxa" w:w="28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Travel expense 5,000</w:t>
            </w:r>
          </w:p>
        </w:tc>
        <w:tc>
          <w:tcPr>
            <w:tcW w:type="dxa" w:w="28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Employee payable 5,000</w:t>
            </w:r>
          </w:p>
        </w:tc>
      </w:tr>
      <w:tr>
        <w:tc>
          <w:tcPr>
            <w:tcW w:type="dxa" w:w="4320"/>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Reimburse employee</w:t>
            </w:r>
          </w:p>
        </w:tc>
        <w:tc>
          <w:tcPr>
            <w:tcW w:type="dxa" w:w="2808"/>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Employee payable 5,000</w:t>
            </w:r>
          </w:p>
        </w:tc>
        <w:tc>
          <w:tcPr>
            <w:tcW w:type="dxa" w:w="2808"/>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Bank 5,000</w:t>
            </w:r>
          </w:p>
        </w:tc>
      </w:tr>
      <w:tr>
        <w:tc>
          <w:tcPr>
            <w:tcW w:type="dxa" w:w="43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Invoice completed service for 50,000</w:t>
            </w:r>
          </w:p>
        </w:tc>
        <w:tc>
          <w:tcPr>
            <w:tcW w:type="dxa" w:w="28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Customer receivable 50,000</w:t>
            </w:r>
          </w:p>
        </w:tc>
        <w:tc>
          <w:tcPr>
            <w:tcW w:type="dxa" w:w="28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Service revenue 50,000</w:t>
            </w:r>
          </w:p>
        </w:tc>
      </w:tr>
      <w:tr>
        <w:tc>
          <w:tcPr>
            <w:tcW w:type="dxa" w:w="4320"/>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Receive customer payment</w:t>
            </w:r>
          </w:p>
        </w:tc>
        <w:tc>
          <w:tcPr>
            <w:tcW w:type="dxa" w:w="2808"/>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Bank 50,000</w:t>
            </w:r>
          </w:p>
        </w:tc>
        <w:tc>
          <w:tcPr>
            <w:tcW w:type="dxa" w:w="2808"/>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Customer receivable 50,000</w:t>
            </w:r>
          </w:p>
        </w:tc>
      </w:tr>
    </w:tbl>
    <w:p>
      <w:pPr>
        <w:spacing w:after="0"/>
      </w:pPr>
    </w:p>
    <w:p>
      <w:pPr>
        <w:pStyle w:val="Heading2"/>
      </w:pPr>
      <w:r>
        <w:t>BR34  Immutability and corrections</w:t>
      </w:r>
    </w:p>
    <w:p>
      <w:r>
        <w:t>Posted entries cannot be edited or hard deleted. Corrections reverse the original through linked balanced entries, then post the corrected transaction. Keep original document dates and a distinct current posting date when correcting in an open period. Manual journals require a reason and finance permission; prohibit direct edits to control accounts unless subledger reconciliation is explicitly supported.</w:t>
      </w:r>
    </w:p>
    <w:p>
      <w:pPr>
        <w:pStyle w:val="Heading2"/>
      </w:pPr>
      <w:r>
        <w:t>BR35  Opening balances and period controls</w:t>
      </w:r>
    </w:p>
    <w:p>
      <w:r>
        <w:t>Import opening balances through one validated balanced opening journal, supported by opening receivable and payable items. Fiscal year is configurable. Closing a period blocks new postings, backdated changes and reversals inside it. Reopening requires elevated finance permission and an audit reason. If reopening is not allowed, correct in the next open period.</w:t>
      </w:r>
    </w:p>
    <w:p>
      <w:pPr>
        <w:pStyle w:val="Heading2"/>
      </w:pPr>
      <w:r>
        <w:t>BR36  Close checklist</w:t>
      </w:r>
    </w:p>
    <w:p>
      <w:r>
        <w:t>Resolve unposted approved claims, reconcile banks and gateway clearing, check receivable and payable balances against ledger control accounts, review duplicate warnings, and verify the trial balance. A balanced trial balance alone does not prove correct account selection or absence of missing transactions.</w:t>
      </w:r>
    </w:p>
    <w:p>
      <w:r>
        <w:br w:type="page"/>
      </w:r>
    </w:p>
    <w:p>
      <w:pPr>
        <w:pStyle w:val="Heading1"/>
      </w:pPr>
      <w:r>
        <w:t>10  Reconciliation budgets and reports</w:t>
      </w:r>
    </w:p>
    <w:p>
      <w:pPr>
        <w:pStyle w:val="Heading2"/>
      </w:pPr>
      <w:r>
        <w:t>BR37  Bank reconciliation</w:t>
      </w:r>
    </w:p>
    <w:p>
      <w:r>
        <w:t>Import CSV statement lines with account, booking date, description, debit or credit, amount and reference. Preserve the original import and row identity. Detect reimports without erasing legitimate identical transactions; ambiguous duplicate rows require review. Imported statement lines are evidence, not automatic ledger entries.</w:t>
      </w:r>
    </w:p>
    <w:p>
      <w:r>
        <w:t>Suggest matches by account, amount, date range and reference. Finance confirms one to one, one to many or many to one matches, with sums agreeing. A line cannot be reconciled twice. Unmatched fees or interest may create reviewed journals. Reconciliation corrections unmatch with a reason and preserve history.</w:t>
      </w:r>
    </w:p>
    <w:p>
      <w:pPr>
        <w:pStyle w:val="Heading2"/>
      </w:pPr>
      <w:r>
        <w:t>BR38  Budget policy</w:t>
      </w:r>
    </w:p>
    <w:p>
      <w:r>
        <w:t>Budgets belong to a department, category and period. Proposed first release behavior is warning only: crossing a budget does not itself reject a valid claim. Display approved unposted commitments separately from posted actual expenses. Do not count a claim again when it moves from commitment to posted expense. Budget edits are versioned.</w:t>
      </w:r>
    </w:p>
    <w:p>
      <w:pPr>
        <w:pStyle w:val="Heading2"/>
      </w:pPr>
      <w:r>
        <w:t>BR39  Report definitions</w:t>
      </w:r>
    </w:p>
    <w:tbl>
      <w:tblPr>
        <w:tblW w:type="auto" w:w="0"/>
        <w:tblLayout w:type="fixed"/>
        <w:tblLook w:firstColumn="1" w:firstRow="1" w:lastColumn="0" w:lastRow="0" w:noHBand="0" w:noVBand="1" w:val="04A0"/>
      </w:tblPr>
      <w:tblGrid>
        <w:gridCol w:w="2448"/>
        <w:gridCol w:w="7488"/>
      </w:tblGrid>
      <w:tr>
        <w:trPr>
          <w:tblHeader/>
        </w:trPr>
        <w:tc>
          <w:tcPr>
            <w:tcW w:type="dxa" w:w="2448"/>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Report</w:t>
            </w:r>
          </w:p>
        </w:tc>
        <w:tc>
          <w:tcPr>
            <w:tcW w:type="dxa" w:w="7488"/>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Authoritative basis</w:t>
            </w:r>
          </w:p>
        </w:tc>
      </w:tr>
      <w:tr>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Expense analysis</w:t>
            </w:r>
          </w:p>
        </w:tc>
        <w:tc>
          <w:tcPr>
            <w:tcW w:type="dxa" w:w="74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Posted expense accounts, net of reversals; filter by date and department</w:t>
            </w:r>
          </w:p>
        </w:tc>
      </w:tr>
      <w:tr>
        <w:tc>
          <w:tcPr>
            <w:tcW w:type="dxa" w:w="2448"/>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Profit and loss</w:t>
            </w:r>
          </w:p>
        </w:tc>
        <w:tc>
          <w:tcPr>
            <w:tcW w:type="dxa" w:w="7488"/>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Posted revenue and expenses for the selected accounting period</w:t>
            </w:r>
          </w:p>
        </w:tc>
      </w:tr>
      <w:tr>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Balance sheet</w:t>
            </w:r>
          </w:p>
        </w:tc>
        <w:tc>
          <w:tcPr>
            <w:tcW w:type="dxa" w:w="74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Cumulative assets, liabilities, equity and current result as of a date</w:t>
            </w:r>
          </w:p>
        </w:tc>
      </w:tr>
      <w:tr>
        <w:tc>
          <w:tcPr>
            <w:tcW w:type="dxa" w:w="2448"/>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Trial balance</w:t>
            </w:r>
          </w:p>
        </w:tc>
        <w:tc>
          <w:tcPr>
            <w:tcW w:type="dxa" w:w="7488"/>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Account debit and credit balances with equal totals</w:t>
            </w:r>
          </w:p>
        </w:tc>
      </w:tr>
      <w:tr>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Receivable and payable aging</w:t>
            </w:r>
          </w:p>
        </w:tc>
        <w:tc>
          <w:tcPr>
            <w:tcW w:type="dxa" w:w="74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Outstanding items as of a date, bucketed by due date</w:t>
            </w:r>
          </w:p>
        </w:tc>
      </w:tr>
      <w:tr>
        <w:tc>
          <w:tcPr>
            <w:tcW w:type="dxa" w:w="2448"/>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Cash movement</w:t>
            </w:r>
          </w:p>
        </w:tc>
        <w:tc>
          <w:tcPr>
            <w:tcW w:type="dxa" w:w="7488"/>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Posted cash and bank movements; label as operational cash summary</w:t>
            </w:r>
          </w:p>
        </w:tc>
      </w:tr>
      <w:tr>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Approval dashboard</w:t>
            </w:r>
          </w:p>
        </w:tc>
        <w:tc>
          <w:tcPr>
            <w:tcW w:type="dxa" w:w="74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Submitted and approved workflow records, clearly marked as unposted where applicable</w:t>
            </w:r>
          </w:p>
        </w:tc>
      </w:tr>
    </w:tbl>
    <w:p>
      <w:pPr>
        <w:spacing w:after="0"/>
      </w:pPr>
    </w:p>
    <w:p>
      <w:pPr>
        <w:pStyle w:val="Heading2"/>
      </w:pPr>
      <w:r>
        <w:t>BR40  Reporting integrity</w:t>
      </w:r>
    </w:p>
    <w:p>
      <w:r>
        <w:t>Exclude drafts, rejected claims and unconfirmed payments from ledger reports. As of reports use allocations and credits effective on or before the chosen date, not today’s balance. Exports apply the same tenant permissions and filters as the screen. Each report exposes its accounting basis, period, currency, generated time and whether reconciliation is complete.</w:t>
      </w:r>
    </w:p>
    <w:p>
      <w:r>
        <w:t>A simple cash summary is not a statutory statement of cash flows. Do not label it as one until classification rules and reconciliation have been implemented and reviewed.</w:t>
      </w:r>
    </w:p>
    <w:p>
      <w:r>
        <w:br w:type="page"/>
      </w:r>
    </w:p>
    <w:p>
      <w:pPr>
        <w:pStyle w:val="Heading1"/>
      </w:pPr>
      <w:r>
        <w:t>11  AI assistance and document questions</w:t>
      </w:r>
    </w:p>
    <w:p>
      <w:pPr>
        <w:pStyle w:val="Heading2"/>
      </w:pPr>
      <w:r>
        <w:t>BR41  AI responsibilities</w:t>
      </w:r>
    </w:p>
    <w:p>
      <w:r>
        <w:t>AI may suggest categories, detect unusual patterns, extract structured document fields, summarize expenses and answer questions using accessible evidence. It cannot approve claims, change bank details, post journals, alter taxes, issue refunds or initiate payments. Any accepted suggestion becomes a normal user action with the same validation and authorization rules.</w:t>
      </w:r>
    </w:p>
    <w:p>
      <w:pPr>
        <w:pStyle w:val="Heading2"/>
      </w:pPr>
      <w:r>
        <w:t>BR42  Distinguish two types of questions</w:t>
      </w:r>
    </w:p>
    <w:p>
      <w:r>
        <w:t>For “What is the total travel expense this month?”, use an authorized deterministic reporting query and let AI explain the result. For “What does this supplier agreement say about cancellation?”, retrieve permitted document passages with page references. Document search must not be used to guess financial totals from fragments of receipts.</w:t>
      </w:r>
    </w:p>
    <w:p>
      <w:pPr>
        <w:pStyle w:val="Heading2"/>
      </w:pPr>
      <w:r>
        <w:t>BR43  Evidence and retrieval</w:t>
      </w:r>
    </w:p>
    <w:p>
      <w:r>
        <w:t>Index text in chunks with tenant, document, version and page metadata. Enforce tenant and record permissions before retrieval and recheck them before generating an answer. Answers cite accessible pages or business records, distinguish facts from suggestions, and say when evidence is missing or conflicting. A user losing access also loses search and answer access.</w:t>
      </w:r>
    </w:p>
    <w:p>
      <w:pPr>
        <w:pStyle w:val="Heading2"/>
      </w:pPr>
      <w:r>
        <w:t>BR44  Untrusted documents</w:t>
      </w:r>
    </w:p>
    <w:p>
      <w:r>
        <w:t>Document text is untrusted input. Instructions embedded in a receipt or PDF must never change system behavior, call tools, reveal secrets or override permissions. Use read only, allowlisted tools and validate structured outputs. Reject invented dates, invalid account identifiers and arithmetic mismatches even when the response is valid JSON.</w:t>
      </w:r>
    </w:p>
    <w:p>
      <w:pPr>
        <w:pStyle w:val="Heading2"/>
      </w:pPr>
      <w:r>
        <w:t>BR45  Privacy and cost controls</w:t>
      </w:r>
    </w:p>
    <w:p>
      <w:r>
        <w:t>Send only the minimum required document content to a chosen provider. Record provider, request purpose, model version, duration and cost estimate; avoid logging full receipt text or sensitive prompts. Define vendor retention and model training settings before using real documents. Apply organization quotas, per user rate limits and limits on pages, tokens and retrieval size.</w:t>
      </w:r>
    </w:p>
    <w:p>
      <w:pPr>
        <w:pStyle w:val="Heading2"/>
      </w:pPr>
      <w:r>
        <w:t>BR46  Evaluation and fallback</w:t>
      </w:r>
    </w:p>
    <w:p>
      <w:r>
        <w:t>Evaluate merchant, date, total and tax accuracy independently on a representative labeled set, including blurry, rotated, multi page and local language receipts. Measure correction rates and page citation correctness. An AI outage keeps manual entry available. A missing answer is preferable to an invented financial conclusion; anomaly scores are review signals, not accusations.</w:t>
      </w:r>
    </w:p>
    <w:p>
      <w:r>
        <w:br w:type="page"/>
      </w:r>
    </w:p>
    <w:p>
      <w:pPr>
        <w:pStyle w:val="Heading1"/>
      </w:pPr>
      <w:r>
        <w:t>12  PayHere and SaaS subscription rules</w:t>
      </w:r>
    </w:p>
    <w:p>
      <w:pPr>
        <w:pStyle w:val="Heading2"/>
      </w:pPr>
      <w:r>
        <w:t>Provider facts verified on 10 October 2026</w:t>
      </w:r>
    </w:p>
    <w:p>
      <w:r>
        <w:t>PayHere Checkout uses a server notification with a checksum; the return page is not proof of payment. The notification endpoint must be publicly reachable and accepts form encoded fields. Checkout status codes are 2 success, 0 pending, −1 cancelled, −2 failed and −3 chargeback. Recurring API notifies each charge. Its future start and retry related options are documented as live only, unavailable in sandbox. See sources S1 and S2.</w:t>
      </w:r>
    </w:p>
    <w:p>
      <w:pPr>
        <w:pStyle w:val="Heading2"/>
      </w:pPr>
      <w:r>
        <w:t>BR47  First release billing model</w:t>
      </w:r>
    </w:p>
    <w:p>
      <w:r>
        <w:t>Recommended baseline: monthly access purchased through one time checkout, with manual renewal. This demonstrates a payment gateway without initially adding recurring charge complexity. Proposed product policy is a 14 day trial and 7 day grace period; both are configurable. Recurring subscriptions are a separate later decision.</w:t>
      </w:r>
    </w:p>
    <w:p>
      <w:pPr>
        <w:pStyle w:val="Heading2"/>
      </w:pPr>
      <w:r>
        <w:t>BR48  Checkout and verified activation</w:t>
      </w:r>
    </w:p>
    <w:p>
      <w:r>
        <w:t>The server creates an immutable billing order with tenant, plan snapshot, amount, currency and expiry; it generates the provider hash using server held credentials. The browser cannot choose its own price. On notification, verify the documented signature, merchant, order, currency and expected amount before accepting success. Store the event and update payment and entitlements atomically or through a durable transactional outbox.</w:t>
      </w:r>
    </w:p>
    <w:p>
      <w:pPr>
        <w:pStyle w:val="Heading2"/>
      </w:pPr>
      <w:r>
        <w:t>BR49  Retries and ordering</w:t>
      </w:r>
    </w:p>
    <w:p>
      <w:r>
        <w:t>Deduplicate events by provider payment identity and relevant event state; a chargeback for an existing success must still be processed. Invalid signatures change nothing. Duplicate success never extends access twice. A delayed pending notification cannot downgrade verified success. Unknown orders or mismatches enter review. Reconcile missing callbacks through authorized provider records before activation.</w:t>
      </w:r>
    </w:p>
    <w:p>
      <w:pPr>
        <w:pStyle w:val="Heading2"/>
      </w:pPr>
      <w:r>
        <w:t>BR50  Access policy</w:t>
      </w:r>
    </w:p>
    <w:p>
      <w:r>
        <w:t>Subscription states are trial, active, past due, suspended and cancelled. Track paid access dates separately. Renew from the current paid end when it is in the future, otherwise from verified activation; one order grants one period. At month end, clamp a monthly anniversary to the last valid day. Use half open entitlement intervals so access ends exactly at the recorded boundary.</w:t>
      </w:r>
    </w:p>
    <w:p>
      <w:pPr>
        <w:pStyle w:val="Heading2"/>
      </w:pPr>
      <w:r>
        <w:t>BR51  Changes refunds and quotas</w:t>
      </w:r>
    </w:p>
    <w:p>
      <w:r>
        <w:t>Proposed policy: plan changes apply next period, no proration; cancellation prevents future renewal but retains paid access. Grace allows normal use; suspension permits read and export but blocks new financial writes and AI jobs. Downgrades never delete documents. Refunds and chargebacks enter billing review with entitlement adjustments recorded explicitly; financial evidence is retained.</w:t>
      </w:r>
    </w:p>
    <w:p>
      <w:r>
        <w:br w:type="page"/>
      </w:r>
    </w:p>
    <w:p>
      <w:pPr>
        <w:pStyle w:val="Heading1"/>
      </w:pPr>
      <w:r>
        <w:t>13  Tax privacy and retention decisions</w:t>
      </w:r>
    </w:p>
    <w:p>
      <w:pPr>
        <w:pStyle w:val="Heading2"/>
      </w:pPr>
      <w:r>
        <w:t>BR52  Tax configuration</w:t>
      </w:r>
    </w:p>
    <w:p>
      <w:r>
        <w:t>Do not assume all organizations are VAT registered or all purchases allow input tax recovery. Store registration status, tax identifiers, effective dates and configurable tax codes. Taxable, zero rated, exempt and outside scope are distinct treatments. Capture supplier evidence and let finance choose recoverability. Snapshot the selected rule on each transaction.</w:t>
      </w:r>
    </w:p>
    <w:p>
      <w:pPr>
        <w:pStyle w:val="Heading2"/>
      </w:pPr>
      <w:r>
        <w:t>BR53  Tax calculations</w:t>
      </w:r>
    </w:p>
    <w:p>
      <w:r>
        <w:t>For exclusive pricing, tax = taxable base × rate; total = base + tax. For inclusive pricing, base = gross ÷ (1 + rate); tax = gross − base. Apply line discounts before tax for the proposed simple pricing model. Round each tax line to two decimals and sum rounded lines. Allocate any document discount proportionally before tax so mixed rates are not distorted. Reject totals that fail the chosen policy.</w:t>
      </w:r>
    </w:p>
    <w:p>
      <w:r>
        <w:t>Illustrative test only: at a configured 18% rate, a LKR 10,000 exclusive base produces LKR 1,800 tax and LKR 11,800 gross. If fully recoverable, debit expense 10,000 and input tax 1,800, credit payable 11,800. If nonrecoverable, debit expense 11,800. This example does not establish eligibility for a real business.</w:t>
      </w:r>
    </w:p>
    <w:p>
      <w:pPr>
        <w:pStyle w:val="Heading2"/>
      </w:pPr>
      <w:r>
        <w:t>Sri Lankan launch gate</w:t>
      </w:r>
    </w:p>
    <w:p>
      <w:r>
        <w:t>IRD publishes VAT guidance and tax invoice orders, including a 2026 format order. Rates, eligibility, prescribed invoice fields and operative dates need checking against the latest applicable notices before production. Make invoice templates versioned and effective dated. Withholding, SSCL, filing and other tax schemes are outside the first release unless explicitly specified. See S3 and S4.</w:t>
      </w:r>
    </w:p>
    <w:p>
      <w:pPr>
        <w:pStyle w:val="Heading2"/>
      </w:pPr>
      <w:r>
        <w:t>BR54  Privacy and external processing</w:t>
      </w:r>
    </w:p>
    <w:p>
      <w:r>
        <w:t>Receipts may contain names, addresses, bank details and other personal information. Define processing purpose, access, vendor agreements, storage regions and overseas processing before enabling real uploads. Sri Lanka has a PDPA and a 2025 amendment listed by the DPA; this review does not establish the latest commencement status for every provision. Confirm the applicable law and official notices at launch. See S5.</w:t>
      </w:r>
    </w:p>
    <w:p>
      <w:pPr>
        <w:pStyle w:val="Heading2"/>
      </w:pPr>
      <w:r>
        <w:t>BR55  Retention and deletion</w:t>
      </w:r>
    </w:p>
    <w:p>
      <w:r>
        <w:t>Set retention by record class after checking legal and accounting requirements; no universal duration is assumed here. Drafts, originals, posted entries, audit records, AI logs and backups need different schedules. Honor legal holds. Account deletion can remove access and unnecessary personal data while retaining legally required financial evidence. Document when backup copies expire.</w:t>
      </w:r>
    </w:p>
    <w:p>
      <w:r>
        <w:br w:type="page"/>
      </w:r>
    </w:p>
    <w:p>
      <w:pPr>
        <w:pStyle w:val="Heading1"/>
      </w:pPr>
      <w:r>
        <w:t>14  Business entities and engineering constraints</w:t>
      </w:r>
    </w:p>
    <w:tbl>
      <w:tblPr>
        <w:tblW w:type="auto" w:w="0"/>
        <w:tblLayout w:type="fixed"/>
        <w:tblLook w:firstColumn="1" w:firstRow="1" w:lastColumn="0" w:lastRow="0" w:noHBand="0" w:noVBand="1" w:val="04A0"/>
      </w:tblPr>
      <w:tblGrid>
        <w:gridCol w:w="2304"/>
        <w:gridCol w:w="7632"/>
      </w:tblGrid>
      <w:tr>
        <w:trPr>
          <w:tblHeader/>
        </w:trPr>
        <w:tc>
          <w:tcPr>
            <w:tcW w:type="dxa" w:w="2304"/>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Entity group</w:t>
            </w:r>
          </w:p>
        </w:tc>
        <w:tc>
          <w:tcPr>
            <w:tcW w:type="dxa" w:w="7632"/>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Required relationships and constraints</w:t>
            </w:r>
          </w:p>
        </w:tc>
      </w:tr>
      <w:t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Organization and identity</w:t>
            </w:r>
          </w:p>
        </w:tc>
        <w:tc>
          <w:tcPr>
            <w:tcW w:type="dxa" w:w="76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Organization → membership → user; role grants scoped to membership; policy versions linked to tenant</w:t>
            </w:r>
          </w:p>
        </w:tc>
      </w:tr>
      <w:tr>
        <w:tc>
          <w:tcPr>
            <w:tcW w:type="dxa" w:w="230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Financial setup</w:t>
            </w:r>
          </w:p>
        </w:tc>
        <w:tc>
          <w:tcPr>
            <w:tcW w:type="dxa" w:w="763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Account, category, department, tax code, fiscal period, bank account; category maps to valid posting account</w:t>
            </w:r>
          </w:p>
        </w:tc>
      </w:tr>
      <w:t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Counterparties</w:t>
            </w:r>
          </w:p>
        </w:tc>
        <w:tc>
          <w:tcPr>
            <w:tcW w:type="dxa" w:w="76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Supplier, customer, employee payee; banking detail changes retained and reviewed</w:t>
            </w:r>
          </w:p>
        </w:tc>
      </w:tr>
      <w:tr>
        <w:tc>
          <w:tcPr>
            <w:tcW w:type="dxa" w:w="230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Evidence</w:t>
            </w:r>
          </w:p>
        </w:tc>
        <w:tc>
          <w:tcPr>
            <w:tcW w:type="dxa" w:w="763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Document → extraction run → reviewed fields; explicit source links and page references</w:t>
            </w:r>
          </w:p>
        </w:tc>
      </w:tr>
      <w:t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Expense workflow</w:t>
            </w:r>
          </w:p>
        </w:tc>
        <w:tc>
          <w:tcPr>
            <w:tcW w:type="dxa" w:w="76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Claim → lines → approval steps → decisions; submission versions preserved</w:t>
            </w:r>
          </w:p>
        </w:tc>
      </w:tr>
      <w:tr>
        <w:tc>
          <w:tcPr>
            <w:tcW w:type="dxa" w:w="230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Bills and invoices</w:t>
            </w:r>
          </w:p>
        </w:tc>
        <w:tc>
          <w:tcPr>
            <w:tcW w:type="dxa" w:w="763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Header → lines → tax snapshots → credit notes; unique numbers inside tenant</w:t>
            </w:r>
          </w:p>
        </w:tc>
      </w:tr>
      <w:t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Payments</w:t>
            </w:r>
          </w:p>
        </w:tc>
        <w:tc>
          <w:tcPr>
            <w:tcW w:type="dxa" w:w="76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Payment → allocations to open items; refund linked to credit; immutable confirmations</w:t>
            </w:r>
          </w:p>
        </w:tc>
      </w:tr>
      <w:tr>
        <w:tc>
          <w:tcPr>
            <w:tcW w:type="dxa" w:w="230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Ledger</w:t>
            </w:r>
          </w:p>
        </w:tc>
        <w:tc>
          <w:tcPr>
            <w:tcW w:type="dxa" w:w="763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Journal → lines → accounts; source identity and reversal links; balanced atomic posting</w:t>
            </w:r>
          </w:p>
        </w:tc>
      </w:tr>
      <w:t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Reconciliation</w:t>
            </w:r>
          </w:p>
        </w:tc>
        <w:tc>
          <w:tcPr>
            <w:tcW w:type="dxa" w:w="76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Statement import → lines → match groups → ledger or payment references</w:t>
            </w:r>
          </w:p>
        </w:tc>
      </w:tr>
      <w:tr>
        <w:tc>
          <w:tcPr>
            <w:tcW w:type="dxa" w:w="230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SaaS billing</w:t>
            </w:r>
          </w:p>
        </w:tc>
        <w:tc>
          <w:tcPr>
            <w:tcW w:type="dxa" w:w="763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Plan version → subscription → billing order → gateway payment → event → entitlement</w:t>
            </w:r>
          </w:p>
        </w:tc>
      </w:tr>
      <w:t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AI and audit</w:t>
            </w:r>
          </w:p>
        </w:tc>
        <w:tc>
          <w:tcPr>
            <w:tcW w:type="dxa" w:w="76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Extraction jobs, usage events, searchable chunks, answer evidence, actor and change events</w:t>
            </w:r>
          </w:p>
        </w:tc>
      </w:tr>
    </w:tbl>
    <w:p>
      <w:pPr>
        <w:spacing w:after="0"/>
      </w:pPr>
    </w:p>
    <w:p>
      <w:pPr>
        <w:pStyle w:val="Heading2"/>
      </w:pPr>
      <w:r>
        <w:t>BR56  Integrity below the user interface</w:t>
      </w:r>
    </w:p>
    <w:p>
      <w:r>
        <w:t>Use database uniqueness, foreign keys and transactions alongside application validation. Composite tenant references must prevent linking a claim in one tenant to a document, account or payment in another. Do not use a soft delete flag to hide posted financial history. Audit events include actor, tenant, entity, action, time, request ID, relevant previous and new values, and reason.</w:t>
      </w:r>
    </w:p>
    <w:p>
      <w:pPr>
        <w:pStyle w:val="Heading2"/>
      </w:pPr>
      <w:r>
        <w:t>BR57  Performance and recovery</w:t>
      </w:r>
    </w:p>
    <w:p>
      <w:r>
        <w:t>Use a modular monolith with clear ledger, expenses, documents, billing and AI boundaries. Move OCR, AI and large exports to durable background jobs. Index tenant plus date, status and source identifiers; paginate searches. Treat cached aggregates as projections that can be rebuilt from ledger data. Commit business changes and an outbox event together so a crash does not lose notifications.</w:t>
      </w:r>
    </w:p>
    <w:p>
      <w:r>
        <w:t>Proposed performance targets: ordinary API responses below 500 ms at the 95th percentile in a documented test workload, and document jobs showing immediate queued status. Measure under load before claiming these results. Add containerization after core behavior is stable, as requested; reproducible configuration and backup restore checks still start early.</w:t>
      </w:r>
    </w:p>
    <w:p>
      <w:r>
        <w:br w:type="page"/>
      </w:r>
    </w:p>
    <w:p>
      <w:pPr>
        <w:pStyle w:val="Heading1"/>
      </w:pPr>
      <w:r>
        <w:t>15  Worked business examples</w:t>
      </w:r>
    </w:p>
    <w:p>
      <w:pPr>
        <w:pStyle w:val="Heading2"/>
      </w:pPr>
      <w:r>
        <w:t>Example A  Employee reimbursement</w:t>
      </w:r>
    </w:p>
    <w:p>
      <w:r>
        <w:t>An employee personally pays LKR 5,000 for approved travel and uploads a receipt. OCR suggests the amount; the employee confirms it and submits. A different manager approves. Finance posts debit travel expense 5,000 and credit employee payable 5,000. No bank amount changes at approval or posting.</w:t>
      </w:r>
    </w:p>
    <w:p>
      <w:r>
        <w:t>Finance confirms a LKR 3,000 transfer: debit employee payable 3,000, credit bank 3,000. The claim is partially reimbursed with LKR 2,000 outstanding. A second transfer settles it. Replaying either transfer request creates no extra reimbursement or journal.</w:t>
      </w:r>
    </w:p>
    <w:p>
      <w:pPr>
        <w:pStyle w:val="Heading2"/>
      </w:pPr>
      <w:r>
        <w:t>Example B  Supplier bill and duplicate evidence</w:t>
      </w:r>
    </w:p>
    <w:p>
      <w:r>
        <w:t>Finance posts a LKR 20,000 software bill. A payment of LKR 12,000 leaves LKR 8,000 payable. A later uploaded receipt for the same invoice attaches to the bill. It does not create another expense. A supplier credit note of LKR 2,000 reduces both the expense and payable, leaving LKR 6,000 to settle.</w:t>
      </w:r>
    </w:p>
    <w:p>
      <w:pPr>
        <w:pStyle w:val="Heading2"/>
      </w:pPr>
      <w:r>
        <w:t>Example C  Customer credit and refund</w:t>
      </w:r>
    </w:p>
    <w:p>
      <w:r>
        <w:t>A delivered service is invoiced for LKR 50,000 and paid in full. A LKR 10,000 service credit is later agreed. The credit note reduces revenue and produces a customer credit of LKR 10,000. Recording an actual refund debits the customer control balance and credits bank. Alternatively the credit can settle a later invoice; it cannot be refunded and allocated twice.</w:t>
      </w:r>
    </w:p>
    <w:p>
      <w:pPr>
        <w:pStyle w:val="Heading2"/>
      </w:pPr>
      <w:r>
        <w:t>Example D  Correction after period close</w:t>
      </w:r>
    </w:p>
    <w:p>
      <w:r>
        <w:t>A LKR 8,000 travel expense was posted to software expense and the period is closed. Finance keeps the original journal and posts a current period reclassification: debit travel expense 8,000, credit software expense 8,000, with a reason and link. Cash and total expenses do not change. If the accountant requires prior period adjustment treatment, that becomes a separate documented policy.</w:t>
      </w:r>
    </w:p>
    <w:p>
      <w:pPr>
        <w:pStyle w:val="Heading2"/>
      </w:pPr>
      <w:r>
        <w:t>Example E  SaaS subscription callback</w:t>
      </w:r>
    </w:p>
    <w:p>
      <w:r>
        <w:t>A tenant buys a plan. The browser returns before a verified notification arrives, so the screen shows payment processing. Verified success grants one paid period. The same notification arrives twice; access is unchanged on the second delivery. An amount mismatch is held for review. These records belong to platform billing and do not appear as revenue in the tenant’s books.</w:t>
      </w:r>
    </w:p>
    <w:p>
      <w:r>
        <w:br w:type="page"/>
      </w:r>
    </w:p>
    <w:p>
      <w:pPr>
        <w:pStyle w:val="Heading1"/>
      </w:pPr>
      <w:r>
        <w:t>16  Acceptance scenarios for the core rules</w:t>
      </w:r>
    </w:p>
    <w:tbl>
      <w:tblPr>
        <w:tblW w:type="auto" w:w="0"/>
        <w:tblLayout w:type="fixed"/>
        <w:tblLook w:firstColumn="1" w:firstRow="1" w:lastColumn="0" w:lastRow="0" w:noHBand="0" w:noVBand="1" w:val="04A0"/>
      </w:tblPr>
      <w:tblGrid>
        <w:gridCol w:w="4392"/>
        <w:gridCol w:w="5544"/>
      </w:tblGrid>
      <w:tr>
        <w:trPr>
          <w:tblHeader/>
        </w:trPr>
        <w:tc>
          <w:tcPr>
            <w:tcW w:type="dxa" w:w="4392"/>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Scenario</w:t>
            </w:r>
          </w:p>
        </w:tc>
        <w:tc>
          <w:tcPr>
            <w:tcW w:type="dxa" w:w="5544"/>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Required result</w:t>
            </w:r>
          </w:p>
        </w:tc>
      </w:tr>
      <w:tr>
        <w:tc>
          <w:tcPr>
            <w:tcW w:type="dxa" w:w="43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Tenant A requests Tenant B receipt or report</w:t>
            </w:r>
          </w:p>
        </w:tc>
        <w:tc>
          <w:tcPr>
            <w:tcW w:type="dxa" w:w="55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Access denied; no metadata, search fragments or signed download exposed</w:t>
            </w:r>
          </w:p>
        </w:tc>
      </w:tr>
      <w:tr>
        <w:tc>
          <w:tcPr>
            <w:tcW w:type="dxa" w:w="439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Employee submits and tries to approve own claim</w:t>
            </w:r>
          </w:p>
        </w:tc>
        <w:tc>
          <w:tcPr>
            <w:tcW w:type="dxa" w:w="554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Approval denied even if the employee also has a manager role</w:t>
            </w:r>
          </w:p>
        </w:tc>
      </w:tr>
      <w:tr>
        <w:tc>
          <w:tcPr>
            <w:tcW w:type="dxa" w:w="43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Approved claim amount changes</w:t>
            </w:r>
          </w:p>
        </w:tc>
        <w:tc>
          <w:tcPr>
            <w:tcW w:type="dxa" w:w="55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Previous approvals invalidated; new submission version required</w:t>
            </w:r>
          </w:p>
        </w:tc>
      </w:tr>
      <w:tr>
        <w:tc>
          <w:tcPr>
            <w:tcW w:type="dxa" w:w="439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Two identical receipt claims are submitted</w:t>
            </w:r>
          </w:p>
        </w:tc>
        <w:tc>
          <w:tcPr>
            <w:tcW w:type="dxa" w:w="554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Duplicate reimbursement blocked or held for authorized resolution</w:t>
            </w:r>
          </w:p>
        </w:tc>
      </w:tr>
      <w:tr>
        <w:tc>
          <w:tcPr>
            <w:tcW w:type="dxa" w:w="43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OCR total differs from reviewed line sum</w:t>
            </w:r>
          </w:p>
        </w:tc>
        <w:tc>
          <w:tcPr>
            <w:tcW w:type="dxa" w:w="55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Submission blocked until corrected or authorized adjustment recorded</w:t>
            </w:r>
          </w:p>
        </w:tc>
      </w:tr>
      <w:tr>
        <w:tc>
          <w:tcPr>
            <w:tcW w:type="dxa" w:w="439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Journal debit total differs from credit total</w:t>
            </w:r>
          </w:p>
        </w:tc>
        <w:tc>
          <w:tcPr>
            <w:tcW w:type="dxa" w:w="554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Nothing posts; no partial journal persists</w:t>
            </w:r>
          </w:p>
        </w:tc>
      </w:tr>
      <w:tr>
        <w:tc>
          <w:tcPr>
            <w:tcW w:type="dxa" w:w="43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Posted invoice is edited or deleted</w:t>
            </w:r>
          </w:p>
        </w:tc>
        <w:tc>
          <w:tcPr>
            <w:tcW w:type="dxa" w:w="55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Mutation denied; correction uses linked credit or reversal</w:t>
            </w:r>
          </w:p>
        </w:tc>
      </w:tr>
      <w:tr>
        <w:tc>
          <w:tcPr>
            <w:tcW w:type="dxa" w:w="439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Two concurrent allocations exceed remaining balance</w:t>
            </w:r>
          </w:p>
        </w:tc>
        <w:tc>
          <w:tcPr>
            <w:tcW w:type="dxa" w:w="554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At most the valid amount commits; other request gets a conflict</w:t>
            </w:r>
          </w:p>
        </w:tc>
      </w:tr>
      <w:tr>
        <w:tc>
          <w:tcPr>
            <w:tcW w:type="dxa" w:w="43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Payment posting crashes halfway through</w:t>
            </w:r>
          </w:p>
        </w:tc>
        <w:tc>
          <w:tcPr>
            <w:tcW w:type="dxa" w:w="55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Transaction rolls back; retry creates exactly one complete posting</w:t>
            </w:r>
          </w:p>
        </w:tc>
      </w:tr>
      <w:tr>
        <w:tc>
          <w:tcPr>
            <w:tcW w:type="dxa" w:w="439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Closed period receives backdated entry</w:t>
            </w:r>
          </w:p>
        </w:tc>
        <w:tc>
          <w:tcPr>
            <w:tcW w:type="dxa" w:w="554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Blocked; reopening or open period adjustment required</w:t>
            </w:r>
          </w:p>
        </w:tc>
      </w:tr>
      <w:tr>
        <w:tc>
          <w:tcPr>
            <w:tcW w:type="dxa" w:w="43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Same CSV statement is imported again</w:t>
            </w:r>
          </w:p>
        </w:tc>
        <w:tc>
          <w:tcPr>
            <w:tcW w:type="dxa" w:w="55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No silent duplicate lines; ambiguous identity requires review</w:t>
            </w:r>
          </w:p>
        </w:tc>
      </w:tr>
      <w:tr>
        <w:tc>
          <w:tcPr>
            <w:tcW w:type="dxa" w:w="439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PayHere success is repeated or arrives after pending</w:t>
            </w:r>
          </w:p>
        </w:tc>
        <w:tc>
          <w:tcPr>
            <w:tcW w:type="dxa" w:w="554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One entitlement grant; delayed pending cannot undo verified success</w:t>
            </w:r>
          </w:p>
        </w:tc>
      </w:tr>
      <w:tr>
        <w:tc>
          <w:tcPr>
            <w:tcW w:type="dxa" w:w="43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Callback signature, merchant or amount is invalid</w:t>
            </w:r>
          </w:p>
        </w:tc>
        <w:tc>
          <w:tcPr>
            <w:tcW w:type="dxa" w:w="55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No activation or financial update; event recorded safely for review</w:t>
            </w:r>
          </w:p>
        </w:tc>
      </w:tr>
      <w:tr>
        <w:tc>
          <w:tcPr>
            <w:tcW w:type="dxa" w:w="439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Chargeback arrives for an earlier successful payment</w:t>
            </w:r>
          </w:p>
        </w:tc>
        <w:tc>
          <w:tcPr>
            <w:tcW w:type="dxa" w:w="554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Handled as a new event and sent through billing review</w:t>
            </w:r>
          </w:p>
        </w:tc>
      </w:tr>
      <w:tr>
        <w:tc>
          <w:tcPr>
            <w:tcW w:type="dxa" w:w="43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AI document says to reveal another tenant’s data</w:t>
            </w:r>
          </w:p>
        </w:tc>
        <w:tc>
          <w:tcPr>
            <w:tcW w:type="dxa" w:w="55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Instruction ignored; retrieval and tool permissions remain enforced</w:t>
            </w:r>
          </w:p>
        </w:tc>
      </w:tr>
      <w:tr>
        <w:tc>
          <w:tcPr>
            <w:tcW w:type="dxa" w:w="439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AI or OCR provider is unavailable</w:t>
            </w:r>
          </w:p>
        </w:tc>
        <w:tc>
          <w:tcPr>
            <w:tcW w:type="dxa" w:w="554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Manual workflow works; jobs retry within limits and show failure clearly</w:t>
            </w:r>
          </w:p>
        </w:tc>
      </w:tr>
      <w:tr>
        <w:tc>
          <w:tcPr>
            <w:tcW w:type="dxa" w:w="43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Subscription expires after grace</w:t>
            </w:r>
          </w:p>
        </w:tc>
        <w:tc>
          <w:tcPr>
            <w:tcW w:type="dxa" w:w="55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Read and export remain available; new writes and AI usage are blocked</w:t>
            </w:r>
          </w:p>
        </w:tc>
      </w:tr>
    </w:tbl>
    <w:p>
      <w:pPr>
        <w:spacing w:after="0"/>
      </w:pPr>
    </w:p>
    <w:p>
      <w:pPr>
        <w:pStyle w:val="Heading2"/>
      </w:pPr>
      <w:r>
        <w:t>How to prove correctness</w:t>
      </w:r>
    </w:p>
    <w:p>
      <w:r>
        <w:t>Use realistic fixtures and test the observable outcomes, not just implementation methods. Include ledger totals, outstanding amounts, tenant isolation, duplicate events, rounding, month end renewals and crash recovery. Keep original evidence and the audit chain so an interviewer can follow one receipt from upload to report.</w:t>
      </w:r>
    </w:p>
    <w:p>
      <w:r>
        <w:br w:type="page"/>
      </w:r>
    </w:p>
    <w:p>
      <w:pPr>
        <w:pStyle w:val="Heading1"/>
      </w:pPr>
      <w:r>
        <w:t>17  Major decisions before implementation</w:t>
      </w:r>
    </w:p>
    <w:p>
      <w:r>
        <w:t>These are recommended defaults, not settled requirements. Confirm or replace each choice before the dependent module is built. Record the chosen option, reason, date and consequences in a short decision log.</w:t>
      </w:r>
    </w:p>
    <w:tbl>
      <w:tblPr>
        <w:tblW w:type="auto" w:w="0"/>
        <w:tblLayout w:type="fixed"/>
        <w:tblLook w:firstColumn="1" w:firstRow="1" w:lastColumn="0" w:lastRow="0" w:noHBand="0" w:noVBand="1" w:val="04A0"/>
      </w:tblPr>
      <w:tblGrid>
        <w:gridCol w:w="1944"/>
        <w:gridCol w:w="4032"/>
        <w:gridCol w:w="3960"/>
      </w:tblGrid>
      <w:tr>
        <w:trPr>
          <w:tblHeader/>
        </w:trPr>
        <w:tc>
          <w:tcPr>
            <w:tcW w:type="dxa" w:w="1944"/>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Decision</w:t>
            </w:r>
          </w:p>
        </w:tc>
        <w:tc>
          <w:tcPr>
            <w:tcW w:type="dxa" w:w="4032"/>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Recommended default</w:t>
            </w:r>
          </w:p>
        </w:tc>
        <w:tc>
          <w:tcPr>
            <w:tcW w:type="dxa" w:w="396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Why it matters</w:t>
            </w:r>
          </w:p>
        </w:tc>
      </w:tr>
      <w:t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D01 Target customer</w:t>
            </w:r>
          </w:p>
        </w:tc>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Small service businesses in Sri Lanka</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Keeps inventory and payroll outside the core</w:t>
            </w:r>
          </w:p>
        </w:tc>
      </w:tr>
      <w:tr>
        <w:tc>
          <w:tcPr>
            <w:tcW w:type="dxa" w:w="194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D02 Accounting scope</w:t>
            </w:r>
          </w:p>
        </w:tc>
        <w:tc>
          <w:tcPr>
            <w:tcW w:type="dxa" w:w="403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Accrual double entry; operational reports</w:t>
            </w:r>
          </w:p>
        </w:tc>
        <w:tc>
          <w:tcPr>
            <w:tcW w:type="dxa" w:w="3960"/>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Defines posting dates and separates cash from profit</w:t>
            </w:r>
          </w:p>
        </w:tc>
      </w:tr>
      <w:t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D03 Tenant and currency</w:t>
            </w:r>
          </w:p>
        </w:tc>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One legal entity per tenant; LKR only</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Avoids consolidation and foreign exchange rules</w:t>
            </w:r>
          </w:p>
        </w:tc>
      </w:tr>
      <w:tr>
        <w:tc>
          <w:tcPr>
            <w:tcW w:type="dxa" w:w="194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D04 Approval policy</w:t>
            </w:r>
          </w:p>
        </w:tc>
        <w:tc>
          <w:tcPr>
            <w:tcW w:type="dxa" w:w="403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No self approval; two levels above 25,000</w:t>
            </w:r>
          </w:p>
        </w:tc>
        <w:tc>
          <w:tcPr>
            <w:tcW w:type="dxa" w:w="3960"/>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Defines authorization and workflow versions</w:t>
            </w:r>
          </w:p>
        </w:tc>
      </w:tr>
      <w:t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D05 Payment execution</w:t>
            </w:r>
          </w:p>
        </w:tc>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Record confirmed payments; no automatic payouts</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Keeps payout integrations and bank risk outside v1</w:t>
            </w:r>
          </w:p>
        </w:tc>
      </w:tr>
      <w:tr>
        <w:tc>
          <w:tcPr>
            <w:tcW w:type="dxa" w:w="194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D06 PayHere purpose</w:t>
            </w:r>
          </w:p>
        </w:tc>
        <w:tc>
          <w:tcPr>
            <w:tcW w:type="dxa" w:w="403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Platform subscription only; manual renewal</w:t>
            </w:r>
          </w:p>
        </w:tc>
        <w:tc>
          <w:tcPr>
            <w:tcW w:type="dxa" w:w="3960"/>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Separates provider billing from tenant funds</w:t>
            </w:r>
          </w:p>
        </w:tc>
      </w:tr>
      <w:t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D07 Tax scope</w:t>
            </w:r>
          </w:p>
        </w:tc>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Configurable reviewed tax codes; no filing</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Requires accountant review without claiming certification</w:t>
            </w:r>
          </w:p>
        </w:tc>
      </w:tr>
      <w:tr>
        <w:tc>
          <w:tcPr>
            <w:tcW w:type="dxa" w:w="194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D08 AI authority</w:t>
            </w:r>
          </w:p>
        </w:tc>
        <w:tc>
          <w:tcPr>
            <w:tcW w:type="dxa" w:w="403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Suggestions and cited answers only</w:t>
            </w:r>
          </w:p>
        </w:tc>
        <w:tc>
          <w:tcPr>
            <w:tcW w:type="dxa" w:w="3960"/>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Protects ledger correctness and explains human oversight</w:t>
            </w:r>
          </w:p>
        </w:tc>
      </w:tr>
      <w:t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D09 OCR and AI providers</w:t>
            </w:r>
          </w:p>
        </w:tc>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Choose after a sample accuracy and cost evaluation</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Determines language support, latency and privacy</w:t>
            </w:r>
          </w:p>
        </w:tc>
      </w:tr>
      <w:tr>
        <w:tc>
          <w:tcPr>
            <w:tcW w:type="dxa" w:w="194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D10 Technology</w:t>
            </w:r>
          </w:p>
        </w:tc>
        <w:tc>
          <w:tcPr>
            <w:tcW w:type="dxa" w:w="403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Java Spring Boot, React TypeScript, relational DB</w:t>
            </w:r>
          </w:p>
        </w:tc>
        <w:tc>
          <w:tcPr>
            <w:tcW w:type="dxa" w:w="3960"/>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Fits your experience; freeze versions at setup</w:t>
            </w:r>
          </w:p>
        </w:tc>
      </w:tr>
      <w:t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D11 Service structure</w:t>
            </w:r>
          </w:p>
        </w:tc>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Modular monolith plus background workers</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Makes transactions practical without early microservices</w:t>
            </w:r>
          </w:p>
        </w:tc>
      </w:tr>
      <w:tr>
        <w:tc>
          <w:tcPr>
            <w:tcW w:type="dxa" w:w="194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D12 Documents and storage</w:t>
            </w:r>
          </w:p>
        </w:tc>
        <w:tc>
          <w:tcPr>
            <w:tcW w:type="dxa" w:w="403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Private object storage with signed access</w:t>
            </w:r>
          </w:p>
        </w:tc>
        <w:tc>
          <w:tcPr>
            <w:tcW w:type="dxa" w:w="3960"/>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Defines evidence security and processing pipeline</w:t>
            </w:r>
          </w:p>
        </w:tc>
      </w:tr>
      <w:t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D13 Retention and access</w:t>
            </w:r>
          </w:p>
        </w:tc>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Class based retention; export after suspension</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Needs legal review before real customers</w:t>
            </w:r>
          </w:p>
        </w:tc>
      </w:tr>
      <w:tr>
        <w:tc>
          <w:tcPr>
            <w:tcW w:type="dxa" w:w="194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D14 Trial and renewal</w:t>
            </w:r>
          </w:p>
        </w:tc>
        <w:tc>
          <w:tcPr>
            <w:tcW w:type="dxa" w:w="403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14 day trial, 7 day grace, no proration</w:t>
            </w:r>
          </w:p>
        </w:tc>
        <w:tc>
          <w:tcPr>
            <w:tcW w:type="dxa" w:w="3960"/>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Makes entitlement tests and customer expectations explicit</w:t>
            </w:r>
          </w:p>
        </w:tc>
      </w:tr>
    </w:tbl>
    <w:p>
      <w:pPr>
        <w:spacing w:after="0"/>
      </w:pPr>
    </w:p>
    <w:p>
      <w:pPr>
        <w:pStyle w:val="Heading2"/>
      </w:pPr>
      <w:r>
        <w:t>Services to settle early</w:t>
      </w:r>
    </w:p>
    <w:p>
      <w:r>
        <w:t>Prepare a PayHere sandbox account and reachable callback environment; choose private storage, email delivery, OCR and AI services after evaluating them. Define secrets, cost caps and provider data settings. Use synthetic receipts until data handling is settled. Containerization can be implemented last; payment and document adapters should already be replaceable.</w:t>
      </w:r>
    </w:p>
    <w:p>
      <w:r>
        <w:br w:type="page"/>
      </w:r>
    </w:p>
    <w:p>
      <w:pPr>
        <w:pStyle w:val="Heading1"/>
      </w:pPr>
      <w:r>
        <w:t>18  Learning and implementation readiness</w:t>
      </w:r>
    </w:p>
    <w:p>
      <w:pPr>
        <w:pStyle w:val="Heading2"/>
      </w:pPr>
      <w:r>
        <w:t>What you should be able to explain before coding</w:t>
      </w:r>
    </w:p>
    <w:p>
      <w:pPr>
        <w:pStyle w:val="ListBullet"/>
      </w:pPr>
      <w:r>
        <w:t>Accounting: double entry, accrual versus cash, chart of accounts, receivables, payables, employee liabilities, credit notes, opening balances, period close and report reconciliation.</w:t>
      </w:r>
    </w:p>
    <w:p>
      <w:pPr>
        <w:pStyle w:val="ListBullet"/>
      </w:pPr>
      <w:r>
        <w:t>Operations: company paid versus employee paid expenses, evidence requirements, approval limits, separation of duties, partial settlements, overpayments, duplicate documents and exceptions.</w:t>
      </w:r>
    </w:p>
    <w:p>
      <w:pPr>
        <w:pStyle w:val="ListBullet"/>
      </w:pPr>
      <w:r>
        <w:t>SaaS: tenant isolation, roles, subscription periods, payment verification, idempotency, entitlements, usage quotas, downgrade and cancellation behavior.</w:t>
      </w:r>
    </w:p>
    <w:p>
      <w:pPr>
        <w:pStyle w:val="ListBullet"/>
      </w:pPr>
      <w:r>
        <w:t>AI and documents: OCR errors, field validation, reviewed versions, retrieval permissions, citations, prompt injection, manual fallback and measured accuracy.</w:t>
      </w:r>
    </w:p>
    <w:p>
      <w:pPr>
        <w:pStyle w:val="Heading2"/>
      </w:pPr>
      <w:r>
        <w:t>Delivery gates for Codex development</w:t>
      </w:r>
    </w:p>
    <w:p>
      <w:r>
        <w:t>Gate 1 — Domain baseline: resolve D01–D08, collect sample documents and agree on posting examples with an accountant. Gate 2 — Foundation: implement organizations, permissions, account setup and balanced ledger posting with isolation tests. Gate 3 — Expenses: implement documents, manual review, approval and reimbursement end to end.</w:t>
      </w:r>
    </w:p>
    <w:p>
      <w:r>
        <w:t>Gate 4 — Accounts: add bills, invoices, credits, payments, allocation and reconciliation. Gate 5 — Reports: reconcile ledger and subledgers, test historical reports and period close. Gate 6 — Assistance and billing: add evaluated OCR and AI, PayHere sandbox verification, quotas and entitlements. Gate 7 — Delivery: add containers, monitored deployment, restore verification and a repeatable interview demo.</w:t>
      </w:r>
    </w:p>
    <w:p>
      <w:pPr>
        <w:pStyle w:val="Heading2"/>
      </w:pPr>
      <w:r>
        <w:t>Reference sources and remaining checks</w:t>
      </w:r>
    </w:p>
    <w:p>
      <w:r>
        <w:t>S1 PayHere Checkout API — notification verification and status codes. https://support.payhere.lk/api-&amp;-mobile-sdk/checkout-api</w:t>
      </w:r>
    </w:p>
    <w:p>
      <w:r>
        <w:t>S2 PayHere Recurring API — recurring callbacks and sandbox limitations. https://support.payhere.lk/api-&amp;-mobile-sdk/recurring-api</w:t>
      </w:r>
    </w:p>
    <w:p>
      <w:r>
        <w:t>S3 Inland Revenue Department VAT guidance — tax configuration review. https://www.ird.gov.lk/en/type%20of%20taxes/sitepages/value%20added%20tax%20%28vat%29.aspx</w:t>
      </w:r>
    </w:p>
    <w:p>
      <w:r>
        <w:t>S4 IRD tax invoice format order — check subsequent notices and operative dates before launch. https://www.ird.gov.lk/en/publications/Gazette_Documents/2026_2481-22_E.pdf</w:t>
      </w:r>
    </w:p>
    <w:p>
      <w:r>
        <w:t>S5 Data Protection Authority legislation and guidance — includes the 2025 amendment. https://www.dpa.gov.lk/guidelines.php</w:t>
      </w:r>
    </w:p>
    <w:p>
      <w:r>
        <w:t>References accessed 10 October 2026 in Asia/Colombo. Business rules BR01–BR57 are proposed product rules. They do not certify statutory accounting, tax invoice compliance or legal readiness. Resolve the listed production checks before onboarding real businesses.</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Version 1.0   •   Proposed baseline   •   10 October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BUSINESS EXPENSE AND ACCOUNTING SAAS   |   DOMAIN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Expense and Accounting SaaS Business Rules</dc:title>
  <dc:subject>Proposed domain specification and implementation decisions</dc:subject>
  <dc:creator>Vishwa Deshan Dayarathne</dc:creator>
  <cp:keywords/>
  <dc:description>generated by python-docx</dc:description>
  <cp:lastModifiedBy/>
  <cp:revision>1</cp:revision>
  <dcterms:created xsi:type="dcterms:W3CDTF">2013-12-23T23:15:00Z</dcterms:created>
  <dcterms:modified xsi:type="dcterms:W3CDTF">2013-12-23T23:15:00Z</dcterms:modified>
  <cp:category/>
</cp:coreProperties>
</file>