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RESEARCH WORKING DOCUMENT: RQ3</w:t>
      </w:r>
    </w:p>
    <w:p>
      <w:pPr>
        <w:jc w:val="center"/>
      </w:pPr>
      <w:r>
        <w:rPr>
          <w:b/>
          <w:sz w:val="28"/>
        </w:rPr>
        <w:t>Adaptive, Fine-Grained, Evidence-Grounded Vision-Language Models</w:t>
      </w:r>
    </w:p>
    <w:p/>
    <w:p>
      <w:pPr>
        <w:pStyle w:val="Heading1"/>
      </w:pPr>
      <w:r>
        <w:t>PROJECT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2F3"/>
            <w:vAlign w:val="cente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Project Title</w:t>
            </w:r>
          </w:p>
        </w:tc>
        <w:tc>
          <w:tcPr>
            <w:tcW w:type="dxa" w:w="5112"/>
            <w:vAlign w:val="center"/>
          </w:tcPr>
          <w:p>
            <w:r>
              <w:t>Adaptive, Fine-Grained, Evidence-Grounded Vision-Language Models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Research Question</w:t>
            </w:r>
          </w:p>
        </w:tc>
        <w:tc>
          <w:tcPr>
            <w:tcW w:type="dxa" w:w="5112"/>
            <w:vAlign w:val="center"/>
          </w:tcPr>
          <w:p>
            <w:r>
              <w:t>RQ3 — Evidence-Grounded Generation &amp; Anti-Hallucination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 Architecture</w:t>
            </w:r>
          </w:p>
        </w:tc>
        <w:tc>
          <w:tcPr>
            <w:tcW w:type="dxa" w:w="5112"/>
            <w:vAlign w:val="center"/>
          </w:tcPr>
          <w:p>
            <w:r>
              <w:t>Decoder-Only Vision-Language Models — LLaVA-1.5, LLaVA-1.6, Qwen2-VL</w:t>
            </w:r>
          </w:p>
        </w:tc>
      </w:tr>
      <w:tr>
        <w:tc>
          <w:tcPr>
            <w:tcW w:type="dxa" w:w="5112"/>
            <w:vAlign w:val="center"/>
          </w:tcPr>
          <w:p>
            <w:r>
              <w:t>Member 1</w:t>
            </w:r>
          </w:p>
        </w:tc>
        <w:tc>
          <w:tcPr>
            <w:tcW w:type="dxa" w:w="5112"/>
            <w:vAlign w:val="center"/>
          </w:tcPr>
          <w:p>
            <w:r>
              <w:t>Visual Perturbation &amp; Adaptive Saliency Lead</w:t>
            </w:r>
          </w:p>
        </w:tc>
      </w:tr>
      <w:tr>
        <w:tc>
          <w:tcPr>
            <w:tcW w:type="dxa" w:w="5112"/>
            <w:vAlign w:val="center"/>
          </w:tcPr>
          <w:p>
            <w:r>
              <w:t>Member 2</w:t>
            </w:r>
          </w:p>
        </w:tc>
        <w:tc>
          <w:tcPr>
            <w:tcW w:type="dxa" w:w="5112"/>
            <w:vAlign w:val="center"/>
          </w:tcPr>
          <w:p>
            <w:r>
              <w:t>Decoding Engine, Logit Calibration &amp; Diagnostic Evaluation Lead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Vision-Language Models (VLMs) frequently suffer from visual object hallucination, where the model generates objects or attributes that are linguistically plausible but absent from the input image. A major cause is the decoder's reliance on parametric language priors instead of continuously verifying visual evidence.</w:t>
      </w:r>
    </w:p>
    <w:p>
      <w:r>
        <w:t>RQ3 addresses this problem through an evidence-grounded generation pipeline consisting of two complementary components.</w:t>
      </w:r>
    </w:p>
    <w:p>
      <w:pPr>
        <w:pStyle w:val="Heading2"/>
      </w:pPr>
      <w:r>
        <w:t>Member 1 — Visual Evidence Extraction &amp; Counterfactual Generation</w:t>
      </w:r>
    </w:p>
    <w:p>
      <w:pPr>
        <w:pStyle w:val="ListBullet"/>
      </w:pPr>
      <w:r>
        <w:t>Extract visual patch embeddings from a frozen CLIP/SigLIP vision encoder.</w:t>
      </w:r>
    </w:p>
    <w:p>
      <w:pPr>
        <w:pStyle w:val="ListBullet"/>
      </w:pPr>
      <w:r>
        <w:t>Compute patch-level saliency using feature divergence from the global visual context.</w:t>
      </w:r>
    </w:p>
    <w:p>
      <w:pPr>
        <w:pStyle w:val="ListBullet"/>
      </w:pPr>
      <w:r>
        <w:t>Identify high-saliency foreground/object patches.</w:t>
      </w:r>
    </w:p>
    <w:p>
      <w:pPr>
        <w:pStyle w:val="ListBullet"/>
      </w:pPr>
      <w:r>
        <w:t>Inject targeted stochastic noise into those patches.</w:t>
      </w:r>
    </w:p>
    <w:p>
      <w:pPr>
        <w:pStyle w:val="ListBullet"/>
      </w:pPr>
      <w:r>
        <w:t>Produce clean visual features, corrupted visual features, saliency mask, and saliency scores.</w:t>
      </w:r>
    </w:p>
    <w:p>
      <w:pPr>
        <w:pStyle w:val="Heading2"/>
      </w:pPr>
      <w:r>
        <w:t>Member 2 — Evidence-Grounded Decoding</w:t>
      </w:r>
    </w:p>
    <w:p>
      <w:pPr>
        <w:pStyle w:val="ListBullet"/>
      </w:pPr>
      <w:r>
        <w:t>Run the clean and corrupted visual streams through the frozen decoder.</w:t>
      </w:r>
    </w:p>
    <w:p>
      <w:pPr>
        <w:pStyle w:val="ListBullet"/>
      </w:pPr>
      <w:r>
        <w:t>Intercept token logits from both streams.</w:t>
      </w:r>
    </w:p>
    <w:p>
      <w:pPr>
        <w:pStyle w:val="ListBullet"/>
      </w:pPr>
      <w:r>
        <w:t>Compare logits under intact and corrupted visual conditions.</w:t>
      </w:r>
    </w:p>
    <w:p>
      <w:pPr>
        <w:pStyle w:val="ListBullet"/>
      </w:pPr>
      <w:r>
        <w:t>Apply Dual-Pass Contrastive Steering.</w:t>
      </w:r>
    </w:p>
    <w:p>
      <w:pPr>
        <w:pStyle w:val="ListBullet"/>
      </w:pPr>
      <w:r>
        <w:t>Restrict decoding using an Adaptive Candidate Pool.</w:t>
      </w:r>
    </w:p>
    <w:p>
      <w:pPr>
        <w:pStyle w:val="ListBullet"/>
      </w:pPr>
      <w:r>
        <w:t>Generate the final grounded response and evaluate hallucination reduction and task preservation.</w:t>
      </w:r>
    </w:p>
    <w:p>
      <w:r>
        <w:t>The two modules form a single pipeline: Member 1 generates clean and counterfactual visual evidence, while Member 2 uses the difference between the two visual conditions to determine whether generated tokens are actually visually grounded.</w:t>
      </w:r>
    </w:p>
    <w:p>
      <w:pPr>
        <w:pStyle w:val="Heading1"/>
      </w:pPr>
      <w:r>
        <w:t>2. OVERALL SYSTEM ARCHITECTURE</w:t>
      </w:r>
    </w:p>
    <w:p>
      <w:pPr>
        <w:ind w:left="360"/>
      </w:pPr>
      <w:r>
        <w:rPr>
          <w:rFonts w:ascii="Courier New" w:hAnsi="Courier New"/>
          <w:sz w:val="17"/>
        </w:rPr>
        <w:t>INPUT IMAGE + TEXT PROMPT</w:t>
        <w:br/>
        <w:t xml:space="preserve">          |</w:t>
        <w:br/>
        <w:t xml:space="preserve">    +-----+-----+</w:t>
        <w:br/>
        <w:t xml:space="preserve">    |           |</w:t>
        <w:br/>
        <w:t xml:space="preserve">    v           v</w:t>
        <w:br/>
        <w:t xml:space="preserve"> MEMBER 1   Frozen Vision Encoder</w:t>
        <w:br/>
        <w:t xml:space="preserve"> Evidence        |</w:t>
        <w:br/>
        <w:t xml:space="preserve"> Module           v</w:t>
        <w:br/>
        <w:t xml:space="preserve">    |       Clean Visual Features V</w:t>
        <w:br/>
        <w:t xml:space="preserve">    v              |</w:t>
        <w:br/>
        <w:t>Saliency           |</w:t>
        <w:br/>
        <w:t>Extraction         |</w:t>
        <w:br/>
        <w:t xml:space="preserve">    |              |</w:t>
        <w:br/>
        <w:t>Top-K Mask         |</w:t>
        <w:br/>
        <w:t xml:space="preserve">    |              |</w:t>
        <w:br/>
        <w:t>Targeted Noise     |</w:t>
        <w:br/>
        <w:t xml:space="preserve">    |              |</w:t>
        <w:br/>
        <w:t xml:space="preserve">    v              v</w:t>
        <w:br/>
        <w:t>Corrupted V~   Intact V</w:t>
        <w:br/>
        <w:t xml:space="preserve">    |              |</w:t>
        <w:br/>
        <w:t xml:space="preserve">    +------+-------+</w:t>
        <w:br/>
        <w:t xml:space="preserve">           |</w:t>
        <w:br/>
        <w:t xml:space="preserve">           v</w:t>
        <w:br/>
        <w:t xml:space="preserve">     BATCHED DUAL STREAM [2,N,D]</w:t>
        <w:br/>
        <w:t xml:space="preserve">           |</w:t>
        <w:br/>
        <w:t xml:space="preserve">           v</w:t>
        <w:br/>
        <w:t xml:space="preserve">     Frozen VLM Decoder</w:t>
        <w:br/>
        <w:t xml:space="preserve">           |</w:t>
        <w:br/>
        <w:t xml:space="preserve">      +----+----+</w:t>
        <w:br/>
        <w:t xml:space="preserve">      |         |</w:t>
        <w:br/>
        <w:t xml:space="preserve">      v         v</w:t>
        <w:br/>
        <w:t xml:space="preserve">    z(V)      z(V~)</w:t>
        <w:br/>
        <w:t xml:space="preserve">      |         |</w:t>
        <w:br/>
        <w:t xml:space="preserve">      +----+----+</w:t>
        <w:br/>
        <w:t xml:space="preserve">           |</w:t>
        <w:br/>
        <w:t xml:space="preserve">           v</w:t>
        <w:br/>
        <w:t xml:space="preserve">     MEMBER 2 DECODER</w:t>
        <w:br/>
        <w:t xml:space="preserve">  Contrastive Calibration</w:t>
        <w:br/>
        <w:t xml:space="preserve">           |</w:t>
        <w:br/>
        <w:t xml:space="preserve">  Adaptive Candidate Pool</w:t>
        <w:br/>
        <w:t xml:space="preserve">           |</w:t>
        <w:br/>
        <w:t xml:space="preserve">           v</w:t>
        <w:br/>
        <w:t xml:space="preserve">    GROUNDED OUTPUT</w:t>
      </w:r>
    </w:p>
    <w:p>
      <w:pPr>
        <w:pStyle w:val="Heading1"/>
      </w:pPr>
      <w:r>
        <w:t>3. MEMBER 1 — VISUAL EVIDENCE EXTRACTION</w:t>
      </w:r>
    </w:p>
    <w:p>
      <w:pPr>
        <w:pStyle w:val="Heading2"/>
      </w:pPr>
      <w:r>
        <w:t>3.1 Feature Ingestion</w:t>
      </w:r>
    </w:p>
    <w:p>
      <w:r>
        <w:t>Let the frozen vision encoder produce:</w:t>
      </w:r>
    </w:p>
    <w:p>
      <w:pPr>
        <w:jc w:val="center"/>
      </w:pPr>
      <w:r>
        <w:rPr>
          <w:b/>
        </w:rPr>
        <w:t>V = [v₁, v₂, …, vₙ] ∈ ℝᴺ×ᴰ</w:t>
      </w:r>
    </w:p>
    <w:p>
      <w:r>
        <w:t>where N is the number of visual patches/tokens and D is the visual embedding dimension. The supplied documentation uses N = 196 patches and D = 1024 as example values.</w:t>
      </w:r>
    </w:p>
    <w:p>
      <w:pPr>
        <w:pStyle w:val="Heading2"/>
      </w:pPr>
      <w:r>
        <w:t>3.2 Global Visual Context</w:t>
      </w:r>
    </w:p>
    <w:p>
      <w:r>
        <w:t>The global visual representation is calculated as:</w:t>
      </w:r>
    </w:p>
    <w:p>
      <w:pPr>
        <w:jc w:val="center"/>
      </w:pPr>
      <w:r>
        <w:rPr>
          <w:b/>
        </w:rPr>
        <w:t>V̄ = (1/N) Σⱼ₌₁ᴺ vⱼ</w:t>
      </w:r>
    </w:p>
    <w:p>
      <w:r>
        <w:t>This provides a reference representation against which individual patches can be compared.</w:t>
      </w:r>
    </w:p>
    <w:p>
      <w:pPr>
        <w:pStyle w:val="Heading2"/>
      </w:pPr>
      <w:r>
        <w:t>3.3 Patch-Level Saliency</w:t>
      </w:r>
    </w:p>
    <w:p>
      <w:r>
        <w:t>For each patch, feature divergence from the global visual context is normalized using softmax:</w:t>
      </w:r>
    </w:p>
    <w:p>
      <w:pPr>
        <w:jc w:val="center"/>
      </w:pPr>
      <w:r>
        <w:rPr>
          <w:b/>
        </w:rPr>
        <w:t>S(vᵢ) = exp((1/τ)||vᵢ − V̄||₂) / Σⱼ exp((1/τ)||vⱼ − V̄||₂)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>
              <w:rPr>
                <w:b/>
              </w:rPr>
              <w:t>Saliency</w:t>
            </w:r>
          </w:p>
        </w:tc>
        <w:tc>
          <w:tcPr>
            <w:tcW w:type="dxa" w:w="5112"/>
            <w:shd w:fill="D9E2F3"/>
            <w:vAlign w:val="center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High S(vᵢ)</w:t>
            </w:r>
          </w:p>
        </w:tc>
        <w:tc>
          <w:tcPr>
            <w:tcW w:type="dxa" w:w="5112"/>
            <w:vAlign w:val="center"/>
          </w:tcPr>
          <w:p>
            <w:r>
              <w:t>Distinctive foreground/entity information such as animals, key objects, or text.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Low S(vᵢ)</w:t>
            </w:r>
          </w:p>
        </w:tc>
        <w:tc>
          <w:tcPr>
            <w:tcW w:type="dxa" w:w="5112"/>
            <w:vAlign w:val="center"/>
          </w:tcPr>
          <w:p>
            <w:r>
              <w:t>Background context such as sky, walls, or floors.</w:t>
            </w:r>
          </w:p>
        </w:tc>
      </w:tr>
    </w:tbl>
    <w:p/>
    <w:p>
      <w:pPr>
        <w:pStyle w:val="Heading1"/>
      </w:pPr>
      <w:r>
        <w:t>4. COUNTERFACTUAL VISUAL PERTURBATION</w:t>
      </w:r>
    </w:p>
    <w:p>
      <w:r>
        <w:t>A binary mask selects the top K% highest-saliency patches:</w:t>
      </w:r>
    </w:p>
    <w:p>
      <w:pPr>
        <w:jc w:val="center"/>
      </w:pPr>
      <w:r>
        <w:rPr>
          <w:b/>
        </w:rPr>
        <w:t>Mᵢ = 1 if S(vᵢ) ≥ TopK(S(V)); otherwise Mᵢ = 0</w:t>
      </w:r>
    </w:p>
    <w:p>
      <w:r>
        <w:t>Gaussian noise is then applied only to selected patches:</w:t>
      </w:r>
    </w:p>
    <w:p>
      <w:pPr>
        <w:jc w:val="center"/>
      </w:pPr>
      <w:r>
        <w:rPr>
          <w:b/>
        </w:rPr>
        <w:t>ṽᵢ = vᵢ + Mᵢδᵢ,   δᵢ ~ N(0, σ² · Var(V))</w:t>
      </w:r>
    </w:p>
    <w:p>
      <w:r>
        <w:t>When Mᵢ = 1, the visual evidence is corrupted; when Mᵢ = 0, the patch remains unchanged. This preserves background layout and context while selectively degrading high-saliency object regions.</w:t>
      </w:r>
    </w:p>
    <w:p>
      <w:pPr>
        <w:pStyle w:val="Heading1"/>
      </w:pPr>
      <w:r>
        <w:t>5. MEMBER 1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556"/>
            <w:vAlign w:val="center"/>
          </w:tcPr>
          <w:p>
            <w:r>
              <w:t>V_intact</w:t>
            </w:r>
          </w:p>
        </w:tc>
        <w:tc>
          <w:tcPr>
            <w:tcW w:type="dxa" w:w="2556"/>
            <w:vAlign w:val="center"/>
          </w:tcPr>
          <w:p>
            <w:r>
              <w:t>[B,N,D]</w:t>
            </w:r>
          </w:p>
        </w:tc>
        <w:tc>
          <w:tcPr>
            <w:tcW w:type="dxa" w:w="2556"/>
            <w:vAlign w:val="center"/>
          </w:tcPr>
          <w:p>
            <w:r>
              <w:t>Float32</w:t>
            </w:r>
          </w:p>
        </w:tc>
        <w:tc>
          <w:tcPr>
            <w:tcW w:type="dxa" w:w="2556"/>
            <w:vAlign w:val="center"/>
          </w:tcPr>
          <w:p>
            <w:r>
              <w:t>Original visual features</w:t>
            </w:r>
          </w:p>
        </w:tc>
      </w:tr>
      <w:tr>
        <w:tc>
          <w:tcPr>
            <w:tcW w:type="dxa" w:w="2556"/>
            <w:vAlign w:val="center"/>
          </w:tcPr>
          <w:p>
            <w:r>
              <w:t>V_corrupted</w:t>
            </w:r>
          </w:p>
        </w:tc>
        <w:tc>
          <w:tcPr>
            <w:tcW w:type="dxa" w:w="2556"/>
            <w:vAlign w:val="center"/>
          </w:tcPr>
          <w:p>
            <w:r>
              <w:t>[B,N,D]</w:t>
            </w:r>
          </w:p>
        </w:tc>
        <w:tc>
          <w:tcPr>
            <w:tcW w:type="dxa" w:w="2556"/>
            <w:vAlign w:val="center"/>
          </w:tcPr>
          <w:p>
            <w:r>
              <w:t>Float32</w:t>
            </w:r>
          </w:p>
        </w:tc>
        <w:tc>
          <w:tcPr>
            <w:tcW w:type="dxa" w:w="2556"/>
            <w:vAlign w:val="center"/>
          </w:tcPr>
          <w:p>
            <w:r>
              <w:t>Counterfactual features with targeted noise</w:t>
            </w:r>
          </w:p>
        </w:tc>
      </w:tr>
      <w:tr>
        <w:tc>
          <w:tcPr>
            <w:tcW w:type="dxa" w:w="2556"/>
            <w:vAlign w:val="center"/>
          </w:tcPr>
          <w:p>
            <w:r>
              <w:t>saliency_mask</w:t>
            </w:r>
          </w:p>
        </w:tc>
        <w:tc>
          <w:tcPr>
            <w:tcW w:type="dxa" w:w="2556"/>
            <w:vAlign w:val="center"/>
          </w:tcPr>
          <w:p>
            <w:r>
              <w:t>[B,N]</w:t>
            </w:r>
          </w:p>
        </w:tc>
        <w:tc>
          <w:tcPr>
            <w:tcW w:type="dxa" w:w="2556"/>
            <w:vAlign w:val="center"/>
          </w:tcPr>
          <w:p>
            <w:r>
              <w:t>Binary</w:t>
            </w:r>
          </w:p>
        </w:tc>
        <w:tc>
          <w:tcPr>
            <w:tcW w:type="dxa" w:w="2556"/>
            <w:vAlign w:val="center"/>
          </w:tcPr>
          <w:p>
            <w:r>
              <w:t>Indicates perturbed foreground patches</w:t>
            </w:r>
          </w:p>
        </w:tc>
      </w:tr>
      <w:tr>
        <w:tc>
          <w:tcPr>
            <w:tcW w:type="dxa" w:w="2556"/>
            <w:vAlign w:val="center"/>
          </w:tcPr>
          <w:p>
            <w:r>
              <w:t>saliency_scores</w:t>
            </w:r>
          </w:p>
        </w:tc>
        <w:tc>
          <w:tcPr>
            <w:tcW w:type="dxa" w:w="2556"/>
            <w:vAlign w:val="center"/>
          </w:tcPr>
          <w:p>
            <w:r>
              <w:t>[B,N]</w:t>
            </w:r>
          </w:p>
        </w:tc>
        <w:tc>
          <w:tcPr>
            <w:tcW w:type="dxa" w:w="2556"/>
            <w:vAlign w:val="center"/>
          </w:tcPr>
          <w:p>
            <w:r>
              <w:t>Float32</w:t>
            </w:r>
          </w:p>
        </w:tc>
        <w:tc>
          <w:tcPr>
            <w:tcW w:type="dxa" w:w="2556"/>
            <w:vAlign w:val="center"/>
          </w:tcPr>
          <w:p>
            <w:r>
              <w:t>Patch-importance distribution</w:t>
            </w:r>
          </w:p>
        </w:tc>
      </w:tr>
    </w:tbl>
    <w:p/>
    <w:p>
      <w:pPr>
        <w:pStyle w:val="Heading1"/>
      </w:pPr>
      <w:r>
        <w:t>6. MEMBER 2 — CONDITIONING DILUTION PROBLEM</w:t>
      </w:r>
    </w:p>
    <w:p>
      <w:r>
        <w:t>The decoder generates an autoregressive sequence y = (y₁, y₂, …, yₜ) conditioned on the text query x, visual embeddings V, and previously generated tokens y&lt;ₜ.</w:t>
      </w:r>
    </w:p>
    <w:p>
      <w:pPr>
        <w:jc w:val="center"/>
      </w:pPr>
      <w:r>
        <w:rPr>
          <w:b/>
        </w:rPr>
        <w:t>p(yₜ | x,V,y&lt;ₜ) = softmax(z(yₜ | x,V,y&lt;ₜ))</w:t>
      </w:r>
    </w:p>
    <w:p>
      <w:r>
        <w:t>A useful conceptual decomposition is the sum of a language-prior component and a visual-information component. As generation progresses, visual conditioning can become relatively weaker than learned linguistic associations, allowing language priors to dominate and produce hallucinated objects or attributes.</w:t>
      </w:r>
    </w:p>
    <w:p>
      <w:pPr>
        <w:pStyle w:val="Heading1"/>
      </w:pPr>
      <w:r>
        <w:t>7. INFORMATION-THEORETIC GROUNDEDNESS TEST</w:t>
      </w:r>
    </w:p>
    <w:p>
      <w:r>
        <w:t>The core connection between Member 1 and Member 2 is the change in token logits after visual evidence is corrupted:</w:t>
      </w:r>
    </w:p>
    <w:p>
      <w:pPr>
        <w:jc w:val="center"/>
      </w:pPr>
      <w:r>
        <w:rPr>
          <w:b/>
        </w:rPr>
        <w:t>Δz(tᵢ) = z(tᵢ|V) − z(tᵢ|Ṽ)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  <w:vAlign w:val="center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112"/>
            <w:shd w:fill="D9E2F3"/>
            <w:vAlign w:val="center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Δz(tᵢ) ≫ 0</w:t>
            </w:r>
          </w:p>
        </w:tc>
        <w:tc>
          <w:tcPr>
            <w:tcW w:type="dxa" w:w="5112"/>
            <w:vAlign w:val="center"/>
          </w:tcPr>
          <w:p>
            <w:r>
              <w:t>Token is strongly dependent on visual evidence and is likely visually grounded.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Δz(tᵢ) ≈ 0</w:t>
            </w:r>
          </w:p>
        </w:tc>
        <w:tc>
          <w:tcPr>
            <w:tcW w:type="dxa" w:w="5112"/>
            <w:vAlign w:val="center"/>
          </w:tcPr>
          <w:p>
            <w:r>
              <w:t>Token remains supported after evidence corruption and may be driven by language priors.</w:t>
            </w:r>
          </w:p>
        </w:tc>
      </w:tr>
    </w:tbl>
    <w:p/>
    <w:p>
      <w:pPr>
        <w:pStyle w:val="Heading1"/>
      </w:pPr>
      <w:r>
        <w:t>8. DUAL-PASS CONTRASTIVE CALIBRATION</w:t>
      </w:r>
    </w:p>
    <w:p>
      <w:r>
        <w:t>Member 2 uses the clean and corrupted decoder passes to construct a calibrated logit:</w:t>
      </w:r>
    </w:p>
    <w:p>
      <w:pPr>
        <w:jc w:val="center"/>
      </w:pPr>
      <w:r>
        <w:rPr>
          <w:b/>
        </w:rPr>
        <w:t>z̃(yₜ) = z(yₜ|V) + α[z(yₜ|V) − z(yₜ|Ṽ)]</w:t>
      </w:r>
    </w:p>
    <w:p>
      <w:pPr>
        <w:jc w:val="center"/>
      </w:pPr>
      <w:r>
        <w:rPr>
          <w:b/>
        </w:rPr>
        <w:t>= (1 + α)z(yₜ|V) − αz(yₜ|Ṽ)</w:t>
      </w:r>
    </w:p>
    <w:p>
      <w:r>
        <w:t>where α ≥ 0 is the contrastive steering coefficient.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Token Type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Logit Behaviour</w:t>
            </w:r>
          </w:p>
        </w:tc>
        <w:tc>
          <w:tcPr>
            <w:tcW w:type="dxa" w:w="3408"/>
            <w:shd w:fill="D9E2F3"/>
            <w:vAlign w:val="center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3408"/>
            <w:vAlign w:val="center"/>
          </w:tcPr>
          <w:p>
            <w:r>
              <w:t>Visually grounded</w:t>
            </w:r>
          </w:p>
        </w:tc>
        <w:tc>
          <w:tcPr>
            <w:tcW w:type="dxa" w:w="3408"/>
            <w:vAlign w:val="center"/>
          </w:tcPr>
          <w:p>
            <w:r>
              <w:t>z(yₜ|V) ≫ z(yₜ|Ṽ)</w:t>
            </w:r>
          </w:p>
        </w:tc>
        <w:tc>
          <w:tcPr>
            <w:tcW w:type="dxa" w:w="3408"/>
            <w:vAlign w:val="center"/>
          </w:tcPr>
          <w:p>
            <w:r>
              <w:t>Contrastive term increases its calibrated logit.</w:t>
            </w:r>
          </w:p>
        </w:tc>
      </w:tr>
      <w:tr>
        <w:tc>
          <w:tcPr>
            <w:tcW w:type="dxa" w:w="3408"/>
            <w:vAlign w:val="center"/>
          </w:tcPr>
          <w:p>
            <w:r>
              <w:t>Potentially hallucinated</w:t>
            </w:r>
          </w:p>
        </w:tc>
        <w:tc>
          <w:tcPr>
            <w:tcW w:type="dxa" w:w="3408"/>
            <w:vAlign w:val="center"/>
          </w:tcPr>
          <w:p>
            <w:r>
              <w:t>z(yₜ|V) ≈ z(yₜ|Ṽ)</w:t>
            </w:r>
          </w:p>
        </w:tc>
        <w:tc>
          <w:tcPr>
            <w:tcW w:type="dxa" w:w="3408"/>
            <w:vAlign w:val="center"/>
          </w:tcPr>
          <w:p>
            <w:r>
              <w:t>Receives little or no contrastive benefit.</w:t>
            </w:r>
          </w:p>
        </w:tc>
      </w:tr>
    </w:tbl>
    <w:p/>
    <w:p>
      <w:pPr>
        <w:pStyle w:val="Heading1"/>
      </w:pPr>
      <w:r>
        <w:t>9. ADAPTIVE CANDIDATE POOL TRUNCATION</w:t>
      </w:r>
    </w:p>
    <w:p>
      <w:r>
        <w:t>Pure logit subtraction can artificially promote low-probability tail tokens. To avoid this, Member 2 constructs an adaptive candidate pool from the original clean-stream probabilities:</w:t>
      </w:r>
    </w:p>
    <w:p>
      <w:pPr>
        <w:jc w:val="center"/>
      </w:pPr>
      <w:r>
        <w:rPr>
          <w:b/>
        </w:rPr>
        <w:t>V_head(t) = { w ∈ V | p(w|x,V,y&lt;ₜ) ≥ β · maxᵤ p(u|x,V,y&lt;ₜ) }</w:t>
      </w:r>
    </w:p>
    <w:p>
      <w:r>
        <w:t>where 0 &lt; β &lt; 1. The proposed typical value is β = 0.1.</w:t>
      </w:r>
    </w:p>
    <w:p>
      <w:r>
        <w:t>Tokens outside V_head are masked to −∞ before sampling. This combines visual grounding with linguistic plausibility, helping preserve fluency and syntactic consistency.</w:t>
      </w:r>
    </w:p>
    <w:p>
      <w:pPr>
        <w:pStyle w:val="Heading1"/>
      </w:pPr>
      <w:r>
        <w:t>10. COMPLETE DECODING PIPELINE</w:t>
      </w:r>
    </w:p>
    <w:p>
      <w:pPr>
        <w:pStyle w:val="ListNumber"/>
      </w:pPr>
      <w:r>
        <w:rPr>
          <w:b/>
        </w:rPr>
        <w:t xml:space="preserve">Step 1 — Clean forward pass: </w:t>
      </w:r>
      <w:r>
        <w:t>Compute zₜ = z(·|V,x,y&lt;ₜ).</w:t>
      </w:r>
    </w:p>
    <w:p>
      <w:pPr>
        <w:pStyle w:val="ListNumber"/>
      </w:pPr>
      <w:r>
        <w:rPr>
          <w:b/>
        </w:rPr>
        <w:t xml:space="preserve">Step 2 — Counterfactual forward pass: </w:t>
      </w:r>
      <w:r>
        <w:t>Compute z̃ₜ = z(·|Ṽ,x,y&lt;ₜ).</w:t>
      </w:r>
    </w:p>
    <w:p>
      <w:pPr>
        <w:pStyle w:val="ListNumber"/>
      </w:pPr>
      <w:r>
        <w:rPr>
          <w:b/>
        </w:rPr>
        <w:t xml:space="preserve">Step 3 — Candidate pool: </w:t>
      </w:r>
      <w:r>
        <w:t>Construct V_head(t) using clean-stream probabilities.</w:t>
      </w:r>
    </w:p>
    <w:p>
      <w:pPr>
        <w:pStyle w:val="ListNumber"/>
      </w:pPr>
      <w:r>
        <w:rPr>
          <w:b/>
        </w:rPr>
        <w:t xml:space="preserve">Step 4 — Contrastive calibration: </w:t>
      </w:r>
      <w:r>
        <w:t>Compute z*ₜ = zₜ + α(zₜ − z̃ₜ).</w:t>
      </w:r>
    </w:p>
    <w:p>
      <w:pPr>
        <w:pStyle w:val="ListNumber"/>
      </w:pPr>
      <w:r>
        <w:rPr>
          <w:b/>
        </w:rPr>
        <w:t xml:space="preserve">Step 5 — Masking: </w:t>
      </w:r>
      <w:r>
        <w:t>Set z*ₜ(w) = −∞ for w ∉ V_head(t).</w:t>
      </w:r>
    </w:p>
    <w:p>
      <w:pPr>
        <w:pStyle w:val="ListNumber"/>
      </w:pPr>
      <w:r>
        <w:rPr>
          <w:b/>
        </w:rPr>
        <w:t xml:space="preserve">Step 6 — Decode: </w:t>
      </w:r>
      <w:r>
        <w:t>Apply softmax/sampling or the selected decoding strategy.</w:t>
      </w:r>
    </w:p>
    <w:p>
      <w:pPr>
        <w:pStyle w:val="ListNumber"/>
      </w:pPr>
      <w:r>
        <w:rPr>
          <w:b/>
        </w:rPr>
        <w:t xml:space="preserve">Step 7 — Autoregressive continuation: </w:t>
      </w:r>
      <w:r>
        <w:t>Append the selected token and repeat for the next timestep.</w:t>
      </w:r>
    </w:p>
    <w:p>
      <w:pPr>
        <w:pStyle w:val="Heading1"/>
      </w:pPr>
      <w:r>
        <w:t>11. EMPIRICAL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Benchmark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Failure Mode / Purpose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Metrics</w:t>
            </w:r>
          </w:p>
        </w:tc>
        <w:tc>
          <w:tcPr>
            <w:tcW w:type="dxa" w:w="2556"/>
            <w:shd w:fill="D9E2F3"/>
            <w:vAlign w:val="center"/>
          </w:tcPr>
          <w:p>
            <w:r>
              <w:rPr>
                <w:b/>
              </w:rPr>
              <w:t>Configuration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POPE</w:t>
            </w:r>
          </w:p>
        </w:tc>
        <w:tc>
          <w:tcPr>
            <w:tcW w:type="dxa" w:w="2556"/>
            <w:vAlign w:val="center"/>
          </w:tcPr>
          <w:p>
            <w:r>
              <w:t>Binary object hallucination</w:t>
            </w:r>
          </w:p>
        </w:tc>
        <w:tc>
          <w:tcPr>
            <w:tcW w:type="dxa" w:w="2556"/>
            <w:vAlign w:val="center"/>
          </w:tcPr>
          <w:p>
            <w:r>
              <w:t>Accuracy, Precision, Recall, F1</w:t>
            </w:r>
          </w:p>
        </w:tc>
        <w:tc>
          <w:tcPr>
            <w:tcW w:type="dxa" w:w="2556"/>
            <w:vAlign w:val="center"/>
          </w:tcPr>
          <w:p>
            <w:r>
              <w:t>Random, Popular, Adversarial</w:t>
            </w:r>
          </w:p>
        </w:tc>
      </w:tr>
      <w:tr>
        <w:tc>
          <w:tcPr>
            <w:tcW w:type="dxa" w:w="2556"/>
            <w:vAlign w:val="center"/>
          </w:tcPr>
          <w:p>
            <w:r>
              <w:t>CHAIR</w:t>
            </w:r>
          </w:p>
        </w:tc>
        <w:tc>
          <w:tcPr>
            <w:tcW w:type="dxa" w:w="2556"/>
            <w:vAlign w:val="center"/>
          </w:tcPr>
          <w:p>
            <w:r>
              <w:t>Open-captioning faithfulness</w:t>
            </w:r>
          </w:p>
        </w:tc>
        <w:tc>
          <w:tcPr>
            <w:tcW w:type="dxa" w:w="2556"/>
            <w:vAlign w:val="center"/>
          </w:tcPr>
          <w:p>
            <w:r>
              <w:t>CHAIR-S, CHAIR-I</w:t>
            </w:r>
          </w:p>
        </w:tc>
        <w:tc>
          <w:tcPr>
            <w:tcW w:type="dxa" w:w="2556"/>
            <w:vAlign w:val="center"/>
          </w:tcPr>
          <w:p>
            <w:r>
              <w:t>MS-COCO 2014 validation subset, 500 images</w:t>
            </w:r>
          </w:p>
        </w:tc>
      </w:tr>
      <w:tr>
        <w:tc>
          <w:tcPr>
            <w:tcW w:type="dxa" w:w="2556"/>
            <w:vAlign w:val="center"/>
          </w:tcPr>
          <w:p>
            <w:r>
              <w:t>HallusionBench</w:t>
            </w:r>
          </w:p>
        </w:tc>
        <w:tc>
          <w:tcPr>
            <w:tcW w:type="dxa" w:w="2556"/>
            <w:vAlign w:val="center"/>
          </w:tcPr>
          <w:p>
            <w:r>
              <w:t>Language bias / visual illusion</w:t>
            </w:r>
          </w:p>
        </w:tc>
        <w:tc>
          <w:tcPr>
            <w:tcW w:type="dxa" w:w="2556"/>
            <w:vAlign w:val="center"/>
          </w:tcPr>
          <w:p>
            <w:r>
              <w:t>Question-pair consistency</w:t>
            </w:r>
          </w:p>
        </w:tc>
        <w:tc>
          <w:tcPr>
            <w:tcW w:type="dxa" w:w="2556"/>
            <w:vAlign w:val="center"/>
          </w:tcPr>
          <w:p>
            <w:r>
              <w:t>Visual reasoning / entangled subsets</w:t>
            </w:r>
          </w:p>
        </w:tc>
      </w:tr>
      <w:tr>
        <w:tc>
          <w:tcPr>
            <w:tcW w:type="dxa" w:w="2556"/>
            <w:vAlign w:val="center"/>
          </w:tcPr>
          <w:p>
            <w:r>
              <w:t>VQAv2</w:t>
            </w:r>
          </w:p>
        </w:tc>
        <w:tc>
          <w:tcPr>
            <w:tcW w:type="dxa" w:w="2556"/>
            <w:vAlign w:val="center"/>
          </w:tcPr>
          <w:p>
            <w:r>
              <w:t>Preserve VQA capability</w:t>
            </w:r>
          </w:p>
        </w:tc>
        <w:tc>
          <w:tcPr>
            <w:tcW w:type="dxa" w:w="2556"/>
            <w:vAlign w:val="center"/>
          </w:tcPr>
          <w:p>
            <w:r>
              <w:t>Top-1 Accuracy</w:t>
            </w:r>
          </w:p>
        </w:tc>
        <w:tc>
          <w:tcPr>
            <w:tcW w:type="dxa" w:w="2556"/>
            <w:vAlign w:val="center"/>
          </w:tcPr>
          <w:p>
            <w:r>
              <w:t>Standard validation split</w:t>
            </w:r>
          </w:p>
        </w:tc>
      </w:tr>
      <w:tr>
        <w:tc>
          <w:tcPr>
            <w:tcW w:type="dxa" w:w="2556"/>
            <w:vAlign w:val="center"/>
          </w:tcPr>
          <w:p>
            <w:r>
              <w:t>GQA</w:t>
            </w:r>
          </w:p>
        </w:tc>
        <w:tc>
          <w:tcPr>
            <w:tcW w:type="dxa" w:w="2556"/>
            <w:vAlign w:val="center"/>
          </w:tcPr>
          <w:p>
            <w:r>
              <w:t>Preserve visual reasoning</w:t>
            </w:r>
          </w:p>
        </w:tc>
        <w:tc>
          <w:tcPr>
            <w:tcW w:type="dxa" w:w="2556"/>
            <w:vAlign w:val="center"/>
          </w:tcPr>
          <w:p>
            <w:r>
              <w:t>Top-1 Accuracy</w:t>
            </w:r>
          </w:p>
        </w:tc>
        <w:tc>
          <w:tcPr>
            <w:tcW w:type="dxa" w:w="2556"/>
            <w:vAlign w:val="center"/>
          </w:tcPr>
          <w:p>
            <w:r>
              <w:t>Standard validation split</w:t>
            </w:r>
          </w:p>
        </w:tc>
      </w:tr>
    </w:tbl>
    <w:p/>
    <w:p>
      <w:r>
        <w:t>The target is:</w:t>
      </w:r>
    </w:p>
    <w:p>
      <w:pPr>
        <w:jc w:val="center"/>
      </w:pPr>
      <w:r>
        <w:rPr>
          <w:b/>
        </w:rPr>
        <w:t>Hallucination ↓  +  Task Accuracy ≈ Baseline</w:t>
      </w:r>
    </w:p>
    <w:p>
      <w:pPr>
        <w:pStyle w:val="Heading1"/>
      </w:pPr>
      <w:r>
        <w:t>12. MEMBER 1 INDEPENDENT VALIDATION</w:t>
      </w:r>
    </w:p>
    <w:p>
      <w:pPr>
        <w:pStyle w:val="Heading2"/>
      </w:pPr>
      <w:r>
        <w:t>12.1 Saliency Localization Accuracy</w:t>
      </w:r>
    </w:p>
    <w:p>
      <w:r>
        <w:t>Measure Intersection over Union (IoU) between the generated saliency mask and ground-truth bounding boxes from RefCOCO and Visual Genome dataset splits.</w:t>
      </w:r>
    </w:p>
    <w:p>
      <w:pPr>
        <w:jc w:val="center"/>
      </w:pPr>
      <w:r>
        <w:rPr>
          <w:b/>
        </w:rPr>
        <w:t>IoU = |M ∩ G| / |M ∪ G|</w:t>
      </w:r>
    </w:p>
    <w:p>
      <w:pPr>
        <w:pStyle w:val="Heading2"/>
      </w:pPr>
      <w:r>
        <w:t>12.2 Feature Dissimilarity Sweep</w:t>
      </w:r>
    </w:p>
    <w:p>
      <w:r>
        <w:t>Evaluate cosine distance across different noise scaling parameters σ ∈ [0.1, 1.0] to confirm visual semantic degradation without causing NaN states in downstream transformer layers.</w:t>
      </w:r>
    </w:p>
    <w:p>
      <w:pPr>
        <w:pStyle w:val="Heading2"/>
      </w:pPr>
      <w:r>
        <w:t>12.3 Execution Overhead</w:t>
      </w:r>
    </w:p>
    <w:p>
      <w:r>
        <w:t>Benchmark feature extraction and noise injection. The supplied documentation specifies a target latency below 2.0 ms per batch on standard GPU hardware such as NVIDIA RTX 3090/A100.</w:t>
      </w:r>
    </w:p>
    <w:p>
      <w:pPr>
        <w:pStyle w:val="Heading1"/>
      </w:pPr>
      <w:r>
        <w:t>13. INTEGRATED EXPERIMENTAL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2F3"/>
            <w:vAlign w:val="center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045"/>
            <w:shd w:fill="D9E2F3"/>
            <w:vAlign w:val="center"/>
          </w:tcPr>
          <w:p>
            <w:r>
              <w:rPr>
                <w:b/>
              </w:rPr>
              <w:t>Visual Perturbation</w:t>
            </w:r>
          </w:p>
        </w:tc>
        <w:tc>
          <w:tcPr>
            <w:tcW w:type="dxa" w:w="2045"/>
            <w:shd w:fill="D9E2F3"/>
            <w:vAlign w:val="center"/>
          </w:tcPr>
          <w:p>
            <w:r>
              <w:rPr>
                <w:b/>
              </w:rPr>
              <w:t>Contrastive Decoding</w:t>
            </w:r>
          </w:p>
        </w:tc>
        <w:tc>
          <w:tcPr>
            <w:tcW w:type="dxa" w:w="2045"/>
            <w:shd w:fill="D9E2F3"/>
            <w:vAlign w:val="center"/>
          </w:tcPr>
          <w:p>
            <w:r>
              <w:rPr>
                <w:b/>
              </w:rPr>
              <w:t>Candidate Pool</w:t>
            </w:r>
          </w:p>
        </w:tc>
        <w:tc>
          <w:tcPr>
            <w:tcW w:type="dxa" w:w="2045"/>
            <w:shd w:fill="D9E2F3"/>
            <w:vAlign w:val="center"/>
          </w:tcPr>
          <w:p>
            <w:r>
              <w:rPr>
                <w:b/>
              </w:rPr>
              <w:t>Expected Evaluation</w:t>
            </w:r>
          </w:p>
        </w:tc>
      </w:tr>
      <w:tr>
        <w:tc>
          <w:tcPr>
            <w:tcW w:type="dxa" w:w="2045"/>
            <w:vAlign w:val="center"/>
          </w:tcPr>
          <w:p>
            <w:r>
              <w:t>Original VLM</w:t>
            </w:r>
          </w:p>
        </w:tc>
        <w:tc>
          <w:tcPr>
            <w:tcW w:type="dxa" w:w="2045"/>
            <w:vAlign w:val="center"/>
          </w:tcPr>
          <w:p>
            <w:r>
              <w:t>✗</w:t>
            </w:r>
          </w:p>
        </w:tc>
        <w:tc>
          <w:tcPr>
            <w:tcW w:type="dxa" w:w="2045"/>
            <w:vAlign w:val="center"/>
          </w:tcPr>
          <w:p>
            <w:r>
              <w:t>✗</w:t>
            </w:r>
          </w:p>
        </w:tc>
        <w:tc>
          <w:tcPr>
            <w:tcW w:type="dxa" w:w="2045"/>
            <w:vAlign w:val="center"/>
          </w:tcPr>
          <w:p>
            <w:r>
              <w:t>✗</w:t>
            </w:r>
          </w:p>
        </w:tc>
        <w:tc>
          <w:tcPr>
            <w:tcW w:type="dxa" w:w="2045"/>
            <w:vAlign w:val="center"/>
          </w:tcPr>
          <w:p>
            <w:r>
              <w:t>Baseline hallucination and accuracy</w:t>
            </w:r>
          </w:p>
        </w:tc>
      </w:tr>
      <w:tr>
        <w:tc>
          <w:tcPr>
            <w:tcW w:type="dxa" w:w="2045"/>
            <w:vAlign w:val="center"/>
          </w:tcPr>
          <w:p>
            <w:r>
              <w:t>Perturbation only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✗</w:t>
            </w:r>
          </w:p>
        </w:tc>
        <w:tc>
          <w:tcPr>
            <w:tcW w:type="dxa" w:w="2045"/>
            <w:vAlign w:val="center"/>
          </w:tcPr>
          <w:p>
            <w:r>
              <w:t>✗</w:t>
            </w:r>
          </w:p>
        </w:tc>
        <w:tc>
          <w:tcPr>
            <w:tcW w:type="dxa" w:w="2045"/>
            <w:vAlign w:val="center"/>
          </w:tcPr>
          <w:p>
            <w:r>
              <w:t>Assess counterfactual signal</w:t>
            </w:r>
          </w:p>
        </w:tc>
      </w:tr>
      <w:tr>
        <w:tc>
          <w:tcPr>
            <w:tcW w:type="dxa" w:w="2045"/>
            <w:vAlign w:val="center"/>
          </w:tcPr>
          <w:p>
            <w:r>
              <w:t>Contrastive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✗</w:t>
            </w:r>
          </w:p>
        </w:tc>
        <w:tc>
          <w:tcPr>
            <w:tcW w:type="dxa" w:w="2045"/>
            <w:vAlign w:val="center"/>
          </w:tcPr>
          <w:p>
            <w:r>
              <w:t>Assess logit-calibration contribution</w:t>
            </w:r>
          </w:p>
        </w:tc>
      </w:tr>
      <w:tr>
        <w:tc>
          <w:tcPr>
            <w:tcW w:type="dxa" w:w="2045"/>
            <w:vAlign w:val="center"/>
          </w:tcPr>
          <w:p>
            <w:r>
              <w:t>Proposed RQ3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✓</w:t>
            </w:r>
          </w:p>
        </w:tc>
        <w:tc>
          <w:tcPr>
            <w:tcW w:type="dxa" w:w="2045"/>
            <w:vAlign w:val="center"/>
          </w:tcPr>
          <w:p>
            <w:r>
              <w:t>Hallucination ↓ and accuracy ≈ baseline</w:t>
            </w:r>
          </w:p>
        </w:tc>
      </w:tr>
    </w:tbl>
    <w:p/>
    <w:p>
      <w:pPr>
        <w:pStyle w:val="Heading1"/>
      </w:pPr>
      <w:r>
        <w:t>14. KEY HYPOTHESIS</w:t>
      </w:r>
    </w:p>
    <w:p>
      <w:r>
        <w:t>A token that is genuinely grounded in the image should become less probable when the visual evidence supporting that token is selectively corrupted.</w:t>
      </w:r>
    </w:p>
    <w:p>
      <w:pPr>
        <w:jc w:val="center"/>
      </w:pPr>
      <w:r>
        <w:rPr>
          <w:b/>
        </w:rPr>
        <w:t>Δz = z(V) − z(Ṽ)</w:t>
      </w:r>
    </w:p>
    <w:p>
      <w:r>
        <w:t>Therefore, Δz acts as an approximate visual-evidence dependency signal. The proposed system converts this diagnostic signal into an active decoding mechanism.</w:t>
      </w:r>
    </w:p>
    <w:p>
      <w:pPr>
        <w:jc w:val="center"/>
      </w:pPr>
      <w:r>
        <w:rPr>
          <w:b/>
        </w:rPr>
        <w:t>Visual Evidence → Saliency → Counterfactual Perturbation → Δz → Contrastive Calibration → Grounded Generation</w:t>
      </w:r>
    </w:p>
    <w:p>
      <w:pPr>
        <w:pStyle w:val="Heading1"/>
      </w:pPr>
      <w:r>
        <w:t>15. EXPECTED CONTRIBUTION OF RQ3</w:t>
      </w:r>
    </w:p>
    <w:p>
      <w:pPr>
        <w:pStyle w:val="ListNumber"/>
      </w:pPr>
      <w:r>
        <w:rPr>
          <w:b/>
        </w:rPr>
        <w:t xml:space="preserve">Fine-Grained Visual Evidence Extraction: </w:t>
      </w:r>
      <w:r>
        <w:t>Only high-saliency patches are perturbed rather than corrupting the entire image representation, preserving background/context while targeting object-level evidence.</w:t>
      </w:r>
    </w:p>
    <w:p>
      <w:pPr>
        <w:pStyle w:val="ListNumber"/>
      </w:pPr>
      <w:r>
        <w:rPr>
          <w:b/>
        </w:rPr>
        <w:t xml:space="preserve">Training-Free Evidence-Grounded Decoding: </w:t>
      </w:r>
      <w:r>
        <w:t>The clean/corrupted comparison provides a real-time logit-level grounding signal without requiring backpropagation during generation.</w:t>
      </w:r>
    </w:p>
    <w:p>
      <w:pPr>
        <w:pStyle w:val="ListNumber"/>
      </w:pPr>
      <w:r>
        <w:rPr>
          <w:b/>
        </w:rPr>
        <w:t xml:space="preserve">Hallucination Suppression Without Excessive Fluency Loss: </w:t>
      </w:r>
      <w:r>
        <w:t>Adaptive candidate truncation prevents contrastive decoding from promoting extremely unlikely tokens, allowing visual grounding and linguistic plausibility to work together.</w:t>
      </w:r>
    </w:p>
    <w:p>
      <w:pPr>
        <w:pStyle w:val="Heading1"/>
      </w:pPr>
      <w:r>
        <w:t>16. FINAL RQ3 PIPELINE</w:t>
      </w:r>
    </w:p>
    <w:p>
      <w:pPr>
        <w:ind w:left="360"/>
      </w:pPr>
      <w:r>
        <w:rPr>
          <w:rFonts w:ascii="Courier New" w:hAnsi="Courier New"/>
          <w:sz w:val="17"/>
        </w:rPr>
        <w:t>IMAGE + QUERY</w:t>
        <w:br/>
        <w:t xml:space="preserve">     |</w:t>
        <w:br/>
        <w:t>Frozen Vision Encoder</w:t>
        <w:br/>
        <w:t xml:space="preserve">     |</w:t>
        <w:br/>
        <w:t>Visual Patches V</w:t>
        <w:br/>
        <w:t xml:space="preserve">     |</w:t>
        <w:br/>
        <w:t>Adaptive Saliency</w:t>
        <w:br/>
        <w:t xml:space="preserve">     |</w:t>
        <w:br/>
        <w:t>Top-K Saliency Mask</w:t>
        <w:br/>
        <w:t xml:space="preserve">     |</w:t>
        <w:br/>
        <w:t>Targeted Feature Noise</w:t>
        <w:br/>
        <w:t xml:space="preserve">     |</w:t>
        <w:br/>
        <w:t xml:space="preserve"> +-----------+-----------+</w:t>
        <w:br/>
        <w:t xml:space="preserve"> |                       |</w:t>
        <w:br/>
        <w:t>Intact V              Corrupted V~</w:t>
        <w:br/>
        <w:t xml:space="preserve"> |                       |</w:t>
        <w:br/>
        <w:t xml:space="preserve"> +-----------+-----------+</w:t>
        <w:br/>
        <w:t xml:space="preserve">             |</w:t>
        <w:br/>
        <w:t xml:space="preserve">      Frozen VLM Decoder</w:t>
        <w:br/>
        <w:t xml:space="preserve">             |</w:t>
        <w:br/>
        <w:t xml:space="preserve">       +-----+-----+</w:t>
        <w:br/>
        <w:t xml:space="preserve">       |           |</w:t>
        <w:br/>
        <w:t xml:space="preserve">      z(V)       z(V~)</w:t>
        <w:br/>
        <w:t xml:space="preserve">       |           |</w:t>
        <w:br/>
        <w:t xml:space="preserve">       +-----+-----+</w:t>
        <w:br/>
        <w:t xml:space="preserve">             |</w:t>
        <w:br/>
        <w:t xml:space="preserve">     Δz = z(V)-z(V~)</w:t>
        <w:br/>
        <w:t xml:space="preserve">             |</w:t>
        <w:br/>
        <w:t xml:space="preserve"> Contrastive Calibration</w:t>
        <w:br/>
        <w:t xml:space="preserve">             |</w:t>
        <w:br/>
        <w:t xml:space="preserve"> Adaptive Candidate Pool</w:t>
        <w:br/>
        <w:t xml:space="preserve">             |</w:t>
        <w:br/>
        <w:t xml:space="preserve">      Token Selection</w:t>
        <w:br/>
        <w:t xml:space="preserve">             |</w:t>
        <w:br/>
        <w:t xml:space="preserve">     GROUNDED RESPONSE</w:t>
        <w:br/>
        <w:t xml:space="preserve">             |</w:t>
        <w:br/>
        <w:t xml:space="preserve">   +---------+---------+</w:t>
        <w:br/>
        <w:t xml:space="preserve">   |                   |</w:t>
        <w:br/>
        <w:t>POPE/CHAIR/       VQAv2/GQA</w:t>
        <w:br/>
        <w:t>HallusionBench    Accuracy Check</w:t>
        <w:br/>
        <w:t xml:space="preserve">   |                   |</w:t>
        <w:br/>
        <w:t>Hallucination ↓    Accuracy ≈ Baseline</w:t>
      </w:r>
    </w:p>
    <w:p>
      <w:pPr>
        <w:pStyle w:val="Heading1"/>
      </w:pPr>
      <w:r>
        <w:t>17. REFERENCES</w:t>
      </w:r>
    </w:p>
    <w:p>
      <w:pPr>
        <w:pStyle w:val="ListNumber"/>
      </w:pPr>
      <w:r>
        <w:t>Leng et al. (2024), “Mitigating Object Hallucinations in Large Vision-Language Models through Visual Contrastive Decoding,” CVPR 2024.</w:t>
      </w:r>
    </w:p>
    <w:p>
      <w:pPr>
        <w:pStyle w:val="ListNumber"/>
      </w:pPr>
      <w:r>
        <w:t>Favero et al. (2024), “Multi-Modal Hallucination Control by Visual Information Grounding,” CVPR 2024.</w:t>
      </w:r>
    </w:p>
    <w:p>
      <w:pPr>
        <w:pStyle w:val="ListNumber"/>
      </w:pPr>
      <w:r>
        <w:t>Huang et al. (2024), “OPERA: Alleviating Hallucination in Multi-Modal Large Language Models via Over-Trust Penalty and Retrospection-Allocation,” CVPR 2024.</w:t>
      </w:r>
    </w:p>
    <w:p>
      <w:pPr>
        <w:pStyle w:val="ListNumber"/>
      </w:pPr>
      <w:r>
        <w:t>Chuang et al. (2024), “DoLa: Decoding by Contrasting Layers Improves Factuality in Large Language Models,” ICLR 2024.</w:t>
      </w:r>
    </w:p>
    <w:p>
      <w:pPr>
        <w:pStyle w:val="ListNumber"/>
      </w:pPr>
      <w:r>
        <w:t>Li et al. (2023), “Evaluating Object Hallucination in Large Vision-Language Models,” EMNLP 2023.</w:t>
      </w:r>
    </w:p>
    <w:p>
      <w:pPr>
        <w:pStyle w:val="ListNumber"/>
      </w:pPr>
      <w:r>
        <w:t>Guan et al. (2024), “HallusionBench: An Advanced Diagnostic Suite for Entangled Language Hallucination and Visual Illusion in Large Vision-Language Models,” CVPR 2024.</w:t>
      </w:r>
    </w:p>
    <w:p>
      <w:pPr>
        <w:pStyle w:val="ListNumber"/>
      </w:pPr>
      <w:r>
        <w:t>Radford et al. (2021), “Learning Transferable Visual Models From Natural Language Supervision,” ICML 2021.</w:t>
      </w:r>
    </w:p>
    <w:p>
      <w:pPr>
        <w:pStyle w:val="ListNumber"/>
      </w:pPr>
      <w:r>
        <w:t>Liu et al. (2023), “Visual Instruction Tuning,” NeurIPS 2023.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RQ3 — Evidence-Grounded Generation &amp; Anti-Hallucination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