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Adaptive, Fine-Grained, Evidence-Grounded Vision-Language Models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idea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Current Vision-Language Models (VLMs) have three important weaknesses: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They process more visual information than necessary</w:t>
      </w:r>
      <w:r w:rsidDel="00000000" w:rsidR="00000000" w:rsidRPr="00000000">
        <w:rPr>
          <w:rtl w:val="0"/>
        </w:rPr>
        <w:t xml:space="preserve">, increasing computation.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Their visual-language alignment can be coarse</w:t>
      </w:r>
      <w:r w:rsidDel="00000000" w:rsidR="00000000" w:rsidRPr="00000000">
        <w:rPr>
          <w:rtl w:val="0"/>
        </w:rPr>
        <w:t xml:space="preserve">, making fine-grained understanding difficult.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They can generate answers that are not actually supported by the image</w:t>
      </w:r>
      <w:r w:rsidDel="00000000" w:rsidR="00000000" w:rsidRPr="00000000">
        <w:rPr>
          <w:rtl w:val="0"/>
        </w:rPr>
        <w:t xml:space="preserve">, leading to visual hallucination.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proposed research addresses these three problems together through: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visual information selection + fine-grained vision-language alignment + evidence-grounded answer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central research hypothesis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research can be built around one central hypothesis: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 VLM can achieve better accuracy, lower computational cost, and reduced hallucination when visual information is adaptively selected according to the question, aligned with language at a fine-grained level, and explicitly verified against visual evidence before producing the final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research questions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could organize the work around four main RQs.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RQ1 — Adaptive computation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Can question-aware visual token selection reduce computational cost without sacrificing accuracy?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RQ2 — Fine-grained alignment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Does explicit visual-token/language-token alignment improve fine-grained visual understanding?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RQ3 — Grounded generation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Can explicit visual evidence verification reduce hallucinated visual claims?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RQ4 — Joint optimization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Can adaptive acquisition, fine-grained alignment, and evidence verification jointly improve the accuracy–efficiency–reliability trade-off?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fourth question is particularly important because it turns three techniques into </w:t>
      </w:r>
      <w:r w:rsidDel="00000000" w:rsidR="00000000" w:rsidRPr="00000000">
        <w:rPr>
          <w:b w:val="1"/>
          <w:bCs w:val="1"/>
          <w:rtl w:val="0"/>
        </w:rPr>
        <w:t xml:space="preserve">one research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Question-Aware Adaptive Visual Information Selection for Fine-Grained VLMs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Then demonstrate that the model: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dynamically selects visual information,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maintains or improves VQA performance,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substantially reduces visual tokens,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improves fine-grained tasks.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Then introduce evidence-grounded generation as the </w:t>
      </w:r>
      <w:r w:rsidDel="00000000" w:rsidR="00000000" w:rsidRPr="00000000">
        <w:rPr>
          <w:b w:val="1"/>
          <w:bCs w:val="1"/>
          <w:rtl w:val="0"/>
        </w:rPr>
        <w:t xml:space="preserve">second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Foundational Vision-Language Models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[1] J. Li, D. Li, S. Savarese, and S. Hoi, “BLIP-2: Bootstrapping Language-Image Pre-training with Frozen Image Encoders and Large Language Models,” </w:t>
      </w:r>
      <w:r w:rsidDel="00000000" w:rsidR="00000000" w:rsidRPr="00000000">
        <w:rPr>
          <w:i w:val="1"/>
          <w:iCs w:val="1"/>
          <w:rtl w:val="0"/>
        </w:rPr>
        <w:t xml:space="preserve">arXiv preprint arXiv:2301.12597</w:t>
      </w:r>
      <w:r w:rsidDel="00000000" w:rsidR="00000000" w:rsidRPr="00000000">
        <w:rPr>
          <w:rtl w:val="0"/>
        </w:rPr>
        <w:t xml:space="preserve">, 2023.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[2] H. Liu, C. Li, Q. Wu, and Y. J. Lee, “Visual Instruction Tuning,” </w:t>
      </w:r>
      <w:r w:rsidDel="00000000" w:rsidR="00000000" w:rsidRPr="00000000">
        <w:rPr>
          <w:i w:val="1"/>
          <w:iCs w:val="1"/>
          <w:rtl w:val="0"/>
        </w:rPr>
        <w:t xml:space="preserve">Advances in Neural Information Processing Systems</w:t>
      </w:r>
      <w:r w:rsidDel="00000000" w:rsidR="00000000" w:rsidRPr="00000000">
        <w:rPr>
          <w:rtl w:val="0"/>
        </w:rPr>
        <w:t xml:space="preserve">, vol. 36, 2023.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[3] H. Liu, C. Li, Y. Li, and Y. J. Lee, “Improved Baselines with Visual Instruction Tuning,” in </w:t>
      </w:r>
      <w:r w:rsidDel="00000000" w:rsidR="00000000" w:rsidRPr="00000000">
        <w:rPr>
          <w:i w:val="1"/>
          <w:iCs w:val="1"/>
          <w:rtl w:val="0"/>
        </w:rPr>
        <w:t xml:space="preserve">Proceedings of the IEEE/CVF Conference on Computer Vision and Pattern Recognition (CVPR)</w:t>
      </w:r>
      <w:r w:rsidDel="00000000" w:rsidR="00000000" w:rsidRPr="00000000">
        <w:rPr>
          <w:rtl w:val="0"/>
        </w:rPr>
        <w:t xml:space="preserve">, 2024, pp. 26296–26306.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[4] J. Lin, H. Yin, W. Ping, P. Molchanov, M. Shoeybi, and S. Han, “VILA: On Pre-training for Visual 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IEEE/CVF Conference on Computer Vision and Pattern Recognition (CVPR)</w:t>
      </w:r>
      <w:r w:rsidDel="00000000" w:rsidR="00000000" w:rsidRPr="00000000">
        <w:rPr>
          <w:rtl w:val="0"/>
        </w:rPr>
        <w:t xml:space="preserve">, 2024, pp. 26689–26699.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Efficient Vision-Language Models and Visual Token Reduction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[5] Q. Cao, B. Paranjape, and H. Hajishirzi, “PuMer: Pruning and Merging Tokens for Efficient Vision 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61st Annual Meeting of the Association for Computational Linguistics (ACL)</w:t>
      </w:r>
      <w:r w:rsidDel="00000000" w:rsidR="00000000" w:rsidRPr="00000000">
        <w:rPr>
          <w:rtl w:val="0"/>
        </w:rPr>
        <w:t xml:space="preserve">, 2023, pp. 12890–12903.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[6] W. Li, Y. Yuan, J. Liu, D. Tang, S. Wang, J. Qin, J. Zhu, and L. Zhang, “TokenPacker: Efficient Visual Projector for Multimodal LLM,” </w:t>
      </w:r>
      <w:r w:rsidDel="00000000" w:rsidR="00000000" w:rsidRPr="00000000">
        <w:rPr>
          <w:i w:val="1"/>
          <w:iCs w:val="1"/>
          <w:rtl w:val="0"/>
        </w:rPr>
        <w:t xml:space="preserve">International Journal of Computer Vision</w:t>
      </w:r>
      <w:r w:rsidDel="00000000" w:rsidR="00000000" w:rsidRPr="00000000">
        <w:rPr>
          <w:rtl w:val="0"/>
        </w:rPr>
        <w:t xml:space="preserve">, vol. 133, pp. 6794–6812, 2025.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[7] P. K. A. Vasu, F. Faghri, C.-L. Li, C. Koc, N. True, A. Antony, G. Santhanam, J. Gabriel, P. Grasch, O. Tuzel, and H. Pouransari, “FastVLM: Efficient Vision Encoding for Vision Language Models,” </w:t>
      </w:r>
      <w:r w:rsidDel="00000000" w:rsidR="00000000" w:rsidRPr="00000000">
        <w:rPr>
          <w:i w:val="1"/>
          <w:iCs w:val="1"/>
          <w:rtl w:val="0"/>
        </w:rPr>
        <w:t xml:space="preserve">arXiv preprint arXiv:2412.13303</w:t>
      </w:r>
      <w:r w:rsidDel="00000000" w:rsidR="00000000" w:rsidRPr="00000000">
        <w:rPr>
          <w:rtl w:val="0"/>
        </w:rPr>
        <w:t xml:space="preserve">, 2024.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[8] X. Ye, Y. Gan, Y. Ge, X.-P. Zhang, and Y. Tang, “ATP-LLaVA: Adaptive Token Pruning for Large Vision 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IEEE/CVF Conference on Computer Vision and Pattern Recognition (CVPR)</w:t>
      </w:r>
      <w:r w:rsidDel="00000000" w:rsidR="00000000" w:rsidRPr="00000000">
        <w:rPr>
          <w:rtl w:val="0"/>
        </w:rPr>
        <w:t xml:space="preserve">, 2025, pp. 24972–24982.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[9] Y. Shang, M. Cai, B. Xu, Y. J. Lee, and Y. Yan, “LLaVA-PruMerge: Adaptive Visual Token Reduction for Large Multimodal Models,” in </w:t>
      </w:r>
      <w:r w:rsidDel="00000000" w:rsidR="00000000" w:rsidRPr="00000000">
        <w:rPr>
          <w:i w:val="1"/>
          <w:iCs w:val="1"/>
          <w:rtl w:val="0"/>
        </w:rPr>
        <w:t xml:space="preserve">Proceedings of the IEEE/CVF International Conference on Computer Vision (ICCV)</w:t>
      </w:r>
      <w:r w:rsidDel="00000000" w:rsidR="00000000" w:rsidRPr="00000000">
        <w:rPr>
          <w:rtl w:val="0"/>
        </w:rPr>
        <w:t xml:space="preserve">, 2025.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Adaptive Visual Information Acquisition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[10] Z. Lin, Y. Liu, Y. Yang, L. Tao, and D. Ye, “AdaptVision: Efficient Vision-Language Models via Adaptive Visual Acquisition,” in </w:t>
      </w:r>
      <w:r w:rsidDel="00000000" w:rsidR="00000000" w:rsidRPr="00000000">
        <w:rPr>
          <w:i w:val="1"/>
          <w:iCs w:val="1"/>
          <w:rtl w:val="0"/>
        </w:rPr>
        <w:t xml:space="preserve">Proceedings of the IEEE/CVF Conference on Computer Vision and Pattern Recognition (CVPR)</w:t>
      </w:r>
      <w:r w:rsidDel="00000000" w:rsidR="00000000" w:rsidRPr="00000000">
        <w:rPr>
          <w:rtl w:val="0"/>
        </w:rPr>
        <w:t xml:space="preserve">, 2026, pp. 11923–11932.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[11] Z. Li, Z. Li, P. Wang, L. Zhang, and H. Ai, “Vista-LLM: Decoupled Query-Guided Visual Token Pruning for Efficient Long-Video Large 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64th Annual Meeting of the Association for Computational Linguistics (ACL)</w:t>
      </w:r>
      <w:r w:rsidDel="00000000" w:rsidR="00000000" w:rsidRPr="00000000">
        <w:rPr>
          <w:rtl w:val="0"/>
        </w:rPr>
        <w:t xml:space="preserve">, 2026, pp. 13171–13187.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Fine-Grained Vision-Language Alignment and Faithfulness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[12] W. Dai, Z. Liu, Z. Ji, D. Su, and P. Fung, “Plausible May Not Be Faithful: Probing Object Hallucination in Vision-Language Pre-training,” in </w:t>
      </w:r>
      <w:r w:rsidDel="00000000" w:rsidR="00000000" w:rsidRPr="00000000">
        <w:rPr>
          <w:i w:val="1"/>
          <w:iCs w:val="1"/>
          <w:rtl w:val="0"/>
        </w:rPr>
        <w:t xml:space="preserve">Proceedings of the 17th Conference of the European Chapter of the Association for Computational Linguistics (EACL)</w:t>
      </w:r>
      <w:r w:rsidDel="00000000" w:rsidR="00000000" w:rsidRPr="00000000">
        <w:rPr>
          <w:rtl w:val="0"/>
        </w:rPr>
        <w:t xml:space="preserve">, 2023, pp. 2136–2148.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Visual Hallucination and Reliability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[13] Y. Li, Y. Du, K. Zhou, J. Wang, X. Zhao, and J.-R. Wen, “Evaluating Object Hallucination in Large Vision-Language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2023 Conference on Empirical Methods in Natural Language Processing (EMNLP)</w:t>
      </w:r>
      <w:r w:rsidDel="00000000" w:rsidR="00000000" w:rsidRPr="00000000">
        <w:rPr>
          <w:rtl w:val="0"/>
        </w:rPr>
        <w:t xml:space="preserve">, 2023, pp. 292–305.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[14] T. Guan, F. Liu, X. Wu, R. Xian, Z. Li, X. Liu, X. Wang, L. Chen, F. Huang, Y. Yacoob, D. Manocha, and T. Zhou, “HallusionBench: An Advanced Diagnostic Suite for Entangled Language Hallucination and Visual Illusion in Large Vision-Language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IEEE/CVF Conference on Computer Vision and Pattern Recognition (CVPR)</w:t>
      </w:r>
      <w:r w:rsidDel="00000000" w:rsidR="00000000" w:rsidRPr="00000000">
        <w:rPr>
          <w:rtl w:val="0"/>
        </w:rPr>
        <w:t xml:space="preserve">, 2024, pp. 14375–14385.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[15] S. G. et al., “VisDiaHalBench: A Visual Dialogue Benchmark for Diagnosing Hallucination in Large Vision-Language Models,” in </w:t>
      </w:r>
      <w:r w:rsidDel="00000000" w:rsidR="00000000" w:rsidRPr="00000000">
        <w:rPr>
          <w:i w:val="1"/>
          <w:iCs w:val="1"/>
          <w:rtl w:val="0"/>
        </w:rPr>
        <w:t xml:space="preserve">Proceedings of the 62nd Annual Meeting of the Association for Computational Linguistics (ACL)</w:t>
      </w:r>
      <w:r w:rsidDel="00000000" w:rsidR="00000000" w:rsidRPr="00000000">
        <w:rPr>
          <w:rtl w:val="0"/>
        </w:rPr>
        <w:t xml:space="preserve">, 2024.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Literature Sequence for the Proposed Research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the proposed research direction: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“Adaptive, Fine-Grained, Evidence-Grounded Vision-Language Models”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literature can be organized conceptually as follows: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Vision-Language Foundation Models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BLIP-2 → LLaVA → Improved LLaVA → VILA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Visual Token Efficiency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PuMer → TokenPacker → FastVLM → ATP-LLaVA → LLaVA-PruMerge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Adaptive Visual Acquisition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AdaptVision → Vista-LLM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Fine-Grained Alignment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Plausible May Not Be Faithful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Evidence and Hallucination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POPE → HallusionBench → VisDiaHalBench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Proposed Research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Adaptive + Fine-Grained + Evidence-Grounded VLM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Gap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existing literature demonstrates substantial progress in </w:t>
      </w:r>
      <w:r w:rsidDel="00000000" w:rsidR="00000000" w:rsidRPr="00000000">
        <w:rPr>
          <w:b w:val="1"/>
          <w:bCs w:val="1"/>
          <w:rtl w:val="0"/>
        </w:rPr>
        <w:t xml:space="preserve">efficient visual token processing</w:t>
      </w:r>
      <w:r w:rsidDel="00000000" w:rsidR="00000000" w:rsidRPr="00000000">
        <w:rPr>
          <w:rtl w:val="0"/>
        </w:rPr>
        <w:t xml:space="preserve">, including token pruning, token merging, visual projection, and adaptive visual acquisition. Works such as PuMer, ATP-LLaVA, LLaVA-PruMerge, and AdaptVision demonstrate that a VLM does not necessarily need to process all visual tokens uniformly. However, these approaches primarily focus on </w:t>
      </w:r>
      <w:r w:rsidDel="00000000" w:rsidR="00000000" w:rsidRPr="00000000">
        <w:rPr>
          <w:b w:val="1"/>
          <w:bCs w:val="1"/>
          <w:rtl w:val="0"/>
        </w:rPr>
        <w:t xml:space="preserve">computational efficiency and visual-token selection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separate body of research focuses on </w:t>
      </w:r>
      <w:r w:rsidDel="00000000" w:rsidR="00000000" w:rsidRPr="00000000">
        <w:rPr>
          <w:b w:val="1"/>
          <w:bCs w:val="1"/>
          <w:rtl w:val="0"/>
        </w:rPr>
        <w:t xml:space="preserve">visual hallucination and model faithfulness</w:t>
      </w:r>
      <w:r w:rsidDel="00000000" w:rsidR="00000000" w:rsidRPr="00000000">
        <w:rPr>
          <w:rtl w:val="0"/>
        </w:rPr>
        <w:t xml:space="preserve">. POPE and HallusionBench demonstrate that VLMs can generate plausible but visually unsupported information. Fine-grained alignment studies further suggest that stronger correspondence between visual information and language can improve faithfulness.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creates an opportunity to investigate a unified framework in which the model: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(1)</w:t>
      </w:r>
      <w:r w:rsidDel="00000000" w:rsidR="00000000" w:rsidRPr="00000000">
        <w:rPr>
          <w:rtl w:val="0"/>
        </w:rPr>
        <w:t xml:space="preserve"> determines what visual information is required for a particular question,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adaptively acquires the relevant visual information,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(3)</w:t>
      </w:r>
      <w:r w:rsidDel="00000000" w:rsidR="00000000" w:rsidRPr="00000000">
        <w:rPr>
          <w:rtl w:val="0"/>
        </w:rPr>
        <w:t xml:space="preserve"> establishes fine-grained visual-language correspondence, and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(4)</w:t>
      </w:r>
      <w:r w:rsidDel="00000000" w:rsidR="00000000" w:rsidRPr="00000000">
        <w:rPr>
          <w:rtl w:val="0"/>
        </w:rPr>
        <w:t xml:space="preserve"> verifies that the generated answer is supported by the available visual evidence.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Thus, the proposed research moves beyond conventional </w:t>
      </w:r>
      <w:r w:rsidDel="00000000" w:rsidR="00000000" w:rsidRPr="00000000">
        <w:rPr>
          <w:b w:val="1"/>
          <w:bCs w:val="1"/>
          <w:rtl w:val="0"/>
        </w:rPr>
        <w:t xml:space="preserve">visual-token pruning</w:t>
      </w:r>
      <w:r w:rsidDel="00000000" w:rsidR="00000000" w:rsidRPr="00000000">
        <w:rPr>
          <w:rtl w:val="0"/>
        </w:rPr>
        <w:t xml:space="preserve"> toward </w:t>
      </w:r>
      <w:r w:rsidDel="00000000" w:rsidR="00000000" w:rsidRPr="00000000">
        <w:rPr>
          <w:b w:val="1"/>
          <w:bCs w:val="1"/>
          <w:rtl w:val="0"/>
        </w:rPr>
        <w:t xml:space="preserve">question-driven visual information acquisition and evidence-grounded multimodal reasoning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conceptual framework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→ Adaptive Visual Acquisition → Fine-Grained Alignment → Multimodal Reasoning → Evidence Verification → 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provides a clear research direction combining </w:t>
      </w:r>
      <w:r w:rsidDel="00000000" w:rsidR="00000000" w:rsidRPr="00000000">
        <w:rPr>
          <w:b w:val="1"/>
          <w:bCs w:val="1"/>
          <w:rtl w:val="0"/>
        </w:rPr>
        <w:t xml:space="preserve">efficiency, fine-grained understanding, and reliability</w:t>
      </w:r>
      <w:r w:rsidDel="00000000" w:rsidR="00000000" w:rsidRPr="00000000">
        <w:rPr>
          <w:rtl w:val="0"/>
        </w:rPr>
        <w:t xml:space="preserve"> in Vision-Language Models.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