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9F330" w14:textId="51AF6BD9" w:rsidR="00D54AE3" w:rsidRDefault="005B448D" w:rsidP="005B448D">
      <w:pPr>
        <w:pStyle w:val="Heading1"/>
      </w:pPr>
      <w:r w:rsidRPr="00A929E3">
        <w:t>Building support for gender equality work – resources</w:t>
      </w:r>
      <w:r w:rsidR="009D30E8">
        <w:br/>
      </w:r>
    </w:p>
    <w:p w14:paraId="78916B88" w14:textId="6227F948" w:rsidR="005B448D" w:rsidRPr="009F5CAE" w:rsidRDefault="005B448D" w:rsidP="009F5CAE">
      <w:pPr>
        <w:pStyle w:val="Heading2"/>
      </w:pPr>
      <w:r w:rsidRPr="00A929E3">
        <w:t>Gender equality in the workplace</w:t>
      </w:r>
    </w:p>
    <w:p w14:paraId="4CDEDDCA" w14:textId="77777777" w:rsidR="005B448D" w:rsidRPr="005B448D" w:rsidRDefault="005B448D" w:rsidP="005B448D">
      <w:pPr>
        <w:pStyle w:val="CommentText"/>
        <w:numPr>
          <w:ilvl w:val="0"/>
          <w:numId w:val="36"/>
        </w:numPr>
        <w:spacing w:after="0"/>
        <w:rPr>
          <w:rStyle w:val="Hyperlink"/>
          <w:rFonts w:cstheme="minorHAnsi"/>
          <w:color w:val="000000" w:themeColor="text1"/>
          <w:sz w:val="22"/>
          <w:szCs w:val="22"/>
        </w:rPr>
      </w:pPr>
      <w:r w:rsidRPr="005B448D">
        <w:rPr>
          <w:rFonts w:cstheme="minorHAnsi"/>
          <w:color w:val="000000" w:themeColor="text1"/>
          <w:sz w:val="22"/>
          <w:szCs w:val="22"/>
        </w:rPr>
        <w:t xml:space="preserve">The </w:t>
      </w:r>
      <w:bookmarkStart w:id="0" w:name="_GoBack"/>
      <w:r w:rsidRPr="005B448D">
        <w:rPr>
          <w:rFonts w:cstheme="minorHAnsi"/>
          <w:color w:val="000000" w:themeColor="text1"/>
          <w:sz w:val="22"/>
          <w:szCs w:val="22"/>
        </w:rPr>
        <w:t xml:space="preserve">Workplace Gender Equality Agency provides more information on the business case for gender equality </w:t>
      </w:r>
      <w:hyperlink r:id="rId8" w:history="1">
        <w:r w:rsidRPr="005B448D">
          <w:rPr>
            <w:rStyle w:val="Hyperlink"/>
            <w:rFonts w:cstheme="minorHAnsi"/>
            <w:color w:val="auto"/>
            <w:sz w:val="22"/>
            <w:szCs w:val="22"/>
          </w:rPr>
          <w:t>https://www.wgea.gov.au/topics/gender-strategy/gender-equality-strategy-guide/1-build-a-business-case</w:t>
        </w:r>
      </w:hyperlink>
    </w:p>
    <w:p w14:paraId="1CEF739D" w14:textId="77777777" w:rsidR="005B448D" w:rsidRPr="005B448D" w:rsidRDefault="005B448D" w:rsidP="005B448D">
      <w:pPr>
        <w:pStyle w:val="CommentText"/>
        <w:numPr>
          <w:ilvl w:val="0"/>
          <w:numId w:val="36"/>
        </w:numPr>
        <w:spacing w:after="0"/>
        <w:rPr>
          <w:rFonts w:cstheme="minorHAnsi"/>
          <w:color w:val="000000" w:themeColor="text1"/>
          <w:sz w:val="22"/>
          <w:szCs w:val="22"/>
        </w:rPr>
      </w:pPr>
      <w:r w:rsidRPr="005B448D">
        <w:rPr>
          <w:rFonts w:cstheme="minorHAnsi"/>
          <w:color w:val="000000" w:themeColor="text1"/>
          <w:sz w:val="22"/>
          <w:szCs w:val="22"/>
        </w:rPr>
        <w:t xml:space="preserve">The Workplace Gender Equality Agency also provides a gender equality strategy toolkit </w:t>
      </w:r>
      <w:hyperlink r:id="rId9" w:history="1">
        <w:r w:rsidRPr="005B448D">
          <w:rPr>
            <w:rStyle w:val="Hyperlink"/>
            <w:rFonts w:cstheme="minorHAnsi"/>
            <w:color w:val="000000" w:themeColor="text1"/>
            <w:sz w:val="22"/>
            <w:szCs w:val="22"/>
          </w:rPr>
          <w:t>https://www.wgea.gov.au/topics/gender-strategy</w:t>
        </w:r>
      </w:hyperlink>
      <w:bookmarkEnd w:id="0"/>
    </w:p>
    <w:p w14:paraId="287F250D" w14:textId="0242A6E1" w:rsidR="008913AB" w:rsidRPr="004A4DFC" w:rsidRDefault="005B448D" w:rsidP="008913AB">
      <w:pPr>
        <w:pStyle w:val="CommentText"/>
        <w:numPr>
          <w:ilvl w:val="0"/>
          <w:numId w:val="36"/>
        </w:numPr>
        <w:spacing w:after="0"/>
        <w:rPr>
          <w:rStyle w:val="Hyperlink"/>
          <w:rFonts w:cstheme="minorHAnsi"/>
          <w:color w:val="000000" w:themeColor="text1"/>
          <w:sz w:val="22"/>
          <w:szCs w:val="22"/>
          <w:u w:val="none"/>
        </w:rPr>
      </w:pPr>
      <w:r w:rsidRPr="005B448D">
        <w:rPr>
          <w:rFonts w:cstheme="minorHAnsi"/>
          <w:color w:val="000000" w:themeColor="text1"/>
          <w:sz w:val="22"/>
          <w:szCs w:val="22"/>
        </w:rPr>
        <w:t xml:space="preserve">Further information on implementing a whole-of-workplace gender equality program is available at Our Watch’s Workplace Equality and Respect hub </w:t>
      </w:r>
      <w:hyperlink r:id="rId10" w:history="1">
        <w:r w:rsidRPr="005B448D">
          <w:rPr>
            <w:rStyle w:val="Hyperlink"/>
            <w:rFonts w:cstheme="minorHAnsi"/>
            <w:color w:val="000000" w:themeColor="text1"/>
            <w:sz w:val="22"/>
            <w:szCs w:val="22"/>
          </w:rPr>
          <w:t>https://workplace.ourwatch.org.au/</w:t>
        </w:r>
      </w:hyperlink>
    </w:p>
    <w:p w14:paraId="5208B637" w14:textId="77777777" w:rsidR="004A4DFC" w:rsidRPr="004A4DFC" w:rsidRDefault="004A4DFC" w:rsidP="004A4DFC">
      <w:pPr>
        <w:pStyle w:val="CommentText"/>
        <w:spacing w:after="0"/>
        <w:rPr>
          <w:rStyle w:val="Hyperlink"/>
          <w:rFonts w:cstheme="minorHAnsi"/>
          <w:color w:val="000000" w:themeColor="text1"/>
          <w:sz w:val="22"/>
          <w:szCs w:val="22"/>
          <w:u w:val="none"/>
        </w:rPr>
      </w:pPr>
    </w:p>
    <w:p w14:paraId="1CF46A48" w14:textId="77777777" w:rsidR="004A4DFC" w:rsidRPr="004A4DFC" w:rsidRDefault="004A4DFC" w:rsidP="004A4DFC">
      <w:pPr>
        <w:pStyle w:val="CommentText"/>
        <w:spacing w:after="0"/>
        <w:rPr>
          <w:rFonts w:cstheme="minorHAnsi"/>
          <w:color w:val="000000" w:themeColor="text1"/>
          <w:sz w:val="22"/>
          <w:szCs w:val="22"/>
        </w:rPr>
      </w:pPr>
    </w:p>
    <w:p w14:paraId="74DA220E" w14:textId="77777777" w:rsidR="005B448D" w:rsidRPr="00A929E3" w:rsidRDefault="005B448D" w:rsidP="005B448D">
      <w:pPr>
        <w:pStyle w:val="Heading2"/>
      </w:pPr>
      <w:r w:rsidRPr="00A929E3">
        <w:t>Anti-discrimination and human rights laws</w:t>
      </w:r>
    </w:p>
    <w:p w14:paraId="7890FAB0" w14:textId="77777777" w:rsidR="005B448D" w:rsidRPr="00F96282" w:rsidRDefault="005B448D" w:rsidP="00F96282">
      <w:pPr>
        <w:pStyle w:val="NumberedList"/>
        <w:numPr>
          <w:ilvl w:val="0"/>
          <w:numId w:val="29"/>
        </w:numPr>
        <w:spacing w:line="240" w:lineRule="auto"/>
        <w:rPr>
          <w:rStyle w:val="Hyperlink"/>
          <w:rFonts w:asciiTheme="minorHAnsi" w:hAnsiTheme="minorHAnsi" w:cstheme="minorHAnsi"/>
          <w:color w:val="auto"/>
          <w:sz w:val="22"/>
          <w:szCs w:val="22"/>
        </w:rPr>
      </w:pPr>
      <w:r w:rsidRPr="00F96282">
        <w:rPr>
          <w:rFonts w:asciiTheme="minorHAnsi" w:hAnsiTheme="minorHAnsi" w:cstheme="minorHAnsi"/>
          <w:color w:val="auto"/>
          <w:sz w:val="22"/>
          <w:szCs w:val="22"/>
        </w:rPr>
        <w:t xml:space="preserve">Australian Capital Territory, </w:t>
      </w:r>
      <w:hyperlink r:id="rId11" w:history="1">
        <w:r w:rsidRPr="00F9628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https://hrc.act.gov.au/</w:t>
        </w:r>
      </w:hyperlink>
    </w:p>
    <w:p w14:paraId="6CEE24CD" w14:textId="77777777" w:rsidR="005B448D" w:rsidRPr="00F96282" w:rsidRDefault="005B448D" w:rsidP="00F96282">
      <w:pPr>
        <w:pStyle w:val="NumberedList"/>
        <w:numPr>
          <w:ilvl w:val="0"/>
          <w:numId w:val="29"/>
        </w:numPr>
        <w:spacing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96282">
        <w:rPr>
          <w:rFonts w:asciiTheme="minorHAnsi" w:hAnsiTheme="minorHAnsi" w:cstheme="minorHAnsi"/>
          <w:color w:val="auto"/>
          <w:sz w:val="22"/>
          <w:szCs w:val="22"/>
        </w:rPr>
        <w:t xml:space="preserve">New South Wales, </w:t>
      </w:r>
      <w:hyperlink r:id="rId12" w:history="1">
        <w:r w:rsidRPr="00F9628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https://www.antidiscrimination.justice.nsw.gov.au/</w:t>
        </w:r>
      </w:hyperlink>
    </w:p>
    <w:p w14:paraId="0706B7D9" w14:textId="77777777" w:rsidR="005B448D" w:rsidRPr="00F96282" w:rsidRDefault="005B448D" w:rsidP="00F96282">
      <w:pPr>
        <w:pStyle w:val="NumberedList"/>
        <w:numPr>
          <w:ilvl w:val="0"/>
          <w:numId w:val="29"/>
        </w:numPr>
        <w:spacing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96282">
        <w:rPr>
          <w:rFonts w:asciiTheme="minorHAnsi" w:hAnsiTheme="minorHAnsi" w:cstheme="minorHAnsi"/>
          <w:color w:val="auto"/>
          <w:sz w:val="22"/>
          <w:szCs w:val="22"/>
        </w:rPr>
        <w:t xml:space="preserve">Northern Territory, </w:t>
      </w:r>
      <w:hyperlink r:id="rId13" w:history="1">
        <w:r w:rsidRPr="00F9628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http://www.adc.nt.gov.au/</w:t>
        </w:r>
      </w:hyperlink>
    </w:p>
    <w:p w14:paraId="27C7BE8C" w14:textId="77777777" w:rsidR="005B448D" w:rsidRPr="00F96282" w:rsidRDefault="005B448D" w:rsidP="00F96282">
      <w:pPr>
        <w:pStyle w:val="NumberedList"/>
        <w:numPr>
          <w:ilvl w:val="0"/>
          <w:numId w:val="29"/>
        </w:numPr>
        <w:spacing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96282">
        <w:rPr>
          <w:rFonts w:asciiTheme="minorHAnsi" w:hAnsiTheme="minorHAnsi" w:cstheme="minorHAnsi"/>
          <w:color w:val="auto"/>
          <w:sz w:val="22"/>
          <w:szCs w:val="22"/>
        </w:rPr>
        <w:t xml:space="preserve">South Australia, </w:t>
      </w:r>
      <w:hyperlink r:id="rId14" w:history="1">
        <w:r w:rsidRPr="00F9628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https://eoc.sa.gov.au/</w:t>
        </w:r>
      </w:hyperlink>
    </w:p>
    <w:p w14:paraId="34E5DBF9" w14:textId="24BE345E" w:rsidR="005B448D" w:rsidRPr="00F96282" w:rsidRDefault="005B448D" w:rsidP="00F96282">
      <w:pPr>
        <w:pStyle w:val="NumberedList"/>
        <w:numPr>
          <w:ilvl w:val="0"/>
          <w:numId w:val="29"/>
        </w:numPr>
        <w:spacing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96282">
        <w:rPr>
          <w:rFonts w:asciiTheme="minorHAnsi" w:hAnsiTheme="minorHAnsi" w:cstheme="minorHAnsi"/>
          <w:color w:val="auto"/>
          <w:sz w:val="22"/>
          <w:szCs w:val="22"/>
        </w:rPr>
        <w:t xml:space="preserve">Tasmania </w:t>
      </w:r>
      <w:hyperlink r:id="rId15" w:history="1">
        <w:r w:rsidRPr="00F9628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https://equalopportunity.tas.gov.au/</w:t>
        </w:r>
      </w:hyperlink>
    </w:p>
    <w:p w14:paraId="7134B47F" w14:textId="77777777" w:rsidR="005B448D" w:rsidRPr="00F96282" w:rsidRDefault="005B448D" w:rsidP="00F96282">
      <w:pPr>
        <w:pStyle w:val="NumberedList"/>
        <w:numPr>
          <w:ilvl w:val="0"/>
          <w:numId w:val="29"/>
        </w:numPr>
        <w:spacing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96282">
        <w:rPr>
          <w:rFonts w:asciiTheme="minorHAnsi" w:hAnsiTheme="minorHAnsi" w:cstheme="minorHAnsi"/>
          <w:color w:val="auto"/>
          <w:sz w:val="22"/>
          <w:szCs w:val="22"/>
        </w:rPr>
        <w:t xml:space="preserve">Western Australia, </w:t>
      </w:r>
      <w:hyperlink r:id="rId16" w:history="1">
        <w:r w:rsidRPr="00F9628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http://www.eoc.wa.gov.au/</w:t>
        </w:r>
      </w:hyperlink>
    </w:p>
    <w:p w14:paraId="3A2562F8" w14:textId="334349D4" w:rsidR="00E37B5B" w:rsidRPr="00F96282" w:rsidRDefault="005B448D" w:rsidP="00F96282">
      <w:pPr>
        <w:pStyle w:val="NumberedList"/>
        <w:numPr>
          <w:ilvl w:val="0"/>
          <w:numId w:val="29"/>
        </w:numPr>
        <w:spacing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96282">
        <w:rPr>
          <w:rFonts w:asciiTheme="minorHAnsi" w:hAnsiTheme="minorHAnsi" w:cstheme="minorHAnsi"/>
          <w:color w:val="auto"/>
          <w:sz w:val="22"/>
          <w:szCs w:val="22"/>
        </w:rPr>
        <w:t xml:space="preserve">To find out more about Australia’s international human rights obligations, visit the Australian Human Rights Commission </w:t>
      </w:r>
      <w:hyperlink r:id="rId17" w:history="1">
        <w:r w:rsidRPr="00F9628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https://www.humanrights.gov.au/our-work/sex-discrimination/sex-discrimination-international-activities</w:t>
        </w:r>
      </w:hyperlink>
      <w:r w:rsidRPr="00F96282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7741F6F" w14:textId="77777777" w:rsidR="004A4DFC" w:rsidRPr="004A4DFC" w:rsidRDefault="004A4DFC" w:rsidP="004A4DFC">
      <w:pPr>
        <w:pStyle w:val="NumberedList"/>
        <w:numPr>
          <w:ilvl w:val="0"/>
          <w:numId w:val="0"/>
        </w:numPr>
        <w:ind w:left="539" w:hanging="397"/>
        <w:rPr>
          <w:rFonts w:asciiTheme="minorHAnsi" w:hAnsiTheme="minorHAnsi" w:cstheme="minorHAnsi"/>
          <w:color w:val="auto"/>
        </w:rPr>
      </w:pPr>
    </w:p>
    <w:p w14:paraId="02EA3DA9" w14:textId="48F56DEE" w:rsidR="00E37B5B" w:rsidRPr="00E37B5B" w:rsidRDefault="00E37B5B" w:rsidP="00E37B5B">
      <w:pPr>
        <w:pStyle w:val="Heading2"/>
      </w:pPr>
      <w:r w:rsidRPr="00E37B5B">
        <w:t>Evidence and data</w:t>
      </w:r>
    </w:p>
    <w:p w14:paraId="3E1BA409" w14:textId="7EAC87A4" w:rsidR="00E37B5B" w:rsidRPr="004A4DFC" w:rsidRDefault="00E37B5B" w:rsidP="004A4DFC">
      <w:pPr>
        <w:pStyle w:val="ListParagraph"/>
        <w:numPr>
          <w:ilvl w:val="0"/>
          <w:numId w:val="36"/>
        </w:numPr>
        <w:spacing w:before="0" w:after="0"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 w:rsidRPr="009F5CAE">
        <w:rPr>
          <w:rFonts w:asciiTheme="minorHAnsi" w:hAnsiTheme="minorHAnsi" w:cstheme="minorHAnsi"/>
        </w:rPr>
        <w:t xml:space="preserve">A toolkit and framework to support engagement with stakeholders </w:t>
      </w:r>
      <w:hyperlink r:id="rId18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https://www.dhhs.vic.gov.au/publications/stakeholder-engagement-and-public-participation-framework-and-toolkit</w:t>
        </w:r>
      </w:hyperlink>
    </w:p>
    <w:p w14:paraId="3BDCA8E5" w14:textId="77777777" w:rsidR="004A4DFC" w:rsidRPr="004A4DFC" w:rsidRDefault="004A4DFC" w:rsidP="004A4DFC">
      <w:pPr>
        <w:spacing w:before="0" w:after="0"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</w:p>
    <w:p w14:paraId="0A66CE77" w14:textId="40E3CFED" w:rsidR="004A4DFC" w:rsidRPr="004A4DFC" w:rsidRDefault="004A4DFC" w:rsidP="004A4DFC">
      <w:pPr>
        <w:spacing w:before="0" w:after="0" w:line="240" w:lineRule="auto"/>
        <w:rPr>
          <w:rFonts w:asciiTheme="minorHAnsi" w:hAnsiTheme="minorHAnsi" w:cstheme="minorHAnsi"/>
        </w:rPr>
      </w:pPr>
    </w:p>
    <w:p w14:paraId="724ABF81" w14:textId="77777777" w:rsidR="009F5CAE" w:rsidRPr="00A929E3" w:rsidRDefault="009F5CAE" w:rsidP="009F5CAE">
      <w:pPr>
        <w:pStyle w:val="Heading2"/>
      </w:pPr>
      <w:r w:rsidRPr="00A929E3">
        <w:t>Responding to disclosures of violence</w:t>
      </w:r>
    </w:p>
    <w:p w14:paraId="38A1A290" w14:textId="77777777" w:rsidR="009F5CAE" w:rsidRPr="009F5CAE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Fonts w:asciiTheme="minorHAnsi" w:hAnsiTheme="minorHAnsi" w:cstheme="minorHAnsi"/>
          <w:b/>
          <w:bCs/>
        </w:rPr>
      </w:pPr>
      <w:r w:rsidRPr="009F5CAE">
        <w:rPr>
          <w:rFonts w:asciiTheme="minorHAnsi" w:hAnsiTheme="minorHAnsi" w:cstheme="minorHAnsi"/>
        </w:rPr>
        <w:t xml:space="preserve">Our Watch’s Practice Guidance: Responding to disclosures </w:t>
      </w:r>
      <w:hyperlink r:id="rId19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https://workplace.ourwatch.org.au/resource/practice-guidance-responding-to-disclosures</w:t>
        </w:r>
      </w:hyperlink>
      <w:r w:rsidRPr="009F5CAE">
        <w:rPr>
          <w:rFonts w:asciiTheme="minorHAnsi" w:hAnsiTheme="minorHAnsi" w:cstheme="minorHAnsi"/>
        </w:rPr>
        <w:t xml:space="preserve"> </w:t>
      </w:r>
    </w:p>
    <w:p w14:paraId="3A70E89A" w14:textId="1C06E472" w:rsidR="009F5CAE" w:rsidRPr="004A4DFC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  <w:r w:rsidRPr="009F5CAE">
        <w:rPr>
          <w:rFonts w:asciiTheme="minorHAnsi" w:hAnsiTheme="minorHAnsi" w:cstheme="minorHAnsi"/>
        </w:rPr>
        <w:t xml:space="preserve">1800 Respect’s Introduction to responding, </w:t>
      </w:r>
      <w:hyperlink r:id="rId20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https://www.1800respect.org.au/introduction-to-responding/</w:t>
        </w:r>
      </w:hyperlink>
    </w:p>
    <w:p w14:paraId="4F769CBD" w14:textId="77777777" w:rsidR="004A4DFC" w:rsidRPr="004A4DFC" w:rsidRDefault="004A4DFC" w:rsidP="004A4DFC">
      <w:pPr>
        <w:spacing w:before="0" w:after="0" w:line="240" w:lineRule="auto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</w:p>
    <w:p w14:paraId="2D1E8FE9" w14:textId="77777777" w:rsidR="004A4DFC" w:rsidRPr="004A4DFC" w:rsidRDefault="004A4DFC" w:rsidP="004A4DFC">
      <w:pPr>
        <w:spacing w:before="0" w:after="0" w:line="240" w:lineRule="auto"/>
        <w:rPr>
          <w:rFonts w:asciiTheme="minorHAnsi" w:hAnsiTheme="minorHAnsi" w:cstheme="minorHAnsi"/>
          <w:b/>
          <w:bCs/>
        </w:rPr>
      </w:pPr>
    </w:p>
    <w:p w14:paraId="189831BE" w14:textId="77777777" w:rsidR="009F5CAE" w:rsidRPr="00335A18" w:rsidRDefault="009F5CAE" w:rsidP="009F5CAE">
      <w:pPr>
        <w:pStyle w:val="Heading2"/>
      </w:pPr>
      <w:r w:rsidRPr="00A929E3">
        <w:lastRenderedPageBreak/>
        <w:t>Managing resistance and backlash</w:t>
      </w:r>
    </w:p>
    <w:p w14:paraId="21B8F8AD" w14:textId="77777777" w:rsidR="009F5CAE" w:rsidRPr="009F5CAE" w:rsidRDefault="009F5CAE" w:rsidP="009F5CAE">
      <w:pPr>
        <w:pStyle w:val="ListParagraph"/>
        <w:numPr>
          <w:ilvl w:val="0"/>
          <w:numId w:val="36"/>
        </w:numPr>
        <w:spacing w:before="0" w:after="0" w:line="240" w:lineRule="auto"/>
        <w:rPr>
          <w:rFonts w:asciiTheme="minorHAnsi" w:hAnsiTheme="minorHAnsi" w:cstheme="minorHAnsi"/>
        </w:rPr>
      </w:pPr>
      <w:r w:rsidRPr="009F5CAE">
        <w:rPr>
          <w:rFonts w:asciiTheme="minorHAnsi" w:hAnsiTheme="minorHAnsi" w:cstheme="minorHAnsi"/>
        </w:rPr>
        <w:t>VicHealth’s [</w:t>
      </w:r>
      <w:proofErr w:type="spellStart"/>
      <w:r w:rsidRPr="009F5CAE">
        <w:rPr>
          <w:rFonts w:asciiTheme="minorHAnsi" w:hAnsiTheme="minorHAnsi" w:cstheme="minorHAnsi"/>
        </w:rPr>
        <w:t>En</w:t>
      </w:r>
      <w:proofErr w:type="spellEnd"/>
      <w:r w:rsidRPr="009F5CAE">
        <w:rPr>
          <w:rFonts w:asciiTheme="minorHAnsi" w:hAnsiTheme="minorHAnsi" w:cstheme="minorHAnsi"/>
        </w:rPr>
        <w:t>]Countering resistance: strategies to respond to resistance to gender equality initiatives</w:t>
      </w:r>
      <w:hyperlink r:id="rId21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https://www.vichealth.vic.gov.au/-/media/ResourceCentre/PublicationsandResources/PVAW/Encountering-Resistance-Gender-Equality.pdf</w:t>
        </w:r>
      </w:hyperlink>
      <w:r w:rsidRPr="009F5CAE">
        <w:rPr>
          <w:rFonts w:asciiTheme="minorHAnsi" w:hAnsiTheme="minorHAnsi" w:cstheme="minorHAnsi"/>
        </w:rPr>
        <w:t xml:space="preserve"> </w:t>
      </w:r>
    </w:p>
    <w:p w14:paraId="5028D698" w14:textId="77777777" w:rsidR="009F5CAE" w:rsidRPr="009F5CAE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Fonts w:asciiTheme="minorHAnsi" w:hAnsiTheme="minorHAnsi" w:cstheme="minorHAnsi"/>
          <w:b/>
          <w:bCs/>
        </w:rPr>
      </w:pPr>
      <w:r w:rsidRPr="009F5CAE">
        <w:rPr>
          <w:rFonts w:asciiTheme="minorHAnsi" w:hAnsiTheme="minorHAnsi" w:cstheme="minorHAnsi"/>
        </w:rPr>
        <w:t xml:space="preserve">Our Watch’s Practice Guidance: Dealing with backlash </w:t>
      </w:r>
      <w:hyperlink r:id="rId22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https://workplace.ourwatch.org.au/resource/practice-guidance-dealing-with-backlash</w:t>
        </w:r>
      </w:hyperlink>
    </w:p>
    <w:p w14:paraId="49BD6594" w14:textId="77777777" w:rsidR="009F5CAE" w:rsidRPr="009F5CAE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Fonts w:asciiTheme="minorHAnsi" w:hAnsiTheme="minorHAnsi" w:cstheme="minorHAnsi"/>
        </w:rPr>
      </w:pPr>
      <w:r w:rsidRPr="009F5CAE">
        <w:rPr>
          <w:rFonts w:asciiTheme="minorHAnsi" w:hAnsiTheme="minorHAnsi" w:cstheme="minorHAnsi"/>
        </w:rPr>
        <w:t xml:space="preserve">‘What is resistance’ published by Domestic Violence Resource Centre Victoria </w:t>
      </w:r>
      <w:hyperlink r:id="rId23" w:history="1">
        <w:r w:rsidRPr="009F5CAE">
          <w:rPr>
            <w:rFonts w:asciiTheme="minorHAnsi" w:hAnsiTheme="minorHAnsi" w:cstheme="minorHAnsi"/>
          </w:rPr>
          <w:t>http://www.dvrcv.org.au/knowledge-centre/our-blog/using-resistance-sustain-rather-drain</w:t>
        </w:r>
      </w:hyperlink>
    </w:p>
    <w:p w14:paraId="6F8215E4" w14:textId="66B8EDFB" w:rsidR="004A4DFC" w:rsidRPr="004A4DFC" w:rsidRDefault="009F5CAE" w:rsidP="004A4DFC">
      <w:pPr>
        <w:pStyle w:val="ListParagraph"/>
        <w:numPr>
          <w:ilvl w:val="0"/>
          <w:numId w:val="39"/>
        </w:numPr>
        <w:spacing w:before="0" w:after="0"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 w:rsidRPr="009F5CAE">
        <w:rPr>
          <w:rFonts w:asciiTheme="minorHAnsi" w:hAnsiTheme="minorHAnsi" w:cstheme="minorHAnsi"/>
        </w:rPr>
        <w:t xml:space="preserve">Women’s Health West’s ‘Speaking publicly about preventing men’s violence against women: Curly questions and language considerations,’  </w:t>
      </w:r>
      <w:hyperlink r:id="rId24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https://whwest.org.au/wp-content/uploads/2016/01/Speaking-on-PVAW-Resource_KH_WEB.pdf</w:t>
        </w:r>
      </w:hyperlink>
    </w:p>
    <w:p w14:paraId="5F8EAEBE" w14:textId="77777777" w:rsidR="004A4DFC" w:rsidRPr="004A4DFC" w:rsidRDefault="004A4DFC" w:rsidP="004A4DFC">
      <w:pPr>
        <w:spacing w:before="0" w:after="0"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</w:p>
    <w:p w14:paraId="448B0A45" w14:textId="77777777" w:rsidR="004A4DFC" w:rsidRPr="004A4DFC" w:rsidRDefault="004A4DFC" w:rsidP="004A4DFC">
      <w:pPr>
        <w:spacing w:before="0" w:after="0" w:line="240" w:lineRule="auto"/>
        <w:rPr>
          <w:rFonts w:asciiTheme="minorHAnsi" w:hAnsiTheme="minorHAnsi" w:cstheme="minorHAnsi"/>
        </w:rPr>
      </w:pPr>
    </w:p>
    <w:p w14:paraId="17373B0D" w14:textId="77777777" w:rsidR="009F5CAE" w:rsidRPr="00A929E3" w:rsidRDefault="009F5CAE" w:rsidP="009F5CAE">
      <w:pPr>
        <w:pStyle w:val="Heading2"/>
      </w:pPr>
      <w:r w:rsidRPr="00A929E3">
        <w:t>Reducing risk in the workplace</w:t>
      </w:r>
    </w:p>
    <w:p w14:paraId="3CE12F0D" w14:textId="136A085D" w:rsidR="009F5CAE" w:rsidRPr="004A4DFC" w:rsidRDefault="009F5CAE" w:rsidP="009F5CAE">
      <w:pPr>
        <w:pStyle w:val="ListParagraph"/>
        <w:numPr>
          <w:ilvl w:val="0"/>
          <w:numId w:val="40"/>
        </w:numPr>
        <w:spacing w:before="0" w:after="0" w:line="240" w:lineRule="auto"/>
        <w:rPr>
          <w:rStyle w:val="Hyperlink"/>
          <w:color w:val="auto"/>
          <w:u w:val="none"/>
        </w:rPr>
      </w:pPr>
      <w:r w:rsidRPr="009F5CAE">
        <w:rPr>
          <w:rFonts w:asciiTheme="minorHAnsi" w:hAnsiTheme="minorHAnsi" w:cstheme="minorHAnsi"/>
        </w:rPr>
        <w:t xml:space="preserve">For more information on risk, see Our Watch’s Practice Guidance: Reducing risk in workplace initiatives to prevent violence against women. </w:t>
      </w:r>
      <w:hyperlink r:id="rId25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https://workplace.ourwatch.org.au/resource/practice-guidance-reducing-risk-in-workplace-initiatives-to-prevent-violence-against-women</w:t>
        </w:r>
      </w:hyperlink>
    </w:p>
    <w:p w14:paraId="65CFA1BD" w14:textId="77777777" w:rsidR="004A4DFC" w:rsidRPr="009F5CAE" w:rsidRDefault="004A4DFC" w:rsidP="004A4DFC">
      <w:pPr>
        <w:spacing w:before="0" w:after="0" w:line="240" w:lineRule="auto"/>
      </w:pPr>
    </w:p>
    <w:p w14:paraId="67AEF5E1" w14:textId="77777777" w:rsidR="00E37B5B" w:rsidRPr="00A929E3" w:rsidRDefault="00E37B5B" w:rsidP="009F5CAE">
      <w:pPr>
        <w:pStyle w:val="Heading2"/>
        <w:rPr>
          <w:rFonts w:asciiTheme="minorHAnsi" w:hAnsiTheme="minorHAnsi"/>
          <w:color w:val="auto"/>
        </w:rPr>
      </w:pPr>
    </w:p>
    <w:sectPr w:rsidR="00E37B5B" w:rsidRPr="00A929E3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B96E" w14:textId="77777777" w:rsidR="00B656C2" w:rsidRDefault="00B656C2" w:rsidP="00B656C2">
      <w:pPr>
        <w:spacing w:before="0" w:after="0" w:line="240" w:lineRule="auto"/>
      </w:pPr>
      <w:r>
        <w:separator/>
      </w:r>
    </w:p>
  </w:endnote>
  <w:endnote w:type="continuationSeparator" w:id="0">
    <w:p w14:paraId="6E71A8E2" w14:textId="77777777" w:rsidR="00B656C2" w:rsidRDefault="00B656C2" w:rsidP="00B65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6D7C5" w14:textId="488CB9F0" w:rsidR="00CD2078" w:rsidRDefault="00CD2078">
    <w:pPr>
      <w:pStyle w:val="Footer"/>
      <w:jc w:val="right"/>
    </w:pPr>
  </w:p>
  <w:p w14:paraId="7B5EF2CA" w14:textId="1BA2162F" w:rsidR="00EA6190" w:rsidRPr="009D30E8" w:rsidRDefault="00EA6190" w:rsidP="009D30E8">
    <w:pPr>
      <w:pStyle w:val="Footer"/>
      <w:jc w:val="both"/>
      <w:rPr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7852" w14:textId="77777777" w:rsidR="00B656C2" w:rsidRDefault="00B656C2" w:rsidP="00B656C2">
      <w:pPr>
        <w:spacing w:before="0" w:after="0" w:line="240" w:lineRule="auto"/>
      </w:pPr>
      <w:r>
        <w:separator/>
      </w:r>
    </w:p>
  </w:footnote>
  <w:footnote w:type="continuationSeparator" w:id="0">
    <w:p w14:paraId="7C56C38D" w14:textId="77777777" w:rsidR="00B656C2" w:rsidRDefault="00B656C2" w:rsidP="00B65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1137" w14:textId="54491136" w:rsidR="00CD2078" w:rsidRPr="00CD2078" w:rsidRDefault="00CD2078" w:rsidP="00CD2078">
    <w:pPr>
      <w:pStyle w:val="Footer"/>
      <w:ind w:left="720"/>
      <w:jc w:val="right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7EA389" wp14:editId="56D3203B">
          <wp:simplePos x="0" y="0"/>
          <wp:positionH relativeFrom="margin">
            <wp:posOffset>-9525</wp:posOffset>
          </wp:positionH>
          <wp:positionV relativeFrom="paragraph">
            <wp:posOffset>-186055</wp:posOffset>
          </wp:positionV>
          <wp:extent cx="571500" cy="421043"/>
          <wp:effectExtent l="0" t="0" r="0" b="0"/>
          <wp:wrapNone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421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448D" w:rsidRPr="00CD2078">
      <w:rPr>
        <w:color w:val="AEAAAA" w:themeColor="background2" w:themeShade="BF"/>
      </w:rPr>
      <w:t xml:space="preserve"> </w:t>
    </w:r>
  </w:p>
  <w:p w14:paraId="4C7472AF" w14:textId="57C2DA63" w:rsidR="00B656C2" w:rsidRDefault="00B656C2">
    <w:pPr>
      <w:pStyle w:val="Header"/>
    </w:pPr>
  </w:p>
  <w:p w14:paraId="141E07AC" w14:textId="77777777" w:rsidR="00EA6190" w:rsidRDefault="00EA61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A5809"/>
    <w:multiLevelType w:val="hybridMultilevel"/>
    <w:tmpl w:val="2A14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610F"/>
    <w:multiLevelType w:val="hybridMultilevel"/>
    <w:tmpl w:val="83B05A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F01A9"/>
    <w:multiLevelType w:val="hybridMultilevel"/>
    <w:tmpl w:val="733AD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7002"/>
    <w:multiLevelType w:val="hybridMultilevel"/>
    <w:tmpl w:val="84182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22AEE"/>
    <w:multiLevelType w:val="hybridMultilevel"/>
    <w:tmpl w:val="3024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C54B3"/>
    <w:multiLevelType w:val="multilevel"/>
    <w:tmpl w:val="6204AC12"/>
    <w:lvl w:ilvl="0">
      <w:start w:val="1"/>
      <w:numFmt w:val="decimal"/>
      <w:pStyle w:val="NumberedList"/>
      <w:lvlText w:val="%1."/>
      <w:lvlJc w:val="left"/>
      <w:pPr>
        <w:ind w:left="539" w:hanging="397"/>
      </w:pPr>
      <w:rPr>
        <w:rFonts w:hint="default"/>
        <w:b/>
        <w:i w:val="0"/>
        <w:color w:val="4472C4" w:themeColor="accent1"/>
        <w:sz w:val="24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b/>
        <w:i w:val="0"/>
        <w:color w:val="4472C4" w:themeColor="accent1"/>
        <w:sz w:val="20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1191" w:hanging="397"/>
      </w:pPr>
      <w:rPr>
        <w:rFonts w:ascii="Courier New" w:hAnsi="Courier New" w:hint="default"/>
        <w:color w:val="4472C4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Courier New" w:hAnsi="Courier New" w:hint="default"/>
        <w:color w:val="4472C4" w:themeColor="accent1"/>
      </w:rPr>
    </w:lvl>
    <w:lvl w:ilvl="4">
      <w:start w:val="1"/>
      <w:numFmt w:val="bullet"/>
      <w:lvlText w:val="-"/>
      <w:lvlJc w:val="left"/>
      <w:pPr>
        <w:ind w:left="2041" w:hanging="453"/>
      </w:pPr>
      <w:rPr>
        <w:rFonts w:ascii="Courier New" w:hAnsi="Courier New" w:hint="default"/>
        <w:color w:val="4472C4" w:themeColor="accen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F74D2"/>
    <w:multiLevelType w:val="hybridMultilevel"/>
    <w:tmpl w:val="CC2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06E80"/>
    <w:multiLevelType w:val="hybridMultilevel"/>
    <w:tmpl w:val="FBCC4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B41FC"/>
    <w:multiLevelType w:val="hybridMultilevel"/>
    <w:tmpl w:val="5A3C0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1724C"/>
    <w:multiLevelType w:val="hybridMultilevel"/>
    <w:tmpl w:val="2F60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90564"/>
    <w:multiLevelType w:val="hybridMultilevel"/>
    <w:tmpl w:val="05469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D5504"/>
    <w:multiLevelType w:val="hybridMultilevel"/>
    <w:tmpl w:val="6FB88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5"/>
  </w:num>
  <w:num w:numId="4">
    <w:abstractNumId w:val="1"/>
  </w:num>
  <w:num w:numId="5">
    <w:abstractNumId w:val="13"/>
  </w:num>
  <w:num w:numId="6">
    <w:abstractNumId w:val="33"/>
  </w:num>
  <w:num w:numId="7">
    <w:abstractNumId w:val="18"/>
  </w:num>
  <w:num w:numId="8">
    <w:abstractNumId w:val="10"/>
  </w:num>
  <w:num w:numId="9">
    <w:abstractNumId w:val="38"/>
  </w:num>
  <w:num w:numId="10">
    <w:abstractNumId w:val="25"/>
  </w:num>
  <w:num w:numId="11">
    <w:abstractNumId w:val="36"/>
  </w:num>
  <w:num w:numId="12">
    <w:abstractNumId w:val="20"/>
  </w:num>
  <w:num w:numId="13">
    <w:abstractNumId w:val="3"/>
  </w:num>
  <w:num w:numId="14">
    <w:abstractNumId w:val="17"/>
  </w:num>
  <w:num w:numId="15">
    <w:abstractNumId w:val="19"/>
  </w:num>
  <w:num w:numId="16">
    <w:abstractNumId w:val="11"/>
  </w:num>
  <w:num w:numId="17">
    <w:abstractNumId w:val="15"/>
  </w:num>
  <w:num w:numId="18">
    <w:abstractNumId w:val="34"/>
  </w:num>
  <w:num w:numId="19">
    <w:abstractNumId w:val="28"/>
  </w:num>
  <w:num w:numId="20">
    <w:abstractNumId w:val="29"/>
  </w:num>
  <w:num w:numId="21">
    <w:abstractNumId w:val="24"/>
  </w:num>
  <w:num w:numId="22">
    <w:abstractNumId w:val="37"/>
  </w:num>
  <w:num w:numId="23">
    <w:abstractNumId w:val="23"/>
  </w:num>
  <w:num w:numId="24">
    <w:abstractNumId w:val="9"/>
  </w:num>
  <w:num w:numId="25">
    <w:abstractNumId w:val="2"/>
  </w:num>
  <w:num w:numId="26">
    <w:abstractNumId w:val="22"/>
  </w:num>
  <w:num w:numId="27">
    <w:abstractNumId w:val="6"/>
  </w:num>
  <w:num w:numId="28">
    <w:abstractNumId w:val="0"/>
  </w:num>
  <w:num w:numId="29">
    <w:abstractNumId w:val="39"/>
  </w:num>
  <w:num w:numId="30">
    <w:abstractNumId w:val="12"/>
  </w:num>
  <w:num w:numId="31">
    <w:abstractNumId w:val="32"/>
  </w:num>
  <w:num w:numId="32">
    <w:abstractNumId w:val="30"/>
  </w:num>
  <w:num w:numId="33">
    <w:abstractNumId w:val="16"/>
  </w:num>
  <w:num w:numId="34">
    <w:abstractNumId w:val="26"/>
  </w:num>
  <w:num w:numId="35">
    <w:abstractNumId w:val="7"/>
  </w:num>
  <w:num w:numId="36">
    <w:abstractNumId w:val="4"/>
  </w:num>
  <w:num w:numId="37">
    <w:abstractNumId w:val="21"/>
  </w:num>
  <w:num w:numId="38">
    <w:abstractNumId w:val="8"/>
  </w:num>
  <w:num w:numId="39">
    <w:abstractNumId w:val="27"/>
  </w:num>
  <w:num w:numId="40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A4DFC"/>
    <w:rsid w:val="004B1B7E"/>
    <w:rsid w:val="004B31C5"/>
    <w:rsid w:val="004B6339"/>
    <w:rsid w:val="004D34E2"/>
    <w:rsid w:val="004D4437"/>
    <w:rsid w:val="0050373C"/>
    <w:rsid w:val="00511711"/>
    <w:rsid w:val="005148A4"/>
    <w:rsid w:val="00530FD6"/>
    <w:rsid w:val="00575013"/>
    <w:rsid w:val="005861C9"/>
    <w:rsid w:val="005A7152"/>
    <w:rsid w:val="005B448D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9F5CAE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37B5B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96282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aliases w:val="Fed List Paragraph"/>
    <w:basedOn w:val="Normal"/>
    <w:link w:val="ListParagraphChar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paragraph" w:customStyle="1" w:styleId="NumberedList">
    <w:name w:val="Numbered List"/>
    <w:basedOn w:val="ListParagraph"/>
    <w:link w:val="NumberedListChar"/>
    <w:uiPriority w:val="13"/>
    <w:qFormat/>
    <w:rsid w:val="005B448D"/>
    <w:pPr>
      <w:numPr>
        <w:numId w:val="37"/>
      </w:numPr>
      <w:spacing w:before="60"/>
    </w:pPr>
    <w:rPr>
      <w:rFonts w:eastAsia="Times New Roman" w:cs="Times New Roman"/>
      <w:color w:val="000000" w:themeColor="text1"/>
      <w:sz w:val="24"/>
      <w:szCs w:val="24"/>
      <w:lang w:eastAsia="en-GB"/>
    </w:rPr>
  </w:style>
  <w:style w:type="character" w:customStyle="1" w:styleId="NumberedListChar">
    <w:name w:val="Numbered List Char"/>
    <w:basedOn w:val="DefaultParagraphFont"/>
    <w:link w:val="NumberedList"/>
    <w:uiPriority w:val="13"/>
    <w:rsid w:val="005B448D"/>
    <w:rPr>
      <w:rFonts w:ascii="Arial" w:eastAsia="Times New Roman" w:hAnsi="Arial" w:cs="Times New Roman"/>
      <w:color w:val="000000" w:themeColor="text1"/>
      <w:sz w:val="24"/>
      <w:szCs w:val="24"/>
      <w:lang w:eastAsia="en-GB"/>
    </w:rPr>
  </w:style>
  <w:style w:type="character" w:customStyle="1" w:styleId="ListParagraphChar">
    <w:name w:val="List Paragraph Char"/>
    <w:aliases w:val="Fed List Paragraph Char"/>
    <w:basedOn w:val="DefaultParagraphFont"/>
    <w:link w:val="ListParagraph"/>
    <w:uiPriority w:val="34"/>
    <w:rsid w:val="00E37B5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gea.gov.au/topics/gender-strategy/gender-equality-strategy-guide/1-build-a-business-case" TargetMode="External"/><Relationship Id="rId13" Type="http://schemas.openxmlformats.org/officeDocument/2006/relationships/hyperlink" Target="http://www.adc.nt.gov.au/" TargetMode="External"/><Relationship Id="rId18" Type="http://schemas.openxmlformats.org/officeDocument/2006/relationships/hyperlink" Target="https://www.dhhs.vic.gov.au/publications/stakeholder-engagement-and-public-participation-framework-and-toolkit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vichealth.vic.gov.au/-/media/ResourceCentre/PublicationsandResources/PVAW/Encountering-Resistance-Gender-Equality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ntidiscrimination.justice.nsw.gov.au/" TargetMode="External"/><Relationship Id="rId17" Type="http://schemas.openxmlformats.org/officeDocument/2006/relationships/hyperlink" Target="https://www.humanrights.gov.au/our-work/sex-discrimination/sex-discrimination-international-activities" TargetMode="External"/><Relationship Id="rId25" Type="http://schemas.openxmlformats.org/officeDocument/2006/relationships/hyperlink" Target="https://workplace.ourwatch.org.au/resource/practice-guidance-reducing-risk-in-workplace-initiatives-to-prevent-violence-against-wom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oc.wa.gov.au/" TargetMode="External"/><Relationship Id="rId20" Type="http://schemas.openxmlformats.org/officeDocument/2006/relationships/hyperlink" Target="https://www.1800respect.org.au/introduction-to-respondin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rc.act.gov.au/" TargetMode="External"/><Relationship Id="rId24" Type="http://schemas.openxmlformats.org/officeDocument/2006/relationships/hyperlink" Target="https://whwest.org.au/wp-content/uploads/2016/01/Speaking-on-PVAW-Resource_KH_WEB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qualopportunity.tas.gov.au/" TargetMode="External"/><Relationship Id="rId23" Type="http://schemas.openxmlformats.org/officeDocument/2006/relationships/hyperlink" Target="http://www.dvrcv.org.au/knowledge-centre/our-blog/using-resistance-sustain-rather-dra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orkplace.ourwatch.org.au/" TargetMode="External"/><Relationship Id="rId19" Type="http://schemas.openxmlformats.org/officeDocument/2006/relationships/hyperlink" Target="https://workplace.ourwatch.org.au/resource/practice-guidance-responding-to-disclos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gea.gov.au/topics/gender-strategy" TargetMode="External"/><Relationship Id="rId14" Type="http://schemas.openxmlformats.org/officeDocument/2006/relationships/hyperlink" Target="https://eoc.sa.gov.au/" TargetMode="External"/><Relationship Id="rId22" Type="http://schemas.openxmlformats.org/officeDocument/2006/relationships/hyperlink" Target="https://workplace.ourwatch.org.au/resource/practice-guidance-dealing-with-backlash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41127-2282-4B40-B26C-6F5504DF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Ardis Cheng</cp:lastModifiedBy>
  <cp:revision>2</cp:revision>
  <dcterms:created xsi:type="dcterms:W3CDTF">2019-12-05T02:47:00Z</dcterms:created>
  <dcterms:modified xsi:type="dcterms:W3CDTF">2019-12-05T02:47:00Z</dcterms:modified>
</cp:coreProperties>
</file>