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3CAC205F" w:rsidR="009D30E8" w:rsidRPr="009D30E8" w:rsidRDefault="00865265" w:rsidP="009D30E8">
      <w:pPr>
        <w:pStyle w:val="Heading1"/>
      </w:pPr>
      <w:r w:rsidRPr="00865265">
        <w:t>ACCESS AND EQUITY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GCBH_Pol015</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230419A3"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2E0292">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254A0E32" w14:textId="39A2695A" w:rsidR="008D39CD" w:rsidRDefault="00865265" w:rsidP="00773F33">
      <w:pPr>
        <w:pStyle w:val="Heading2"/>
      </w:pPr>
      <w:r w:rsidRPr="00B904F7">
        <w:t>Introduction</w:t>
      </w:r>
    </w:p>
    <w:p w14:paraId="6D2C8DF4" w14:textId="77777777" w:rsidR="009D30E8" w:rsidRPr="00B904F7" w:rsidRDefault="009D30E8" w:rsidP="009D30E8">
      <w:r w:rsidRPr="00B904F7">
        <w:t xml:space="preserve">The Access and Equity Policy set out in this document is drawn up on the model of the Australian Government’s </w:t>
      </w:r>
      <w:hyperlink r:id="rId8" w:history="1">
        <w:r w:rsidRPr="00B904F7">
          <w:rPr>
            <w:rStyle w:val="Hyperlink"/>
          </w:rPr>
          <w:t>Charter of Public Service in a Culturally Diverse Society</w:t>
        </w:r>
      </w:hyperlink>
      <w:r w:rsidRPr="00B904F7">
        <w:t>. The Charter is the key document guiding the Australian Government’s Access and Equity strategy. It helps to ensure that government programs (and those programs funded by the government but delivered by contractors, including not-for-profits) meet the needs of our culturally and linguistically diverse society.</w:t>
      </w:r>
    </w:p>
    <w:p w14:paraId="3EE4CE3F" w14:textId="77777777" w:rsidR="009D30E8" w:rsidRPr="00B904F7" w:rsidRDefault="009D30E8" w:rsidP="00773F33">
      <w:pPr>
        <w:pStyle w:val="Heading2"/>
      </w:pPr>
      <w:r w:rsidRPr="00B904F7">
        <w:t>Purpose</w:t>
      </w:r>
    </w:p>
    <w:p w14:paraId="6AC92751" w14:textId="77777777" w:rsidR="009D30E8" w:rsidRPr="00B904F7" w:rsidRDefault="009D30E8" w:rsidP="009D30E8">
      <w:proofErr w:type="spellStart"/>
      <w:r>
        <w:rPr>
          <w:rFonts w:cs="Arial"/>
        </w:rPr>
        <w:t>Gentown</w:t>
      </w:r>
      <w:proofErr w:type="spellEnd"/>
      <w:r>
        <w:rPr>
          <w:rFonts w:cs="Arial"/>
        </w:rPr>
        <w:t xml:space="preserve"> Community &amp; Business Hub (GCBH)</w:t>
      </w:r>
      <w:r w:rsidRPr="00B904F7">
        <w:rPr>
          <w:rFonts w:cs="Arial"/>
        </w:rPr>
        <w:t xml:space="preserve"> acknowledges that its </w:t>
      </w:r>
      <w:r w:rsidRPr="00B904F7">
        <w:t xml:space="preserve">legal and moral responsibilities cover the areas of: </w:t>
      </w:r>
    </w:p>
    <w:p w14:paraId="41F645DD" w14:textId="77777777" w:rsidR="009D30E8" w:rsidRPr="00B904F7" w:rsidRDefault="009D30E8" w:rsidP="009D30E8">
      <w:pPr>
        <w:numPr>
          <w:ilvl w:val="0"/>
          <w:numId w:val="2"/>
        </w:numPr>
        <w:spacing w:before="60" w:after="120" w:line="240" w:lineRule="auto"/>
        <w:contextualSpacing/>
      </w:pPr>
      <w:r w:rsidRPr="00B904F7">
        <w:t xml:space="preserve">access in the provision of services offered by </w:t>
      </w:r>
      <w:r>
        <w:t>GCBH</w:t>
      </w:r>
    </w:p>
    <w:p w14:paraId="1FE2F772" w14:textId="77777777" w:rsidR="009D30E8" w:rsidRPr="00B904F7" w:rsidRDefault="009D30E8" w:rsidP="009D30E8">
      <w:pPr>
        <w:numPr>
          <w:ilvl w:val="0"/>
          <w:numId w:val="2"/>
        </w:numPr>
        <w:spacing w:before="60" w:after="120" w:line="240" w:lineRule="auto"/>
        <w:contextualSpacing/>
      </w:pPr>
      <w:r w:rsidRPr="00B904F7">
        <w:t xml:space="preserve">access in employment by </w:t>
      </w:r>
      <w:r>
        <w:t>GCBH</w:t>
      </w:r>
    </w:p>
    <w:p w14:paraId="613B80D1" w14:textId="77777777" w:rsidR="009D30E8" w:rsidRPr="00B904F7" w:rsidRDefault="009D30E8" w:rsidP="009D30E8">
      <w:pPr>
        <w:numPr>
          <w:ilvl w:val="0"/>
          <w:numId w:val="2"/>
        </w:numPr>
        <w:spacing w:before="60" w:after="120" w:line="240" w:lineRule="auto"/>
        <w:contextualSpacing/>
      </w:pPr>
      <w:r w:rsidRPr="00B904F7">
        <w:t xml:space="preserve">access in the provision of information offered by </w:t>
      </w:r>
      <w:r>
        <w:t>GCBH</w:t>
      </w:r>
    </w:p>
    <w:p w14:paraId="42C9B8CD" w14:textId="77777777" w:rsidR="009D30E8" w:rsidRPr="00B904F7" w:rsidRDefault="009D30E8" w:rsidP="009D30E8">
      <w:pPr>
        <w:numPr>
          <w:ilvl w:val="0"/>
          <w:numId w:val="2"/>
        </w:numPr>
        <w:spacing w:before="60" w:after="120" w:line="240" w:lineRule="auto"/>
        <w:contextualSpacing/>
      </w:pPr>
      <w:r w:rsidRPr="00B904F7">
        <w:t xml:space="preserve">access to any training and development offered by </w:t>
      </w:r>
      <w:r>
        <w:t>GCBH</w:t>
      </w:r>
    </w:p>
    <w:p w14:paraId="4FC3795F" w14:textId="77777777" w:rsidR="009D30E8" w:rsidRPr="00B904F7" w:rsidRDefault="009D30E8" w:rsidP="009D30E8">
      <w:pPr>
        <w:numPr>
          <w:ilvl w:val="0"/>
          <w:numId w:val="2"/>
        </w:numPr>
        <w:spacing w:before="60" w:after="120" w:line="240" w:lineRule="auto"/>
        <w:contextualSpacing/>
      </w:pPr>
      <w:r w:rsidRPr="00B904F7">
        <w:t xml:space="preserve">access to events hosted by </w:t>
      </w:r>
      <w:r>
        <w:t>GCBH.</w:t>
      </w:r>
    </w:p>
    <w:p w14:paraId="191416BE" w14:textId="77777777" w:rsidR="009D30E8" w:rsidRPr="00B904F7" w:rsidRDefault="009D30E8" w:rsidP="009D30E8">
      <w:r w:rsidRPr="00B904F7">
        <w:t>The Charter integrates a set of service delivery principles concerning cultural diversity into the strategic planning, policy development, budget, and reporting processes of service delivery, irrespective of whether these services are provided by government agencies, community organisations, or commercial enterprises.</w:t>
      </w:r>
    </w:p>
    <w:p w14:paraId="06E7C7EC" w14:textId="36B61844" w:rsidR="009D30E8" w:rsidRPr="00ED1D93" w:rsidRDefault="009D30E8" w:rsidP="00773F33">
      <w:pPr>
        <w:pStyle w:val="Heading2"/>
      </w:pPr>
      <w:r w:rsidRPr="00B904F7">
        <w:br w:type="page"/>
      </w:r>
      <w:r w:rsidRPr="00B904F7">
        <w:lastRenderedPageBreak/>
        <w:t>Policy</w:t>
      </w:r>
    </w:p>
    <w:p w14:paraId="2202A944" w14:textId="2BE39234" w:rsidR="009D30E8" w:rsidRPr="00ED1D93" w:rsidRDefault="009D30E8" w:rsidP="009D30E8">
      <w:r w:rsidRPr="00B904F7">
        <w:rPr>
          <w:b/>
        </w:rPr>
        <w:t xml:space="preserve">Access </w:t>
      </w:r>
      <w:r w:rsidRPr="00B904F7">
        <w:rPr>
          <w:b/>
        </w:rPr>
        <w:br/>
      </w:r>
      <w:r w:rsidRPr="00B904F7">
        <w:t xml:space="preserve">As a service provider, </w:t>
      </w:r>
      <w:r>
        <w:t>GCBH</w:t>
      </w:r>
      <w:r w:rsidRPr="00B904F7">
        <w:t xml:space="preserve"> will make services available to everyone who is entitled to them, free of any form of discrimination </w:t>
      </w:r>
      <w:proofErr w:type="gramStart"/>
      <w:r w:rsidRPr="00B904F7">
        <w:t>on the basis of</w:t>
      </w:r>
      <w:proofErr w:type="gramEnd"/>
      <w:r w:rsidRPr="00B904F7">
        <w:t xml:space="preserve"> a person’s country of birth, langu</w:t>
      </w:r>
      <w:r w:rsidR="00ED1D93">
        <w:t>age, culture, race or religion.</w:t>
      </w:r>
    </w:p>
    <w:p w14:paraId="1A155B84" w14:textId="64F18D37" w:rsidR="009D30E8" w:rsidRPr="00ED1D93" w:rsidRDefault="009D30E8" w:rsidP="009D30E8">
      <w:r w:rsidRPr="00B904F7">
        <w:rPr>
          <w:b/>
        </w:rPr>
        <w:t>Equity</w:t>
      </w:r>
      <w:r w:rsidRPr="00B904F7">
        <w:rPr>
          <w:b/>
        </w:rPr>
        <w:br/>
      </w:r>
      <w:r w:rsidRPr="00B904F7">
        <w:t xml:space="preserve">As a service provider, </w:t>
      </w:r>
      <w:r>
        <w:t>GCBH</w:t>
      </w:r>
      <w:r w:rsidRPr="00B904F7">
        <w:t xml:space="preserve"> will develop and deliver services </w:t>
      </w:r>
      <w:proofErr w:type="gramStart"/>
      <w:r w:rsidRPr="00B904F7">
        <w:t>on the basis of</w:t>
      </w:r>
      <w:proofErr w:type="gramEnd"/>
      <w:r w:rsidRPr="00B904F7">
        <w:t xml:space="preserve"> fair treatment of all those clients wh</w:t>
      </w:r>
      <w:r w:rsidR="00ED1D93">
        <w:t>o are eligible to receive them.</w:t>
      </w:r>
    </w:p>
    <w:p w14:paraId="6CAC494B" w14:textId="5FC65A04" w:rsidR="009D30E8" w:rsidRPr="00B904F7" w:rsidRDefault="009D30E8" w:rsidP="009D30E8">
      <w:r w:rsidRPr="00B904F7">
        <w:rPr>
          <w:b/>
        </w:rPr>
        <w:t>Communication</w:t>
      </w:r>
      <w:r w:rsidRPr="00B904F7">
        <w:rPr>
          <w:b/>
        </w:rPr>
        <w:br/>
      </w:r>
      <w:r w:rsidRPr="00B904F7">
        <w:t xml:space="preserve">As a service provider, </w:t>
      </w:r>
      <w:r>
        <w:t>GCBH</w:t>
      </w:r>
      <w:r w:rsidRPr="00B904F7">
        <w:t xml:space="preserve"> will use all necessary strategies to inform eligible clients of the services available, their entitlements, and how they can obtain them. Providers </w:t>
      </w:r>
      <w:r>
        <w:t>should</w:t>
      </w:r>
      <w:r w:rsidRPr="00B904F7">
        <w:t xml:space="preserve"> also consult with their clients regularly about the adequacy, d</w:t>
      </w:r>
      <w:r w:rsidR="00ED1D93">
        <w:t>esign and standard of services.</w:t>
      </w:r>
    </w:p>
    <w:p w14:paraId="068F39D6" w14:textId="39D941C9" w:rsidR="009D30E8" w:rsidRPr="00B904F7" w:rsidRDefault="009D30E8" w:rsidP="009D30E8">
      <w:r w:rsidRPr="00B904F7">
        <w:rPr>
          <w:b/>
        </w:rPr>
        <w:t>Responsiveness</w:t>
      </w:r>
      <w:r w:rsidRPr="00B904F7">
        <w:rPr>
          <w:b/>
        </w:rPr>
        <w:br/>
      </w:r>
      <w:r w:rsidRPr="00B904F7">
        <w:t xml:space="preserve">As a service provider, </w:t>
      </w:r>
      <w:r>
        <w:t>GCBH</w:t>
      </w:r>
      <w:r w:rsidRPr="00B904F7">
        <w:t xml:space="preserve"> will be sensitive to the needs and requirements of clients from diverse cultural and linguistic backgrounds and be responsive as far as practicable to the </w:t>
      </w:r>
      <w:proofErr w:type="gramStart"/>
      <w:r w:rsidRPr="00B904F7">
        <w:t>particula</w:t>
      </w:r>
      <w:r w:rsidR="00ED1D93">
        <w:t>r circumstances</w:t>
      </w:r>
      <w:proofErr w:type="gramEnd"/>
      <w:r w:rsidR="00ED1D93">
        <w:t xml:space="preserve"> of individuals.</w:t>
      </w:r>
    </w:p>
    <w:p w14:paraId="0CFC870A" w14:textId="29EE8D50" w:rsidR="009D30E8" w:rsidRPr="00B904F7" w:rsidRDefault="009D30E8" w:rsidP="009D30E8">
      <w:r w:rsidRPr="00B904F7">
        <w:rPr>
          <w:b/>
        </w:rPr>
        <w:t xml:space="preserve">Effectiveness </w:t>
      </w:r>
      <w:r w:rsidRPr="00B904F7">
        <w:rPr>
          <w:b/>
        </w:rPr>
        <w:br/>
      </w:r>
      <w:r w:rsidRPr="00B904F7">
        <w:t xml:space="preserve">As a service provider, </w:t>
      </w:r>
      <w:r>
        <w:t>GCBH</w:t>
      </w:r>
      <w:r w:rsidRPr="00B904F7">
        <w:t xml:space="preserve"> will be focused on meeting the needs o</w:t>
      </w:r>
      <w:r w:rsidR="00ED1D93">
        <w:t>f clients from all backgrounds.</w:t>
      </w:r>
    </w:p>
    <w:p w14:paraId="69294266" w14:textId="5C0674A3" w:rsidR="009D30E8" w:rsidRPr="00B904F7" w:rsidRDefault="009D30E8" w:rsidP="009D30E8">
      <w:r w:rsidRPr="00B904F7">
        <w:rPr>
          <w:b/>
        </w:rPr>
        <w:t xml:space="preserve">Efficiency </w:t>
      </w:r>
      <w:r w:rsidRPr="00B904F7">
        <w:rPr>
          <w:b/>
        </w:rPr>
        <w:br/>
      </w:r>
      <w:r w:rsidRPr="00B904F7">
        <w:t xml:space="preserve">As a service provider, </w:t>
      </w:r>
      <w:r>
        <w:t>GCBH</w:t>
      </w:r>
      <w:r w:rsidRPr="00B904F7">
        <w:t xml:space="preserve"> will optimise the use of available public resources through a user-responsive approach to service delivery t</w:t>
      </w:r>
      <w:r w:rsidR="00ED1D93">
        <w:t>hat meets the needs of clients.</w:t>
      </w:r>
    </w:p>
    <w:p w14:paraId="67DCDFFD" w14:textId="1411C4A5" w:rsidR="009D30E8" w:rsidRPr="00B904F7" w:rsidRDefault="009D30E8" w:rsidP="009D30E8">
      <w:r w:rsidRPr="00B904F7">
        <w:rPr>
          <w:b/>
        </w:rPr>
        <w:t>Accountability</w:t>
      </w:r>
      <w:r w:rsidRPr="00B904F7">
        <w:br/>
        <w:t xml:space="preserve">As a service provider, </w:t>
      </w:r>
      <w:r>
        <w:t>GCBH</w:t>
      </w:r>
      <w:r w:rsidRPr="00B904F7">
        <w:t xml:space="preserve"> will have a reporting mechanism in place </w:t>
      </w:r>
      <w:r>
        <w:t>that</w:t>
      </w:r>
      <w:r w:rsidRPr="00B904F7">
        <w:t xml:space="preserve"> ensures it is accountable for implementing access and equi</w:t>
      </w:r>
      <w:r w:rsidR="00ED1D93">
        <w:t xml:space="preserve">ty objectives for its clients. </w:t>
      </w:r>
    </w:p>
    <w:p w14:paraId="4FE0A0E5" w14:textId="77777777" w:rsidR="00ED1D93" w:rsidRDefault="00ED1D93" w:rsidP="00773F33">
      <w:pPr>
        <w:pStyle w:val="Heading2"/>
      </w:pPr>
    </w:p>
    <w:p w14:paraId="1F89DF2E" w14:textId="426FA383" w:rsidR="009D30E8" w:rsidRPr="00B904F7" w:rsidRDefault="009D30E8" w:rsidP="00773F33">
      <w:pPr>
        <w:pStyle w:val="Heading2"/>
      </w:pPr>
      <w:r w:rsidRPr="00B904F7">
        <w:t>Authorisation</w:t>
      </w:r>
    </w:p>
    <w:p w14:paraId="07439B44" w14:textId="408894F4"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2E0292">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7895273A" w14:textId="33C1EA3C" w:rsidR="00ED1D93" w:rsidRPr="009D30E8" w:rsidRDefault="0081517A" w:rsidP="00ED1D93">
      <w:pPr>
        <w:pStyle w:val="Heading1"/>
      </w:pPr>
      <w:r w:rsidRPr="0081517A">
        <w:lastRenderedPageBreak/>
        <w:t>ACCESS AND EQUITY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62560017" w:rsidR="00ED1D93" w:rsidRPr="009D30E8" w:rsidRDefault="0081517A" w:rsidP="00505A32">
            <w:pPr>
              <w:pStyle w:val="PlainText"/>
              <w:spacing w:before="0" w:after="0"/>
              <w:rPr>
                <w:rFonts w:ascii="Calibri" w:hAnsi="Calibri" w:cs="Arial"/>
                <w:color w:val="FFFFFF" w:themeColor="background1"/>
                <w:szCs w:val="24"/>
                <w:lang w:val="en-US" w:eastAsia="en-US"/>
              </w:rPr>
            </w:pPr>
            <w:r w:rsidRPr="0081517A">
              <w:rPr>
                <w:rFonts w:ascii="Calibri" w:hAnsi="Calibri" w:cs="Arial"/>
                <w:color w:val="FFFFFF" w:themeColor="background1"/>
                <w:szCs w:val="24"/>
                <w:lang w:val="en-US" w:eastAsia="en-US"/>
              </w:rPr>
              <w:t>GCBH_Proc015</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79F7FCD3"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2E0292">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773F33">
      <w:pPr>
        <w:pStyle w:val="Heading2"/>
      </w:pPr>
      <w:r w:rsidRPr="00B904F7">
        <w:t>Responsibilities</w:t>
      </w:r>
    </w:p>
    <w:p w14:paraId="5DA45E8D" w14:textId="7F48B87D" w:rsidR="00ED1D93" w:rsidRPr="00B904F7" w:rsidRDefault="00ED1D93" w:rsidP="00ED1D93">
      <w:r w:rsidRPr="00B904F7">
        <w:t xml:space="preserve">It </w:t>
      </w:r>
      <w:r>
        <w:t>will</w:t>
      </w:r>
      <w:r w:rsidRPr="00B904F7">
        <w:t xml:space="preserve"> be the responsibility of the CEO to implement this policy and to report to the Board annually on its progress.  </w:t>
      </w:r>
    </w:p>
    <w:p w14:paraId="05CC39A4" w14:textId="77777777" w:rsidR="00ED1D93" w:rsidRPr="00B904F7" w:rsidRDefault="00ED1D93" w:rsidP="00773F33">
      <w:pPr>
        <w:pStyle w:val="Heading2"/>
      </w:pPr>
      <w:r w:rsidRPr="00B904F7">
        <w:t>Procedures</w:t>
      </w:r>
    </w:p>
    <w:p w14:paraId="06CC0A12" w14:textId="77777777" w:rsidR="00ED1D93" w:rsidRPr="00B904F7" w:rsidRDefault="00ED1D93" w:rsidP="00ED1D93">
      <w:r w:rsidRPr="00B904F7">
        <w:t xml:space="preserve">All </w:t>
      </w:r>
      <w:r>
        <w:t>GCBH</w:t>
      </w:r>
      <w:r w:rsidRPr="00B904F7">
        <w:t xml:space="preserve"> staff </w:t>
      </w:r>
      <w:r>
        <w:t>should</w:t>
      </w:r>
      <w:r w:rsidRPr="00B904F7">
        <w:t xml:space="preserve">, wherever feasible, have adequate support and training to provide services and information accessible to all people. </w:t>
      </w:r>
    </w:p>
    <w:p w14:paraId="5CAAFE93" w14:textId="77777777" w:rsidR="00ED1D93" w:rsidRPr="00B904F7" w:rsidRDefault="00ED1D93" w:rsidP="00ED1D93">
      <w:r>
        <w:t>GCBH</w:t>
      </w:r>
      <w:r w:rsidRPr="00B904F7">
        <w:t xml:space="preserve"> will ensure its programs are designed and constructed to provide equal access for all users. </w:t>
      </w:r>
    </w:p>
    <w:p w14:paraId="26F5236C" w14:textId="77777777" w:rsidR="00ED1D93" w:rsidRPr="00B904F7" w:rsidRDefault="00ED1D93" w:rsidP="00ED1D93">
      <w:r>
        <w:t>GCBH</w:t>
      </w:r>
      <w:r w:rsidRPr="00B904F7">
        <w:t xml:space="preserve">, in its role as an employer, will ensure all people have equal access to advertised positions, interviews, equipment, office accommodation, staff training and promotion. </w:t>
      </w:r>
    </w:p>
    <w:p w14:paraId="255CADCB" w14:textId="77777777" w:rsidR="00ED1D93" w:rsidRPr="00B904F7" w:rsidRDefault="00ED1D93" w:rsidP="00ED1D93">
      <w:r>
        <w:t>GCBH</w:t>
      </w:r>
      <w:r w:rsidRPr="00B904F7">
        <w:t xml:space="preserve"> </w:t>
      </w:r>
      <w:r>
        <w:t>should</w:t>
      </w:r>
      <w:r w:rsidRPr="00B904F7">
        <w:t xml:space="preserve">, wherever feasible, assess proposals for any new (or substantially revised) policies or programs for their direct </w:t>
      </w:r>
      <w:r>
        <w:t>effect</w:t>
      </w:r>
      <w:r w:rsidRPr="00B904F7">
        <w:t xml:space="preserve"> on the lives of people from a range of cultural and linguistic backgrounds prior to any decision to pursue such proposals. </w:t>
      </w:r>
    </w:p>
    <w:p w14:paraId="6F840A21" w14:textId="77777777" w:rsidR="00ED1D93" w:rsidRPr="00B904F7" w:rsidRDefault="00ED1D93" w:rsidP="00ED1D93">
      <w:r w:rsidRPr="00B904F7">
        <w:t xml:space="preserve">Any new (or substantially revised) policies or programs that </w:t>
      </w:r>
      <w:r>
        <w:t>affect</w:t>
      </w:r>
      <w:r w:rsidRPr="00B904F7">
        <w:t xml:space="preserve"> in different ways the lives of people from different cultural and linguistic backgrounds </w:t>
      </w:r>
      <w:r>
        <w:t>should</w:t>
      </w:r>
      <w:r w:rsidRPr="00B904F7">
        <w:t xml:space="preserve">, wherever feasible, be developed by </w:t>
      </w:r>
      <w:r>
        <w:t>GCBH</w:t>
      </w:r>
      <w:r w:rsidRPr="00B904F7">
        <w:t xml:space="preserve"> in consultation with people from those backgrounds. </w:t>
      </w:r>
    </w:p>
    <w:p w14:paraId="37857579" w14:textId="77777777" w:rsidR="00ED1D93" w:rsidRPr="00B904F7" w:rsidRDefault="00ED1D93" w:rsidP="00ED1D93">
      <w:r>
        <w:t>GCBH</w:t>
      </w:r>
      <w:r w:rsidRPr="00B904F7">
        <w:t xml:space="preserve"> </w:t>
      </w:r>
      <w:r>
        <w:t>should</w:t>
      </w:r>
      <w:r w:rsidRPr="00B904F7">
        <w:t xml:space="preserve">, wherever feasible, for any new (or substantially revised) policies or program initiatives have a communication strategy developed and sufficiently resourced to inform people from relevant cultural and linguistic backgrounds of these changes. </w:t>
      </w:r>
    </w:p>
    <w:p w14:paraId="15F86293" w14:textId="77777777" w:rsidR="00ED1D93" w:rsidRPr="00B904F7" w:rsidRDefault="00ED1D93" w:rsidP="00ED1D93">
      <w:r>
        <w:t>GCBH</w:t>
      </w:r>
      <w:r w:rsidRPr="00B904F7">
        <w:t xml:space="preserve"> </w:t>
      </w:r>
      <w:r>
        <w:t>should</w:t>
      </w:r>
      <w:r w:rsidRPr="00B904F7">
        <w:t xml:space="preserve"> provide resources so that publicly available and accessible information on its policies and programs is</w:t>
      </w:r>
      <w:r>
        <w:t>,</w:t>
      </w:r>
      <w:r w:rsidRPr="00B904F7">
        <w:t xml:space="preserve"> where necessary</w:t>
      </w:r>
      <w:r>
        <w:t>,</w:t>
      </w:r>
      <w:r w:rsidRPr="00B904F7">
        <w:t xml:space="preserve"> communicated appropriately to people from a range of cultural and linguistic backgrounds, and especially to those identified as having a high level of non-compliance. </w:t>
      </w:r>
    </w:p>
    <w:p w14:paraId="74EA5D0B" w14:textId="77777777" w:rsidR="00ED1D93" w:rsidRPr="00B904F7" w:rsidRDefault="00ED1D93" w:rsidP="00ED1D93">
      <w:r>
        <w:t>GCBH</w:t>
      </w:r>
      <w:r w:rsidRPr="00B904F7">
        <w:t xml:space="preserve"> </w:t>
      </w:r>
      <w:r>
        <w:t>should</w:t>
      </w:r>
      <w:r w:rsidRPr="00B904F7">
        <w:t xml:space="preserve"> institute complaints mechanisms that enable people (regardless of cultural and linguistic backgrounds) to address issues and raise concerns about its performance. </w:t>
      </w:r>
    </w:p>
    <w:p w14:paraId="5E005F50" w14:textId="77777777" w:rsidR="00ED1D93" w:rsidRPr="00B904F7" w:rsidRDefault="00ED1D93" w:rsidP="00ED1D93">
      <w:r>
        <w:lastRenderedPageBreak/>
        <w:t>GCBH</w:t>
      </w:r>
      <w:r w:rsidRPr="00B904F7">
        <w:t xml:space="preserve"> </w:t>
      </w:r>
      <w:r>
        <w:t>should</w:t>
      </w:r>
      <w:r w:rsidRPr="00B904F7">
        <w:t xml:space="preserve"> require that any agents, contractors, or partners of </w:t>
      </w:r>
      <w:r>
        <w:t>GCBH</w:t>
      </w:r>
      <w:r w:rsidRPr="00B904F7">
        <w:t xml:space="preserve"> deliver outcomes consistent with this policy, and</w:t>
      </w:r>
      <w:r w:rsidRPr="00B904F7">
        <w:rPr>
          <w:bCs/>
        </w:rPr>
        <w:t xml:space="preserve"> </w:t>
      </w:r>
      <w:r>
        <w:rPr>
          <w:bCs/>
        </w:rPr>
        <w:t>should</w:t>
      </w:r>
      <w:r w:rsidRPr="00B904F7">
        <w:rPr>
          <w:bCs/>
        </w:rPr>
        <w:t>, in bidding for tenders or contracts, budget, where appropriate, for special provision for linguistic and cultural diversity.</w:t>
      </w:r>
    </w:p>
    <w:p w14:paraId="4F5564B1" w14:textId="77777777" w:rsidR="00ED1D93" w:rsidRPr="00B904F7" w:rsidRDefault="00ED1D93" w:rsidP="00ED1D93">
      <w:r>
        <w:t>GCBH</w:t>
      </w:r>
      <w:r w:rsidRPr="00B904F7">
        <w:t xml:space="preserve"> </w:t>
      </w:r>
      <w:r>
        <w:t>should</w:t>
      </w:r>
      <w:r w:rsidRPr="00B904F7">
        <w:t xml:space="preserve">, where necessary and feasible, provide for the special needs of clients from diverse cultural and linguistic backgrounds by providing language assistance </w:t>
      </w:r>
      <w:proofErr w:type="gramStart"/>
      <w:r w:rsidRPr="00B904F7">
        <w:t>through the use of</w:t>
      </w:r>
      <w:proofErr w:type="gramEnd"/>
      <w:r w:rsidRPr="00B904F7">
        <w:t xml:space="preserve"> interpreters or facilitators. </w:t>
      </w:r>
    </w:p>
    <w:p w14:paraId="1A04B1F8" w14:textId="77777777" w:rsidR="00ED1D93" w:rsidRPr="00B904F7" w:rsidRDefault="00ED1D93" w:rsidP="00ED1D93">
      <w:r>
        <w:t>GCBH</w:t>
      </w:r>
      <w:r w:rsidRPr="00B904F7">
        <w:t xml:space="preserve"> </w:t>
      </w:r>
      <w:r>
        <w:t>should</w:t>
      </w:r>
      <w:r w:rsidRPr="00B904F7">
        <w:t xml:space="preserve">, where necessary and feasible, provide for the special needs of clients in remote areas through developing outreach and community liaison arrangements. </w:t>
      </w:r>
    </w:p>
    <w:p w14:paraId="412C3E80" w14:textId="77777777" w:rsidR="00ED1D93" w:rsidRPr="00B904F7" w:rsidRDefault="00ED1D93" w:rsidP="00ED1D93">
      <w:r>
        <w:t>GCBH</w:t>
      </w:r>
      <w:r w:rsidRPr="00B904F7">
        <w:rPr>
          <w:bCs/>
          <w:iCs/>
        </w:rPr>
        <w:t xml:space="preserve"> </w:t>
      </w:r>
      <w:r>
        <w:rPr>
          <w:bCs/>
          <w:iCs/>
        </w:rPr>
        <w:t>should</w:t>
      </w:r>
      <w:r w:rsidRPr="00B904F7">
        <w:rPr>
          <w:bCs/>
          <w:iCs/>
        </w:rPr>
        <w:t xml:space="preserve"> </w:t>
      </w:r>
      <w:r w:rsidRPr="00B904F7">
        <w:t>consider cultural diversity issues in the design and delivery of any training programs it provides.</w:t>
      </w:r>
    </w:p>
    <w:p w14:paraId="5966924F" w14:textId="77777777" w:rsidR="00ED1D93" w:rsidRPr="00B904F7" w:rsidRDefault="00ED1D93" w:rsidP="00ED1D93">
      <w:r>
        <w:t>GCBH</w:t>
      </w:r>
      <w:r w:rsidRPr="00B904F7">
        <w:t xml:space="preserve"> staff </w:t>
      </w:r>
      <w:r>
        <w:t>should</w:t>
      </w:r>
      <w:r w:rsidRPr="00B904F7">
        <w:t>, where necessary, receive ongoing cultural diversity training so that they develop knowledge and skills to work effectively from a cultural framework.</w:t>
      </w:r>
    </w:p>
    <w:p w14:paraId="4F07CA6C" w14:textId="77777777" w:rsidR="00ED1D93" w:rsidRPr="00B904F7" w:rsidRDefault="00ED1D93" w:rsidP="00ED1D93">
      <w:r>
        <w:t>GCBH</w:t>
      </w:r>
      <w:r w:rsidRPr="00B904F7">
        <w:t xml:space="preserve"> </w:t>
      </w:r>
      <w:r>
        <w:t>should</w:t>
      </w:r>
      <w:r w:rsidRPr="00B904F7">
        <w:t>, where necessary and feasible, provide information in languages other than English, and through print, electronic media, and disability-appropriate methods of communication.</w:t>
      </w:r>
    </w:p>
    <w:p w14:paraId="78ED7662" w14:textId="77777777" w:rsidR="00ED1D93" w:rsidRPr="00B904F7" w:rsidRDefault="00ED1D93" w:rsidP="00ED1D93">
      <w:r>
        <w:t>GCBH</w:t>
      </w:r>
      <w:r w:rsidRPr="00B904F7">
        <w:t xml:space="preserve"> </w:t>
      </w:r>
      <w:r>
        <w:t>should</w:t>
      </w:r>
      <w:r w:rsidRPr="00B904F7">
        <w:t>, where appropriate, consult with other providers and government agencies to ensure co-ordination of services appropriate to clients' needs.</w:t>
      </w:r>
    </w:p>
    <w:p w14:paraId="48E3960C" w14:textId="77777777" w:rsidR="00ED1D93" w:rsidRPr="00B904F7" w:rsidRDefault="00ED1D93" w:rsidP="00ED1D93">
      <w:r>
        <w:t>GCBH</w:t>
      </w:r>
      <w:r w:rsidRPr="00B904F7">
        <w:t xml:space="preserve"> </w:t>
      </w:r>
      <w:r>
        <w:t>should</w:t>
      </w:r>
      <w:r w:rsidRPr="00B904F7">
        <w:t xml:space="preserve"> promote diversity in the membership of its boards, committees and working groups. </w:t>
      </w:r>
    </w:p>
    <w:p w14:paraId="5E001B5B" w14:textId="77777777" w:rsidR="00ED1D93" w:rsidRPr="00B904F7" w:rsidRDefault="00ED1D93" w:rsidP="00ED1D93">
      <w:r>
        <w:t>GCBH</w:t>
      </w:r>
      <w:r w:rsidRPr="00B904F7">
        <w:t xml:space="preserve"> </w:t>
      </w:r>
      <w:r>
        <w:t>should</w:t>
      </w:r>
      <w:r w:rsidRPr="00B904F7">
        <w:t xml:space="preserve"> keep in its client data collection record, where appropriate, such data as birthplace; whether a person's first language spoken was English; Aboriginal or Torres Strait Islander background; Australian South Sea Islander background; date of birth; year of arrival in Australia; birthplace of parents; sex; and religion (the collection of data will not always include all these items, as the relevance of these data items will vary depending on the service delivery context).</w:t>
      </w:r>
    </w:p>
    <w:p w14:paraId="45265976" w14:textId="77777777" w:rsidR="00ED1D93" w:rsidRPr="00B904F7" w:rsidRDefault="00ED1D93" w:rsidP="00ED1D93">
      <w:r>
        <w:t>GCBH</w:t>
      </w:r>
      <w:r w:rsidRPr="00B904F7">
        <w:t xml:space="preserve"> </w:t>
      </w:r>
      <w:r>
        <w:t>should</w:t>
      </w:r>
      <w:r w:rsidRPr="00B904F7">
        <w:t xml:space="preserve"> protect the privacy of individual clients when collecting this data. Consideration will be given to:</w:t>
      </w:r>
    </w:p>
    <w:p w14:paraId="6B42D0D1" w14:textId="77777777" w:rsidR="00ED1D93" w:rsidRPr="00B904F7" w:rsidRDefault="00ED1D93" w:rsidP="00ED1D93">
      <w:pPr>
        <w:numPr>
          <w:ilvl w:val="0"/>
          <w:numId w:val="3"/>
        </w:numPr>
        <w:spacing w:before="60" w:after="120" w:line="240" w:lineRule="auto"/>
        <w:contextualSpacing/>
      </w:pPr>
      <w:r w:rsidRPr="00B904F7">
        <w:t xml:space="preserve">collecting only data essential to the </w:t>
      </w:r>
      <w:proofErr w:type="gramStart"/>
      <w:r w:rsidRPr="00B904F7">
        <w:t>particular service</w:t>
      </w:r>
      <w:proofErr w:type="gramEnd"/>
      <w:r w:rsidRPr="00B904F7">
        <w:t xml:space="preserve"> delivery or evaluation purpose</w:t>
      </w:r>
    </w:p>
    <w:p w14:paraId="7D51D0AB" w14:textId="77777777" w:rsidR="00ED1D93" w:rsidRPr="00B904F7" w:rsidRDefault="00ED1D93" w:rsidP="00ED1D93">
      <w:pPr>
        <w:numPr>
          <w:ilvl w:val="0"/>
          <w:numId w:val="3"/>
        </w:numPr>
        <w:spacing w:before="60" w:after="120" w:line="240" w:lineRule="auto"/>
        <w:contextualSpacing/>
      </w:pPr>
      <w:r w:rsidRPr="00B904F7">
        <w:t>guaranteeing anonymity and</w:t>
      </w:r>
    </w:p>
    <w:p w14:paraId="46BF1BF1" w14:textId="77777777" w:rsidR="00ED1D93" w:rsidRPr="00B904F7" w:rsidRDefault="00ED1D93" w:rsidP="00ED1D93">
      <w:pPr>
        <w:numPr>
          <w:ilvl w:val="0"/>
          <w:numId w:val="3"/>
        </w:numPr>
        <w:spacing w:before="60" w:after="120" w:line="240" w:lineRule="auto"/>
        <w:contextualSpacing/>
      </w:pPr>
      <w:r w:rsidRPr="00B904F7">
        <w:t>ensuring that all data collection proposals are non-intrusive.</w:t>
      </w:r>
    </w:p>
    <w:p w14:paraId="2C9FD514" w14:textId="77777777" w:rsidR="00ED1D93" w:rsidRPr="00B904F7" w:rsidRDefault="00ED1D93" w:rsidP="00773F33">
      <w:pPr>
        <w:pStyle w:val="Heading2"/>
      </w:pPr>
    </w:p>
    <w:p w14:paraId="0ABE22A8" w14:textId="77777777" w:rsidR="00ED1D93" w:rsidRPr="00B904F7" w:rsidRDefault="00ED1D93" w:rsidP="00773F33">
      <w:pPr>
        <w:pStyle w:val="Heading2"/>
      </w:pPr>
      <w:r>
        <w:br w:type="column"/>
      </w:r>
      <w:r w:rsidRPr="00B904F7">
        <w:lastRenderedPageBreak/>
        <w:t>Related Documents</w:t>
      </w:r>
    </w:p>
    <w:p w14:paraId="3B4437F6" w14:textId="79C9E286" w:rsidR="00ED1D93" w:rsidRPr="00B904F7" w:rsidRDefault="00ED1D93" w:rsidP="00ED1D93">
      <w:pPr>
        <w:numPr>
          <w:ilvl w:val="0"/>
          <w:numId w:val="4"/>
        </w:numPr>
        <w:spacing w:before="60" w:after="120" w:line="240" w:lineRule="auto"/>
        <w:ind w:left="714" w:hanging="357"/>
        <w:contextualSpacing/>
      </w:pPr>
      <w:r w:rsidRPr="00775403">
        <w:t>Staff Recruitment Policy</w:t>
      </w:r>
    </w:p>
    <w:p w14:paraId="4323A34C" w14:textId="77777777" w:rsidR="00ED1D93" w:rsidRPr="00B904F7" w:rsidRDefault="00ED1D93" w:rsidP="00773F33">
      <w:pPr>
        <w:pStyle w:val="Heading2"/>
      </w:pPr>
    </w:p>
    <w:p w14:paraId="493C66A9" w14:textId="77777777" w:rsidR="00ED1D93" w:rsidRPr="00B904F7" w:rsidRDefault="00ED1D93" w:rsidP="00773F33">
      <w:pPr>
        <w:pStyle w:val="Heading2"/>
      </w:pPr>
      <w:r w:rsidRPr="00B904F7">
        <w:t>Authorisation</w:t>
      </w:r>
    </w:p>
    <w:p w14:paraId="2D3B493F" w14:textId="7FA0B06F"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10">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2E0292">
        <w:rPr>
          <w:noProof/>
        </w:rPr>
        <w:t>4 December 2019</w:t>
      </w:r>
      <w:r>
        <w:fldChar w:fldCharType="end"/>
      </w:r>
    </w:p>
    <w:bookmarkEnd w:id="2"/>
    <w:p w14:paraId="38D650EE" w14:textId="77777777" w:rsidR="00ED1D93" w:rsidRDefault="00ED1D93"/>
    <w:sectPr w:rsidR="00ED1D9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46B55" w14:textId="77777777" w:rsidR="002E0292" w:rsidRDefault="002E02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909F3" w14:textId="77777777" w:rsidR="002E0292" w:rsidRDefault="002E0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A7FF" w14:textId="77777777" w:rsidR="002E0292" w:rsidRDefault="002E02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6940F19D"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48F55A84">
          <wp:simplePos x="0" y="0"/>
          <wp:positionH relativeFrom="margin">
            <wp:posOffset>-6350</wp:posOffset>
          </wp:positionH>
          <wp:positionV relativeFrom="paragraph">
            <wp:posOffset>-49530</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r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bookmarkStart w:id="3" w:name="_GoBack"/>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B7CF8" w14:textId="77777777" w:rsidR="002E0292" w:rsidRDefault="002E02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2516F"/>
    <w:rsid w:val="002A0F0D"/>
    <w:rsid w:val="002A1B8D"/>
    <w:rsid w:val="002E0292"/>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85EAF"/>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78C2"/>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1517A"/>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2078"/>
    <w:rsid w:val="00CE2907"/>
    <w:rsid w:val="00CE7AF3"/>
    <w:rsid w:val="00CF0116"/>
    <w:rsid w:val="00D56E0A"/>
    <w:rsid w:val="00D577DD"/>
    <w:rsid w:val="00D70186"/>
    <w:rsid w:val="00E076F2"/>
    <w:rsid w:val="00E21F4D"/>
    <w:rsid w:val="00E23C27"/>
    <w:rsid w:val="00E64741"/>
    <w:rsid w:val="00E7300E"/>
    <w:rsid w:val="00EA3628"/>
    <w:rsid w:val="00EA6190"/>
    <w:rsid w:val="00ED1D93"/>
    <w:rsid w:val="00ED55E4"/>
    <w:rsid w:val="00EE41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773F3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773F3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mi.gov.au/multicultural/_inc/publications/charter/charter.ht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3BC17-846E-4867-8943-D37B83C7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6</cp:revision>
  <dcterms:created xsi:type="dcterms:W3CDTF">2019-10-30T23:00:00Z</dcterms:created>
  <dcterms:modified xsi:type="dcterms:W3CDTF">2019-12-03T23:32:00Z</dcterms:modified>
</cp:coreProperties>
</file>