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B5E1E99" w:rsidR="009D30E8" w:rsidRPr="009D30E8" w:rsidRDefault="00FA3A18" w:rsidP="00D54AE3">
      <w:pPr>
        <w:pStyle w:val="Heading1"/>
      </w:pPr>
      <w:r w:rsidRPr="00FA3A18">
        <w:t>ANTI-DISCRIMINATION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C785E82" w:rsidR="009D30E8" w:rsidRPr="009D30E8" w:rsidRDefault="00FA3A18"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GCBH_Pol001</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17C6393"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9F3AD5">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4D552941" w14:textId="77777777" w:rsidR="00FA3A18" w:rsidRPr="004E3294" w:rsidRDefault="00FA3A18" w:rsidP="00FA3A18">
      <w:proofErr w:type="spellStart"/>
      <w:r>
        <w:t>Gentown</w:t>
      </w:r>
      <w:proofErr w:type="spellEnd"/>
      <w:r>
        <w:t xml:space="preserve"> Community &amp; Business Hub (GCBH)</w:t>
      </w:r>
      <w:r w:rsidRPr="004E3294">
        <w:t xml:space="preserve"> endorses diversity, supports equal rights, and does not advocate, support or practi</w:t>
      </w:r>
      <w:r>
        <w:t>s</w:t>
      </w:r>
      <w:r w:rsidRPr="004E3294">
        <w:t>e discrimination based on race, religion, age, national origin, language, sex, sexual orientation, or mental or physical handicap, whether covered by applicable legislation or not, except where affirmative action may be required to redress individual or social handicaps of people from disadvantaged groups.</w:t>
      </w:r>
    </w:p>
    <w:p w14:paraId="3EE4CE3F" w14:textId="41F444BD" w:rsidR="009D30E8" w:rsidRPr="00B904F7" w:rsidRDefault="009D30E8" w:rsidP="00DD6924">
      <w:pPr>
        <w:pStyle w:val="Heading2"/>
      </w:pPr>
      <w:r w:rsidRPr="00B904F7">
        <w:t>Purpose</w:t>
      </w:r>
    </w:p>
    <w:p w14:paraId="4A22D380" w14:textId="77777777" w:rsidR="00FA3A18" w:rsidRPr="004E3294" w:rsidRDefault="00FA3A18" w:rsidP="00FA3A18">
      <w:pPr>
        <w:rPr>
          <w:rFonts w:cs="Verdana"/>
          <w:szCs w:val="18"/>
        </w:rPr>
      </w:pPr>
      <w:r w:rsidRPr="004E3294">
        <w:rPr>
          <w:rFonts w:cs="Verdana"/>
          <w:szCs w:val="18"/>
        </w:rPr>
        <w:t xml:space="preserve">This document sets out </w:t>
      </w:r>
    </w:p>
    <w:p w14:paraId="3518B961" w14:textId="77777777" w:rsidR="00FA3A18" w:rsidRPr="004E3294" w:rsidRDefault="00FA3A18" w:rsidP="00FA3A18">
      <w:pPr>
        <w:numPr>
          <w:ilvl w:val="0"/>
          <w:numId w:val="21"/>
        </w:numPr>
        <w:spacing w:before="60" w:after="100" w:line="240" w:lineRule="auto"/>
        <w:contextualSpacing/>
        <w:rPr>
          <w:rFonts w:cs="Verdana"/>
          <w:szCs w:val="18"/>
        </w:rPr>
      </w:pPr>
      <w:r>
        <w:t>GCBH</w:t>
      </w:r>
      <w:r w:rsidRPr="004E3294">
        <w:rPr>
          <w:rFonts w:cs="Verdana"/>
          <w:szCs w:val="18"/>
        </w:rPr>
        <w:t>’s policy against such discrimination</w:t>
      </w:r>
    </w:p>
    <w:p w14:paraId="108C9CF3" w14:textId="77777777" w:rsidR="00FA3A18" w:rsidRPr="004E3294" w:rsidRDefault="00FA3A18" w:rsidP="00FA3A18">
      <w:pPr>
        <w:numPr>
          <w:ilvl w:val="0"/>
          <w:numId w:val="21"/>
        </w:numPr>
        <w:spacing w:before="60" w:after="100" w:line="240" w:lineRule="auto"/>
        <w:contextualSpacing/>
      </w:pPr>
      <w:r w:rsidRPr="004E3294">
        <w:rPr>
          <w:rFonts w:cs="Verdana"/>
          <w:szCs w:val="18"/>
        </w:rPr>
        <w:t>The governance structures, responsibilities and processes that have been established to give effect to that policy</w:t>
      </w:r>
      <w:r w:rsidRPr="004E3294">
        <w:t xml:space="preserve">. </w:t>
      </w:r>
    </w:p>
    <w:p w14:paraId="388FAE4D" w14:textId="604561FD" w:rsidR="00270545" w:rsidRPr="00D54AE3" w:rsidRDefault="009D210D" w:rsidP="00DD6924">
      <w:pPr>
        <w:pStyle w:val="Heading2"/>
      </w:pPr>
      <w:r>
        <w:t>Policy</w:t>
      </w:r>
    </w:p>
    <w:p w14:paraId="4FA8F1D4" w14:textId="77777777" w:rsidR="00FA3A18" w:rsidRPr="004E3294" w:rsidRDefault="00FA3A18" w:rsidP="00FA3A18">
      <w:r>
        <w:t>GCBH</w:t>
      </w:r>
      <w:r w:rsidRPr="004E3294">
        <w:t xml:space="preserve"> does not advocate, support or practi</w:t>
      </w:r>
      <w:r>
        <w:t>s</w:t>
      </w:r>
      <w:r w:rsidRPr="004E3294">
        <w:t xml:space="preserve">e discrimination based on race, religion, age, national origin, language, sex, sexual orientation, or mental or physical handicap or any other personal attribute protected by law, except where affirmative action may be required to redress individual or social handicaps. </w:t>
      </w:r>
      <w:r>
        <w:t>GCBH</w:t>
      </w:r>
      <w:r w:rsidRPr="004E3294">
        <w:t xml:space="preserve"> will make all reasonable accommodations to allow people who experience difficulties in their dealings with the organisation to benefit equally from its work. </w:t>
      </w:r>
      <w:r w:rsidRPr="004E3294">
        <w:br/>
      </w:r>
    </w:p>
    <w:p w14:paraId="2CA5F689" w14:textId="686C8359" w:rsidR="00FA3A18" w:rsidRDefault="00FA3A18">
      <w:pPr>
        <w:spacing w:before="0" w:after="160"/>
        <w:rPr>
          <w:rFonts w:ascii="Arial Bold" w:hAnsi="Arial Bold" w:cstheme="minorHAnsi"/>
          <w:color w:val="1F3864" w:themeColor="accent1" w:themeShade="80"/>
          <w:sz w:val="30"/>
          <w:szCs w:val="24"/>
        </w:rPr>
      </w:pPr>
    </w:p>
    <w:p w14:paraId="56004411" w14:textId="1F522018" w:rsidR="009D210D" w:rsidRPr="00B904F7" w:rsidRDefault="009D210D" w:rsidP="009D210D">
      <w:pPr>
        <w:pStyle w:val="Heading2"/>
      </w:pPr>
      <w:r w:rsidRPr="00B904F7">
        <w:lastRenderedPageBreak/>
        <w:t>Authorisation</w:t>
      </w:r>
    </w:p>
    <w:p w14:paraId="63403549" w14:textId="6165D8B8"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9F3AD5">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653D1175" w14:textId="158B2A84" w:rsidR="009D210D" w:rsidRDefault="00FA3A18" w:rsidP="00607DE5">
      <w:pPr>
        <w:rPr>
          <w:rFonts w:ascii="Arial Black" w:eastAsiaTheme="majorEastAsia" w:hAnsi="Arial Black" w:cstheme="majorBidi"/>
          <w:color w:val="001E45"/>
          <w:sz w:val="44"/>
          <w:szCs w:val="32"/>
        </w:rPr>
      </w:pPr>
      <w:r w:rsidRPr="00FA3A18">
        <w:rPr>
          <w:rFonts w:ascii="Arial Black" w:eastAsiaTheme="majorEastAsia" w:hAnsi="Arial Black" w:cstheme="majorBidi"/>
          <w:color w:val="001E45"/>
          <w:sz w:val="44"/>
          <w:szCs w:val="32"/>
        </w:rPr>
        <w:lastRenderedPageBreak/>
        <w:t>ANTI-DISCRIMINATION PROCEDURES</w:t>
      </w:r>
    </w:p>
    <w:p w14:paraId="16EAC90C" w14:textId="77777777" w:rsidR="00FA3A18" w:rsidRPr="00607DE5" w:rsidRDefault="00FA3A18"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4B699274" w:rsidR="00ED1D93" w:rsidRPr="009D30E8" w:rsidRDefault="00926CCB" w:rsidP="00505A32">
            <w:pPr>
              <w:pStyle w:val="PlainText"/>
              <w:spacing w:before="0" w:after="0"/>
              <w:rPr>
                <w:rFonts w:ascii="Calibri" w:hAnsi="Calibri" w:cs="Arial"/>
                <w:color w:val="FFFFFF" w:themeColor="background1"/>
                <w:szCs w:val="24"/>
                <w:lang w:val="en-US" w:eastAsia="en-US"/>
              </w:rPr>
            </w:pPr>
            <w:r w:rsidRPr="00926CCB">
              <w:rPr>
                <w:rFonts w:ascii="Calibri" w:hAnsi="Calibri" w:cs="Arial"/>
                <w:color w:val="FFFFFF" w:themeColor="background1"/>
                <w:szCs w:val="24"/>
                <w:lang w:val="en-US" w:eastAsia="en-US"/>
              </w:rPr>
              <w:t>GCBH_Proc001</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1310A514"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9F3AD5">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52D47947" w:rsidR="00CA69A4" w:rsidRDefault="00CA69A4"/>
    <w:p w14:paraId="067C93AC" w14:textId="77777777" w:rsidR="00FA3A18" w:rsidRPr="004E3294" w:rsidRDefault="00FA3A18" w:rsidP="00FA3A18">
      <w:pPr>
        <w:pStyle w:val="Heading2"/>
      </w:pPr>
      <w:r w:rsidRPr="004E3294">
        <w:t>Responsibilities</w:t>
      </w:r>
    </w:p>
    <w:p w14:paraId="7439CF93" w14:textId="77777777" w:rsidR="00FA3A18" w:rsidRPr="004E3294" w:rsidRDefault="00FA3A18" w:rsidP="00FA3A18">
      <w:r w:rsidRPr="004E3294">
        <w:t>1. The Board will:</w:t>
      </w:r>
    </w:p>
    <w:p w14:paraId="68DD2D0A" w14:textId="77777777" w:rsidR="00FA3A18" w:rsidRPr="004E3294" w:rsidRDefault="00FA3A18" w:rsidP="00FA3A18">
      <w:pPr>
        <w:pStyle w:val="ListParagraph"/>
        <w:numPr>
          <w:ilvl w:val="0"/>
          <w:numId w:val="25"/>
        </w:numPr>
      </w:pPr>
      <w:r w:rsidRPr="004E3294">
        <w:t>Regularly review the leadership and commitment given to eliminating discrimination through active promotion of the organisation’s Anti-Discrimination Policy.</w:t>
      </w:r>
    </w:p>
    <w:p w14:paraId="0815D58B" w14:textId="77777777" w:rsidR="00FA3A18" w:rsidRPr="004E3294" w:rsidRDefault="00FA3A18" w:rsidP="00FA3A18">
      <w:pPr>
        <w:pStyle w:val="ListParagraph"/>
        <w:numPr>
          <w:ilvl w:val="0"/>
          <w:numId w:val="25"/>
        </w:numPr>
      </w:pPr>
      <w:r w:rsidRPr="004E3294">
        <w:t xml:space="preserve">Monitor performance by way of periodic management reports and assurances. </w:t>
      </w:r>
    </w:p>
    <w:p w14:paraId="51A197B5" w14:textId="77777777" w:rsidR="00FA3A18" w:rsidRPr="004E3294" w:rsidRDefault="00FA3A18" w:rsidP="00FA3A18">
      <w:pPr>
        <w:keepNext/>
      </w:pPr>
      <w:r w:rsidRPr="004E3294">
        <w:t>2. The CEO will:</w:t>
      </w:r>
    </w:p>
    <w:p w14:paraId="3F45DEDC" w14:textId="77777777" w:rsidR="00FA3A18" w:rsidRPr="004E3294" w:rsidRDefault="00FA3A18" w:rsidP="00FA3A18">
      <w:pPr>
        <w:pStyle w:val="ListParagraph"/>
        <w:numPr>
          <w:ilvl w:val="0"/>
          <w:numId w:val="26"/>
        </w:numPr>
      </w:pPr>
      <w:r w:rsidRPr="004E3294">
        <w:t xml:space="preserve">Ensure that: </w:t>
      </w:r>
    </w:p>
    <w:p w14:paraId="76836B2C" w14:textId="77777777" w:rsidR="00FA3A18" w:rsidRPr="004E3294" w:rsidRDefault="00FA3A18" w:rsidP="00FA3A18">
      <w:pPr>
        <w:pStyle w:val="ListParagraph"/>
        <w:numPr>
          <w:ilvl w:val="1"/>
          <w:numId w:val="26"/>
        </w:numPr>
      </w:pPr>
      <w:r w:rsidRPr="004E3294">
        <w:t>the organisation’s practices and processes incorporate precautions against discrimination in such areas as hiring, client selection, and program delivery;</w:t>
      </w:r>
    </w:p>
    <w:p w14:paraId="2AB35B3D" w14:textId="77777777" w:rsidR="00FA3A18" w:rsidRPr="004E3294" w:rsidRDefault="00FA3A18" w:rsidP="00FA3A18">
      <w:pPr>
        <w:pStyle w:val="ListParagraph"/>
        <w:numPr>
          <w:ilvl w:val="1"/>
          <w:numId w:val="26"/>
        </w:numPr>
      </w:pPr>
      <w:r w:rsidRPr="004E3294">
        <w:t>Reasonable accommodations are made to allow diverse groups to access benefits provided by the organisation;</w:t>
      </w:r>
    </w:p>
    <w:p w14:paraId="3DC00E80" w14:textId="77777777" w:rsidR="00FA3A18" w:rsidRPr="004E3294" w:rsidRDefault="00FA3A18" w:rsidP="00FA3A18">
      <w:pPr>
        <w:pStyle w:val="ListParagraph"/>
        <w:numPr>
          <w:ilvl w:val="1"/>
          <w:numId w:val="26"/>
        </w:numPr>
      </w:pPr>
      <w:r w:rsidRPr="004E3294">
        <w:t>Where appropriate, weight is given to the culture and experiences of individuals from disadvantaged groups.</w:t>
      </w:r>
    </w:p>
    <w:p w14:paraId="0BF90817" w14:textId="77777777" w:rsidR="00FA3A18" w:rsidRPr="004E3294" w:rsidRDefault="00FA3A18" w:rsidP="00FA3A18">
      <w:pPr>
        <w:pStyle w:val="ListParagraph"/>
        <w:numPr>
          <w:ilvl w:val="0"/>
          <w:numId w:val="26"/>
        </w:numPr>
      </w:pPr>
      <w:r w:rsidRPr="004E3294">
        <w:t xml:space="preserve">Where appropriate, delegate responsibility for compliance to officers with responsibility for </w:t>
      </w:r>
      <w:proofErr w:type="gramStart"/>
      <w:r w:rsidRPr="004E3294">
        <w:t>particular sections</w:t>
      </w:r>
      <w:proofErr w:type="gramEnd"/>
      <w:r w:rsidRPr="004E3294">
        <w:t>.</w:t>
      </w:r>
    </w:p>
    <w:p w14:paraId="6BB807AF" w14:textId="77777777" w:rsidR="00FA3A18" w:rsidRPr="004E3294" w:rsidRDefault="00FA3A18" w:rsidP="00FA3A18">
      <w:pPr>
        <w:pStyle w:val="ListParagraph"/>
        <w:numPr>
          <w:ilvl w:val="0"/>
          <w:numId w:val="26"/>
        </w:numPr>
      </w:pPr>
      <w:r w:rsidRPr="004E3294">
        <w:t>Oversee the performance of subordinate officers in these matters.</w:t>
      </w:r>
    </w:p>
    <w:p w14:paraId="0E0BC0A9" w14:textId="77777777" w:rsidR="00FA3A18" w:rsidRPr="004E3294" w:rsidRDefault="00FA3A18" w:rsidP="00FA3A18">
      <w:pPr>
        <w:pStyle w:val="ListParagraph"/>
        <w:numPr>
          <w:ilvl w:val="0"/>
          <w:numId w:val="26"/>
        </w:numPr>
      </w:pPr>
      <w:r w:rsidRPr="004E3294">
        <w:t>Review and report to the Board, as appropriate, on the effectiveness of the management systems established to remove discrimination.</w:t>
      </w:r>
    </w:p>
    <w:p w14:paraId="73EABF13" w14:textId="77777777" w:rsidR="00FA3A18" w:rsidRPr="004E3294" w:rsidRDefault="00FA3A18" w:rsidP="00FA3A18">
      <w:pPr>
        <w:pStyle w:val="ListParagraph"/>
        <w:numPr>
          <w:ilvl w:val="0"/>
          <w:numId w:val="26"/>
        </w:numPr>
      </w:pPr>
      <w:r w:rsidRPr="004E3294">
        <w:t>Analyse material breaches and identified compliance system weaknesses for systematic trends and ensure that any adverse trends are addressed.</w:t>
      </w:r>
    </w:p>
    <w:p w14:paraId="0FB13823" w14:textId="77777777" w:rsidR="00FA3A18" w:rsidRPr="004E3294" w:rsidRDefault="00FA3A18" w:rsidP="00FA3A18">
      <w:pPr>
        <w:pStyle w:val="ListParagraph"/>
        <w:numPr>
          <w:ilvl w:val="0"/>
          <w:numId w:val="26"/>
        </w:numPr>
      </w:pPr>
      <w:r w:rsidRPr="004E3294">
        <w:t>Promote a culture of effective policy compliance across the organisation.</w:t>
      </w:r>
    </w:p>
    <w:p w14:paraId="0BF3809D" w14:textId="77777777" w:rsidR="00FA3A18" w:rsidRPr="004E3294" w:rsidRDefault="00FA3A18" w:rsidP="00FA3A18">
      <w:r w:rsidRPr="004E3294">
        <w:t>3. All staff and volunteers at all levels will:</w:t>
      </w:r>
    </w:p>
    <w:p w14:paraId="1799B92A" w14:textId="77777777" w:rsidR="00FA3A18" w:rsidRPr="004E3294" w:rsidRDefault="00FA3A18" w:rsidP="00FA3A18">
      <w:pPr>
        <w:pStyle w:val="ListParagraph"/>
        <w:numPr>
          <w:ilvl w:val="0"/>
          <w:numId w:val="27"/>
        </w:numPr>
      </w:pPr>
      <w:r w:rsidRPr="004E3294">
        <w:t>Ensure that they are aware of the organisation’s policy against discrimination;</w:t>
      </w:r>
    </w:p>
    <w:p w14:paraId="7F614796" w14:textId="77777777" w:rsidR="00FA3A18" w:rsidRPr="004E3294" w:rsidRDefault="00FA3A18" w:rsidP="00FA3A18">
      <w:pPr>
        <w:pStyle w:val="ListParagraph"/>
        <w:numPr>
          <w:ilvl w:val="0"/>
          <w:numId w:val="27"/>
        </w:numPr>
      </w:pPr>
      <w:r w:rsidRPr="004E3294">
        <w:t xml:space="preserve">Not act in a manner that would </w:t>
      </w:r>
      <w:proofErr w:type="gramStart"/>
      <w:r w:rsidRPr="004E3294">
        <w:t>be considered to be</w:t>
      </w:r>
      <w:proofErr w:type="gramEnd"/>
      <w:r w:rsidRPr="004E3294">
        <w:t xml:space="preserve"> discriminatory pursuant to this policy or any applicable legislation; </w:t>
      </w:r>
    </w:p>
    <w:p w14:paraId="4F91621A" w14:textId="161068F7" w:rsidR="009D210D" w:rsidRPr="00FA3A18" w:rsidRDefault="00FA3A18" w:rsidP="00FA3A18">
      <w:pPr>
        <w:pStyle w:val="ListParagraph"/>
        <w:numPr>
          <w:ilvl w:val="0"/>
          <w:numId w:val="27"/>
        </w:numPr>
        <w:rPr>
          <w:rFonts w:cs="Arial"/>
        </w:rPr>
      </w:pPr>
      <w:r w:rsidRPr="004E3294">
        <w:lastRenderedPageBreak/>
        <w:t xml:space="preserve">Where appropriate, suggest ways in which practices, systems and procedures could be improved </w:t>
      </w:r>
      <w:proofErr w:type="gramStart"/>
      <w:r w:rsidRPr="004E3294">
        <w:t>so as to</w:t>
      </w:r>
      <w:proofErr w:type="gramEnd"/>
      <w:r w:rsidRPr="004E3294">
        <w:t xml:space="preserve"> reduce the likelihood of discrimination occurring.</w:t>
      </w:r>
    </w:p>
    <w:p w14:paraId="74EC742A" w14:textId="77777777" w:rsidR="00FA3A18" w:rsidRPr="004E3294" w:rsidRDefault="00FA3A18" w:rsidP="00FA3A18">
      <w:pPr>
        <w:pStyle w:val="Heading2"/>
      </w:pPr>
      <w:r w:rsidRPr="004E3294">
        <w:t>Processes</w:t>
      </w:r>
    </w:p>
    <w:p w14:paraId="2E316053" w14:textId="77777777" w:rsidR="00FA3A18" w:rsidRPr="004E3294" w:rsidRDefault="00FA3A18" w:rsidP="00FA3A18">
      <w:pPr>
        <w:keepNext/>
      </w:pPr>
      <w:r w:rsidRPr="004E3294">
        <w:t xml:space="preserve">The CEO will initially review the organisation’s procedures in all areas to ensure that these are in accordance with the principles expressed in this </w:t>
      </w:r>
      <w:proofErr w:type="gramStart"/>
      <w:r w:rsidRPr="004E3294">
        <w:t>policy, and</w:t>
      </w:r>
      <w:proofErr w:type="gramEnd"/>
      <w:r w:rsidRPr="004E3294">
        <w:t xml:space="preserve"> will report to the Board on this matter.</w:t>
      </w:r>
    </w:p>
    <w:p w14:paraId="37492DBD" w14:textId="77777777" w:rsidR="00FA3A18" w:rsidRPr="004E3294" w:rsidRDefault="00FA3A18" w:rsidP="00FA3A18">
      <w:pPr>
        <w:keepNext/>
      </w:pPr>
      <w:r w:rsidRPr="004E3294">
        <w:t>The CEO will review any changes to the organisation’s procedures in all areas to ensure that these are in accordance with the principles expressed in this policy.</w:t>
      </w:r>
    </w:p>
    <w:p w14:paraId="0D6C807B" w14:textId="77777777" w:rsidR="00FA3A18" w:rsidRPr="004E3294" w:rsidRDefault="00FA3A18" w:rsidP="00FA3A18">
      <w:pPr>
        <w:keepNext/>
      </w:pPr>
      <w:r w:rsidRPr="004E3294">
        <w:t xml:space="preserve">Staff and volunteers will follow these procedures. </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bookmarkStart w:id="2" w:name="_Hlk23425832"/>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768224CC" w14:textId="3C4A1007" w:rsidR="00FA3A18" w:rsidRPr="006F29BF" w:rsidRDefault="00FA3A18" w:rsidP="00FA3A18">
      <w:pPr>
        <w:numPr>
          <w:ilvl w:val="0"/>
          <w:numId w:val="28"/>
        </w:numPr>
        <w:spacing w:before="60" w:after="120" w:line="240" w:lineRule="auto"/>
      </w:pPr>
      <w:r>
        <w:t xml:space="preserve">Bullying Policy </w:t>
      </w:r>
    </w:p>
    <w:p w14:paraId="79CAA51C" w14:textId="77777777" w:rsidR="00FA3A18" w:rsidRPr="006F29BF" w:rsidRDefault="00FA3A18" w:rsidP="00FA3A18">
      <w:pPr>
        <w:numPr>
          <w:ilvl w:val="0"/>
          <w:numId w:val="28"/>
        </w:numPr>
        <w:spacing w:before="60" w:after="120" w:line="240" w:lineRule="auto"/>
      </w:pPr>
      <w:r w:rsidRPr="00B800D9">
        <w:t xml:space="preserve">Code of Ethics </w:t>
      </w:r>
    </w:p>
    <w:p w14:paraId="6E2D1EE0" w14:textId="77777777" w:rsidR="00FA3A18" w:rsidRDefault="00FA3A18" w:rsidP="00FA3A18">
      <w:pPr>
        <w:numPr>
          <w:ilvl w:val="0"/>
          <w:numId w:val="28"/>
        </w:numPr>
        <w:spacing w:before="60" w:after="120" w:line="240" w:lineRule="auto"/>
      </w:pPr>
      <w:r>
        <w:t>Equal Employment Opportunity Policy</w:t>
      </w:r>
    </w:p>
    <w:p w14:paraId="54067361" w14:textId="77777777" w:rsidR="00FA3A18" w:rsidRDefault="00FA3A18" w:rsidP="00FA3A18">
      <w:pPr>
        <w:numPr>
          <w:ilvl w:val="0"/>
          <w:numId w:val="28"/>
        </w:numPr>
        <w:spacing w:before="60" w:after="120" w:line="240" w:lineRule="auto"/>
      </w:pPr>
      <w:r w:rsidRPr="00B800D9">
        <w:t>Privacy Policy</w:t>
      </w:r>
    </w:p>
    <w:p w14:paraId="168541C2" w14:textId="77777777" w:rsidR="00FA3A18" w:rsidRPr="006F29BF" w:rsidRDefault="00FA3A18" w:rsidP="00FA3A18">
      <w:pPr>
        <w:numPr>
          <w:ilvl w:val="0"/>
          <w:numId w:val="28"/>
        </w:numPr>
        <w:spacing w:before="60" w:after="120" w:line="240" w:lineRule="auto"/>
      </w:pPr>
      <w:r w:rsidRPr="00B800D9">
        <w:t xml:space="preserve">Sexual Harassment Policy </w:t>
      </w:r>
      <w:r w:rsidRPr="006F29BF">
        <w:t xml:space="preserve"> </w:t>
      </w:r>
    </w:p>
    <w:p w14:paraId="11386A13" w14:textId="77777777" w:rsidR="00FA3A18" w:rsidRPr="006F29BF" w:rsidRDefault="00FA3A18" w:rsidP="00FA3A18">
      <w:pPr>
        <w:numPr>
          <w:ilvl w:val="0"/>
          <w:numId w:val="28"/>
        </w:numPr>
        <w:spacing w:before="60" w:after="120" w:line="240" w:lineRule="auto"/>
      </w:pPr>
      <w:r>
        <w:t>Work Health &amp; Safety Policy</w:t>
      </w:r>
    </w:p>
    <w:p w14:paraId="36EB7A97" w14:textId="05265AB8" w:rsidR="009D210D" w:rsidRDefault="009D210D" w:rsidP="009D210D">
      <w:pPr>
        <w:spacing w:before="0" w:after="0"/>
        <w:ind w:left="709"/>
        <w:rPr>
          <w:rFonts w:cs="Arial"/>
        </w:rPr>
      </w:pPr>
    </w:p>
    <w:p w14:paraId="493C66A9" w14:textId="091E678B" w:rsidR="00ED1D93" w:rsidRPr="00B904F7" w:rsidRDefault="00ED1D93" w:rsidP="00DD6924">
      <w:pPr>
        <w:pStyle w:val="Heading2"/>
      </w:pPr>
      <w:r w:rsidRPr="00B904F7">
        <w:t>Authorisation</w:t>
      </w:r>
    </w:p>
    <w:p w14:paraId="38D650EE" w14:textId="32129A29" w:rsidR="00ED1D93" w:rsidRDefault="00ED1D93">
      <w:bookmarkStart w:id="3" w:name="_Hlk16151244"/>
      <w:r>
        <w:br/>
      </w:r>
      <w:r>
        <w:rPr>
          <w:color w:val="808080"/>
        </w:rPr>
        <w:br/>
      </w:r>
      <w:r w:rsidR="00FA3A18" w:rsidRPr="00FA3A18">
        <w:t>Phillip Martin</w:t>
      </w:r>
      <w:r w:rsidRPr="00F4599F">
        <w:br/>
      </w:r>
      <w:r>
        <w:fldChar w:fldCharType="begin"/>
      </w:r>
      <w:r>
        <w:instrText xml:space="preserve"> DATE \@ "d MMMM yyyy" </w:instrText>
      </w:r>
      <w:r>
        <w:fldChar w:fldCharType="separate"/>
      </w:r>
      <w:r w:rsidR="009F3AD5">
        <w:rPr>
          <w:noProof/>
        </w:rPr>
        <w:t>4 December 2019</w:t>
      </w:r>
      <w:r>
        <w:fldChar w:fldCharType="end"/>
      </w:r>
      <w:bookmarkEnd w:id="3"/>
    </w:p>
    <w:sectPr w:rsidR="00ED1D9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3482" w14:textId="77777777" w:rsidR="009F3AD5" w:rsidRDefault="009F3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B528" w14:textId="77777777" w:rsidR="009F3AD5" w:rsidRDefault="009F3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94F2" w14:textId="77777777" w:rsidR="009F3AD5" w:rsidRDefault="009F3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940F19D" w:rsidR="00CD2078" w:rsidRPr="00CD2078" w:rsidRDefault="00CD2078" w:rsidP="00CD2078">
    <w:pPr>
      <w:pStyle w:val="Footer"/>
      <w:ind w:left="720"/>
      <w:jc w:val="right"/>
      <w:rPr>
        <w:color w:val="AEAAAA" w:themeColor="background2" w:themeShade="BF"/>
      </w:rPr>
    </w:pPr>
    <w:bookmarkStart w:id="4" w:name="_GoBack"/>
    <w:r>
      <w:rPr>
        <w:noProof/>
      </w:rPr>
      <w:drawing>
        <wp:anchor distT="0" distB="0" distL="114300" distR="114300" simplePos="0" relativeHeight="251658240" behindDoc="1" locked="0" layoutInCell="1" allowOverlap="1" wp14:anchorId="417EA389" wp14:editId="6EBEE08C">
          <wp:simplePos x="0" y="0"/>
          <wp:positionH relativeFrom="margin">
            <wp:posOffset>-6350</wp:posOffset>
          </wp:positionH>
          <wp:positionV relativeFrom="paragraph">
            <wp:posOffset>-49530</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4"/>
    <w:r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B4491" w14:textId="77777777" w:rsidR="009F3AD5" w:rsidRDefault="009F3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4"/>
  </w:num>
  <w:num w:numId="4">
    <w:abstractNumId w:val="1"/>
  </w:num>
  <w:num w:numId="5">
    <w:abstractNumId w:val="9"/>
  </w:num>
  <w:num w:numId="6">
    <w:abstractNumId w:val="23"/>
  </w:num>
  <w:num w:numId="7">
    <w:abstractNumId w:val="13"/>
  </w:num>
  <w:num w:numId="8">
    <w:abstractNumId w:val="7"/>
  </w:num>
  <w:num w:numId="9">
    <w:abstractNumId w:val="27"/>
  </w:num>
  <w:num w:numId="10">
    <w:abstractNumId w:val="19"/>
  </w:num>
  <w:num w:numId="11">
    <w:abstractNumId w:val="25"/>
  </w:num>
  <w:num w:numId="12">
    <w:abstractNumId w:val="15"/>
  </w:num>
  <w:num w:numId="13">
    <w:abstractNumId w:val="3"/>
  </w:num>
  <w:num w:numId="14">
    <w:abstractNumId w:val="12"/>
  </w:num>
  <w:num w:numId="15">
    <w:abstractNumId w:val="14"/>
  </w:num>
  <w:num w:numId="16">
    <w:abstractNumId w:val="8"/>
  </w:num>
  <w:num w:numId="17">
    <w:abstractNumId w:val="11"/>
  </w:num>
  <w:num w:numId="18">
    <w:abstractNumId w:val="24"/>
  </w:num>
  <w:num w:numId="19">
    <w:abstractNumId w:val="20"/>
  </w:num>
  <w:num w:numId="20">
    <w:abstractNumId w:val="21"/>
  </w:num>
  <w:num w:numId="21">
    <w:abstractNumId w:val="18"/>
  </w:num>
  <w:num w:numId="22">
    <w:abstractNumId w:val="26"/>
  </w:num>
  <w:num w:numId="23">
    <w:abstractNumId w:val="17"/>
  </w:num>
  <w:num w:numId="24">
    <w:abstractNumId w:val="6"/>
  </w:num>
  <w:num w:numId="25">
    <w:abstractNumId w:val="2"/>
  </w:num>
  <w:num w:numId="26">
    <w:abstractNumId w:val="16"/>
  </w:num>
  <w:num w:numId="27">
    <w:abstractNumId w:val="5"/>
  </w:num>
  <w:num w:numId="2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9F3AD5"/>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3DA5-A8BA-4ACC-BC2B-F5DC1D44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2019-10-31T04:57:00Z</dcterms:created>
  <dcterms:modified xsi:type="dcterms:W3CDTF">2019-12-03T23:31:00Z</dcterms:modified>
</cp:coreProperties>
</file>