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5786B82A" w:rsidR="009D30E8" w:rsidRPr="009D30E8" w:rsidRDefault="00EC7579" w:rsidP="009D30E8">
      <w:pPr>
        <w:pStyle w:val="Heading1"/>
      </w:pPr>
      <w:r w:rsidRPr="00EC7579">
        <w:t>FAMILY FRIENDLY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175D1E30" w:rsidR="009D30E8" w:rsidRPr="009D30E8" w:rsidRDefault="00DD3537"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00EC7579">
              <w:rPr>
                <w:rFonts w:ascii="Calibri" w:hAnsi="Calibri" w:cs="Arial"/>
                <w:szCs w:val="24"/>
                <w:lang w:val="en-US" w:eastAsia="en-US"/>
              </w:rPr>
              <w:t>_Pol028</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1CAB8235"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2B397A">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1576AFAD" w14:textId="77777777" w:rsidR="003556CF" w:rsidRPr="00C5569D" w:rsidRDefault="003556CF" w:rsidP="003556CF">
      <w:pPr>
        <w:pStyle w:val="Heading2"/>
        <w:tabs>
          <w:tab w:val="left" w:pos="4884"/>
        </w:tabs>
      </w:pPr>
      <w:r w:rsidRPr="00C5569D">
        <w:t>Introduction</w:t>
      </w:r>
      <w:r>
        <w:tab/>
      </w:r>
    </w:p>
    <w:p w14:paraId="4ECD563E" w14:textId="77777777" w:rsidR="00EC7579" w:rsidRDefault="00EC7579" w:rsidP="00EC7579">
      <w:proofErr w:type="spellStart"/>
      <w:r>
        <w:t>Gentown</w:t>
      </w:r>
      <w:proofErr w:type="spellEnd"/>
      <w:r>
        <w:t xml:space="preserve"> Community &amp; Business Hub (GCBH)</w:t>
      </w:r>
      <w:r w:rsidRPr="00611D6A">
        <w:t xml:space="preserve"> is committed to helping its </w:t>
      </w:r>
      <w:r w:rsidRPr="00BE7592">
        <w:t>staff</w:t>
      </w:r>
      <w:r w:rsidRPr="00611D6A">
        <w:t xml:space="preserve"> achieve their personal, family and relationship goals. As part of this endeavour, the organisation fosters flexibility in employment arrangements to achieve the optimum balance between work and family responsibilities for all </w:t>
      </w:r>
      <w:r w:rsidRPr="00BE7592">
        <w:t>staff</w:t>
      </w:r>
      <w:r w:rsidRPr="00611D6A">
        <w:t xml:space="preserve">. </w:t>
      </w:r>
    </w:p>
    <w:p w14:paraId="63E83502" w14:textId="3AAB1F5C" w:rsidR="00DD3537" w:rsidRPr="00832ED6" w:rsidRDefault="00DD3537" w:rsidP="00DD3537">
      <w:pPr>
        <w:pStyle w:val="Heading2"/>
      </w:pPr>
      <w:r w:rsidRPr="00832ED6">
        <w:t>Purpose</w:t>
      </w:r>
    </w:p>
    <w:p w14:paraId="1A326618" w14:textId="77777777" w:rsidR="00EC7579" w:rsidRDefault="00EC7579" w:rsidP="00EC7579">
      <w:r w:rsidRPr="00611D6A">
        <w:t>Work flexibilit</w:t>
      </w:r>
      <w:r>
        <w:t>y</w:t>
      </w:r>
      <w:r w:rsidRPr="00611D6A">
        <w:t xml:space="preserve"> ensure</w:t>
      </w:r>
      <w:r>
        <w:t>s</w:t>
      </w:r>
      <w:r w:rsidRPr="00611D6A">
        <w:t xml:space="preserve"> that </w:t>
      </w:r>
      <w:r w:rsidRPr="00BE7592">
        <w:t>staff</w:t>
      </w:r>
      <w:r w:rsidRPr="00611D6A">
        <w:t xml:space="preserve"> </w:t>
      </w:r>
      <w:proofErr w:type="gramStart"/>
      <w:r w:rsidRPr="00611D6A">
        <w:t>are able to</w:t>
      </w:r>
      <w:proofErr w:type="gramEnd"/>
      <w:r w:rsidRPr="00611D6A">
        <w:t xml:space="preserve"> balance work and family commitments while taking into account </w:t>
      </w:r>
      <w:r>
        <w:t xml:space="preserve">organisational </w:t>
      </w:r>
      <w:r w:rsidRPr="00611D6A">
        <w:t xml:space="preserve">needs. </w:t>
      </w:r>
    </w:p>
    <w:p w14:paraId="76FF23A7" w14:textId="6E73D2AD" w:rsidR="00DD3537" w:rsidRPr="00832ED6" w:rsidRDefault="00DD3537" w:rsidP="00DD3537">
      <w:pPr>
        <w:pStyle w:val="Heading2"/>
      </w:pPr>
      <w:r w:rsidRPr="00832ED6">
        <w:t>Policy</w:t>
      </w:r>
    </w:p>
    <w:p w14:paraId="51D4BA14" w14:textId="77777777" w:rsidR="00EC7579" w:rsidRPr="00611D6A" w:rsidRDefault="00EC7579" w:rsidP="00EC7579">
      <w:r>
        <w:t>GCBH</w:t>
      </w:r>
      <w:r w:rsidRPr="00611D6A">
        <w:t xml:space="preserve"> will mandate best practice employment arrangements in relation to</w:t>
      </w:r>
      <w:r>
        <w:t>:</w:t>
      </w:r>
      <w:r w:rsidRPr="00611D6A">
        <w:t xml:space="preserve"> </w:t>
      </w:r>
    </w:p>
    <w:p w14:paraId="68F377C4" w14:textId="77777777" w:rsidR="00EC7579" w:rsidRPr="00611D6A" w:rsidRDefault="00EC7579" w:rsidP="00EC7579">
      <w:pPr>
        <w:numPr>
          <w:ilvl w:val="0"/>
          <w:numId w:val="13"/>
        </w:numPr>
        <w:spacing w:before="0" w:after="200" w:line="240" w:lineRule="auto"/>
        <w:contextualSpacing/>
      </w:pPr>
      <w:r w:rsidRPr="00611D6A">
        <w:t xml:space="preserve">Parental/maternity/paternity leave </w:t>
      </w:r>
    </w:p>
    <w:p w14:paraId="5F46869F" w14:textId="77777777" w:rsidR="00EC7579" w:rsidRPr="00611D6A" w:rsidRDefault="00EC7579" w:rsidP="00EC7579">
      <w:pPr>
        <w:numPr>
          <w:ilvl w:val="0"/>
          <w:numId w:val="13"/>
        </w:numPr>
        <w:spacing w:before="0" w:after="200" w:line="240" w:lineRule="auto"/>
        <w:contextualSpacing/>
      </w:pPr>
      <w:r w:rsidRPr="00611D6A">
        <w:t>Personal/Carer's/Family leave</w:t>
      </w:r>
    </w:p>
    <w:p w14:paraId="2FA77B99" w14:textId="77777777" w:rsidR="00EC7579" w:rsidRPr="00611D6A" w:rsidRDefault="00EC7579" w:rsidP="00EC7579">
      <w:pPr>
        <w:numPr>
          <w:ilvl w:val="0"/>
          <w:numId w:val="13"/>
        </w:numPr>
        <w:spacing w:before="0" w:after="200" w:line="240" w:lineRule="auto"/>
        <w:contextualSpacing/>
      </w:pPr>
      <w:r w:rsidRPr="00611D6A">
        <w:t xml:space="preserve">Bereavement leave </w:t>
      </w:r>
    </w:p>
    <w:p w14:paraId="473D5D65" w14:textId="77777777" w:rsidR="00EC7579" w:rsidRDefault="00EC7579" w:rsidP="00EC7579">
      <w:pPr>
        <w:numPr>
          <w:ilvl w:val="0"/>
          <w:numId w:val="13"/>
        </w:numPr>
        <w:spacing w:before="60" w:after="100" w:line="240" w:lineRule="auto"/>
        <w:contextualSpacing/>
      </w:pPr>
      <w:r w:rsidRPr="00611D6A">
        <w:t>Flexible working arrangements</w:t>
      </w:r>
      <w:r>
        <w:t>.</w:t>
      </w:r>
    </w:p>
    <w:p w14:paraId="1834CA1B" w14:textId="77777777" w:rsidR="00EC7579" w:rsidRDefault="00EC7579" w:rsidP="00EC7579">
      <w:pPr>
        <w:spacing w:after="100"/>
        <w:contextualSpacing/>
      </w:pPr>
    </w:p>
    <w:p w14:paraId="3C3A1C31" w14:textId="77777777" w:rsidR="00EC7579" w:rsidRPr="00611D6A" w:rsidRDefault="00EC7579" w:rsidP="00EC7579">
      <w:r w:rsidRPr="00611D6A">
        <w:t xml:space="preserve">Staff are encouraged to voice their opinions about the availability, accessibility and application of flexible work arrangements in their area. </w:t>
      </w:r>
    </w:p>
    <w:p w14:paraId="1C5847FD" w14:textId="77777777" w:rsidR="00EC7579" w:rsidRPr="00611D6A" w:rsidRDefault="00EC7579" w:rsidP="00EC7579">
      <w:r w:rsidRPr="00611D6A">
        <w:t>Managers should</w:t>
      </w:r>
      <w:r>
        <w:t>:</w:t>
      </w:r>
    </w:p>
    <w:p w14:paraId="01CE73A1" w14:textId="77777777" w:rsidR="00EC7579" w:rsidRPr="00611D6A" w:rsidRDefault="00EC7579" w:rsidP="00EC7579">
      <w:pPr>
        <w:numPr>
          <w:ilvl w:val="0"/>
          <w:numId w:val="14"/>
        </w:numPr>
        <w:spacing w:before="60" w:after="120" w:line="240" w:lineRule="auto"/>
        <w:contextualSpacing/>
      </w:pPr>
      <w:r w:rsidRPr="00611D6A">
        <w:t xml:space="preserve">become role models for flexibility, where possible accessing flexible work arrangements themselves </w:t>
      </w:r>
    </w:p>
    <w:p w14:paraId="68369C3C" w14:textId="77777777" w:rsidR="00EC7579" w:rsidRPr="00611D6A" w:rsidRDefault="00EC7579" w:rsidP="00EC7579">
      <w:pPr>
        <w:numPr>
          <w:ilvl w:val="0"/>
          <w:numId w:val="14"/>
        </w:numPr>
        <w:spacing w:before="60" w:after="120" w:line="240" w:lineRule="auto"/>
        <w:contextualSpacing/>
      </w:pPr>
      <w:r w:rsidRPr="00611D6A">
        <w:t xml:space="preserve">become knowledgeable about the range of flexibility options available and how to manage them </w:t>
      </w:r>
    </w:p>
    <w:p w14:paraId="1214A536" w14:textId="77777777" w:rsidR="00EC7579" w:rsidRPr="00611D6A" w:rsidRDefault="00EC7579" w:rsidP="00EC7579">
      <w:pPr>
        <w:numPr>
          <w:ilvl w:val="0"/>
          <w:numId w:val="14"/>
        </w:numPr>
        <w:spacing w:before="60" w:after="120" w:line="240" w:lineRule="auto"/>
        <w:contextualSpacing/>
      </w:pPr>
      <w:r w:rsidRPr="00611D6A">
        <w:t xml:space="preserve">have the practical skills and confidence to lead a team with different working arrangements </w:t>
      </w:r>
    </w:p>
    <w:p w14:paraId="3D12B2F4" w14:textId="77777777" w:rsidR="00EC7579" w:rsidRPr="00611D6A" w:rsidRDefault="00EC7579" w:rsidP="00EC7579">
      <w:pPr>
        <w:numPr>
          <w:ilvl w:val="0"/>
          <w:numId w:val="14"/>
        </w:numPr>
        <w:spacing w:before="60" w:after="120" w:line="240" w:lineRule="auto"/>
        <w:contextualSpacing/>
      </w:pPr>
      <w:r w:rsidRPr="00611D6A">
        <w:lastRenderedPageBreak/>
        <w:t xml:space="preserve">track the career progression of staff who are working flexibly to ensure they have access to all training and other benefits and to ensure that they suffer no discrimination in opportunities for promotion </w:t>
      </w:r>
    </w:p>
    <w:p w14:paraId="1168062C" w14:textId="77777777" w:rsidR="00EC7579" w:rsidRDefault="00EC7579" w:rsidP="00EC7579">
      <w:pPr>
        <w:numPr>
          <w:ilvl w:val="0"/>
          <w:numId w:val="14"/>
        </w:numPr>
        <w:spacing w:before="60" w:after="120" w:line="240" w:lineRule="auto"/>
        <w:contextualSpacing/>
      </w:pPr>
      <w:r w:rsidRPr="00611D6A">
        <w:t>evaluate the outcomes of the arrangement and look for improvements</w:t>
      </w:r>
      <w:r>
        <w:t xml:space="preserve">, </w:t>
      </w:r>
      <w:r w:rsidRPr="00611D6A">
        <w:t>and</w:t>
      </w:r>
    </w:p>
    <w:p w14:paraId="5EC17D0E" w14:textId="77777777" w:rsidR="00EC7579" w:rsidRDefault="00EC7579" w:rsidP="00EC7579">
      <w:pPr>
        <w:numPr>
          <w:ilvl w:val="0"/>
          <w:numId w:val="14"/>
        </w:numPr>
        <w:spacing w:before="60" w:after="120" w:line="240" w:lineRule="auto"/>
        <w:contextualSpacing/>
      </w:pPr>
      <w:r w:rsidRPr="00611D6A">
        <w:t>seek appropriate training if lacking in any of the skills necessary to properly administer this program.</w:t>
      </w:r>
    </w:p>
    <w:p w14:paraId="2CA6E347" w14:textId="77777777" w:rsidR="00EC7579" w:rsidRDefault="00EC7579" w:rsidP="00EC7579">
      <w:r w:rsidRPr="00611D6A">
        <w:t>Documenting</w:t>
      </w:r>
      <w:r>
        <w:t xml:space="preserve"> agreed family-friendly</w:t>
      </w:r>
      <w:r w:rsidRPr="00611D6A">
        <w:t xml:space="preserve"> provisions enables both </w:t>
      </w:r>
      <w:r>
        <w:t>GCBH</w:t>
      </w:r>
      <w:r w:rsidRPr="00486200">
        <w:rPr>
          <w:color w:val="808080"/>
        </w:rPr>
        <w:t xml:space="preserve"> </w:t>
      </w:r>
      <w:r w:rsidRPr="00611D6A">
        <w:t xml:space="preserve">and its </w:t>
      </w:r>
      <w:r w:rsidRPr="00BE7592">
        <w:t>staff</w:t>
      </w:r>
      <w:r w:rsidRPr="00611D6A">
        <w:t xml:space="preserve"> to have a clear understanding of the available provisions and how they can be accessed.</w:t>
      </w:r>
      <w:r>
        <w:t xml:space="preserve"> </w:t>
      </w:r>
    </w:p>
    <w:p w14:paraId="4FE0A0E5" w14:textId="77777777" w:rsidR="00ED1D93" w:rsidRDefault="00ED1D93" w:rsidP="009D30E8">
      <w:pPr>
        <w:pStyle w:val="Heading2"/>
      </w:pPr>
    </w:p>
    <w:p w14:paraId="1F89DF2E" w14:textId="426FA383" w:rsidR="009D30E8" w:rsidRPr="00B904F7" w:rsidRDefault="009D30E8" w:rsidP="009D30E8">
      <w:pPr>
        <w:pStyle w:val="Heading2"/>
      </w:pPr>
      <w:r w:rsidRPr="00B904F7">
        <w:t>Authorisation</w:t>
      </w:r>
    </w:p>
    <w:p w14:paraId="07439B44" w14:textId="74D32151" w:rsidR="009D30E8"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2B397A">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0C0F53C0" w14:textId="77777777" w:rsidR="00EC7579" w:rsidRDefault="00EC7579">
      <w:pPr>
        <w:spacing w:before="0" w:after="160"/>
        <w:rPr>
          <w:rFonts w:ascii="Arial Black" w:eastAsiaTheme="majorEastAsia" w:hAnsi="Arial Black" w:cstheme="majorBidi"/>
          <w:color w:val="001E45"/>
          <w:sz w:val="44"/>
          <w:szCs w:val="32"/>
        </w:rPr>
      </w:pPr>
      <w:r>
        <w:br w:type="page"/>
      </w:r>
    </w:p>
    <w:p w14:paraId="7895273A" w14:textId="38ED3994" w:rsidR="00ED1D93" w:rsidRPr="009D30E8" w:rsidRDefault="00EC7579" w:rsidP="00ED1D93">
      <w:pPr>
        <w:pStyle w:val="Heading1"/>
      </w:pPr>
      <w:r w:rsidRPr="00EC7579">
        <w:lastRenderedPageBreak/>
        <w:t>FAMILY FRIENDLY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2420902F" w:rsidR="00ED1D93" w:rsidRPr="009D30E8" w:rsidRDefault="003F53CB"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00EC7579">
              <w:rPr>
                <w:rFonts w:ascii="Calibri" w:hAnsi="Calibri" w:cs="Arial"/>
                <w:szCs w:val="24"/>
                <w:lang w:val="en-US" w:eastAsia="en-US"/>
              </w:rPr>
              <w:t>_Proc028</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32D97C4F"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2B397A">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491B3F8C" w14:textId="77777777" w:rsidR="003F53CB" w:rsidRPr="0063705A" w:rsidRDefault="003F53CB" w:rsidP="003F53CB">
      <w:pPr>
        <w:pStyle w:val="Heading2"/>
      </w:pPr>
      <w:r w:rsidRPr="0063705A">
        <w:t>Responsibilities</w:t>
      </w:r>
    </w:p>
    <w:p w14:paraId="46F16EDD" w14:textId="77777777" w:rsidR="00EC7579" w:rsidRDefault="00EC7579" w:rsidP="00EC7579">
      <w:r w:rsidRPr="00611D6A">
        <w:t xml:space="preserve">It </w:t>
      </w:r>
      <w:r>
        <w:t>should</w:t>
      </w:r>
      <w:r w:rsidRPr="00611D6A">
        <w:t xml:space="preserve"> be the responsibility of </w:t>
      </w:r>
      <w:r>
        <w:t xml:space="preserve">the Chief Executive Officer </w:t>
      </w:r>
      <w:r w:rsidRPr="00611D6A">
        <w:t xml:space="preserve">to ensure that the procedures specified in this policy are implemented appropriately. </w:t>
      </w:r>
    </w:p>
    <w:p w14:paraId="1B391647" w14:textId="77777777" w:rsidR="00DD3537" w:rsidRPr="00832ED6" w:rsidRDefault="00DD3537" w:rsidP="00DD3537">
      <w:pPr>
        <w:pStyle w:val="Heading2"/>
      </w:pPr>
      <w:r w:rsidRPr="00832ED6">
        <w:t>Procedures</w:t>
      </w:r>
    </w:p>
    <w:p w14:paraId="7275ADF7" w14:textId="77777777" w:rsidR="00EC7579" w:rsidRPr="00611D6A" w:rsidRDefault="00EC7579" w:rsidP="00EC7579">
      <w:r w:rsidRPr="00611D6A">
        <w:t xml:space="preserve">Procedures and arrangements for parental/maternity/paternity leave, personal/carer's/family leave, bereavement leave, and flexible working arrangements </w:t>
      </w:r>
      <w:r>
        <w:t>should</w:t>
      </w:r>
      <w:r w:rsidRPr="00611D6A">
        <w:t xml:space="preserve"> be as set out in National Employment Standards contained in the Fair Work Act 2009</w:t>
      </w:r>
      <w:hyperlink r:id="rId9" w:history="1"/>
      <w:r>
        <w:t xml:space="preserve"> (</w:t>
      </w:r>
      <w:hyperlink r:id="rId10" w:history="1">
        <w:r w:rsidRPr="007E29FB">
          <w:rPr>
            <w:rStyle w:val="Hyperlink"/>
          </w:rPr>
          <w:t>https://www.fwc.gov.au/documents/legislation/download/FW_Act_vol_1.pdf</w:t>
        </w:r>
      </w:hyperlink>
      <w:r>
        <w:t>)</w:t>
      </w:r>
      <w:r w:rsidRPr="00611D6A">
        <w:t xml:space="preserve">, as modified by the organisation’s provision of additional entitlements in any area. </w:t>
      </w:r>
    </w:p>
    <w:p w14:paraId="3A0878B7" w14:textId="77777777" w:rsidR="00EC7579" w:rsidRPr="00EC7579" w:rsidRDefault="00EC7579" w:rsidP="00EC7579">
      <w:pPr>
        <w:rPr>
          <w:b/>
        </w:rPr>
      </w:pPr>
      <w:r w:rsidRPr="00EC7579">
        <w:rPr>
          <w:b/>
        </w:rPr>
        <w:t>Documentation of procedures</w:t>
      </w:r>
    </w:p>
    <w:p w14:paraId="720BCA29" w14:textId="77777777" w:rsidR="00EC7579" w:rsidRDefault="00EC7579" w:rsidP="00EC7579">
      <w:r w:rsidRPr="00611D6A">
        <w:t xml:space="preserve">Family-friendly workplace provisions will be negotiated with the </w:t>
      </w:r>
      <w:r w:rsidRPr="00BE7592">
        <w:t>staff member</w:t>
      </w:r>
      <w:r w:rsidRPr="00611D6A">
        <w:t xml:space="preserve"> at commencement of the position</w:t>
      </w:r>
      <w:r>
        <w:t>, and as requested or required thereafter</w:t>
      </w:r>
      <w:r w:rsidRPr="00611D6A">
        <w:t xml:space="preserve">. </w:t>
      </w:r>
    </w:p>
    <w:p w14:paraId="49578440" w14:textId="77777777" w:rsidR="00EC7579" w:rsidRPr="00611D6A" w:rsidRDefault="00EC7579" w:rsidP="00EC7579">
      <w:r>
        <w:t>Any</w:t>
      </w:r>
      <w:r w:rsidRPr="00611D6A">
        <w:t xml:space="preserve"> provisions </w:t>
      </w:r>
      <w:r>
        <w:t xml:space="preserve">agreed at the outset of employment </w:t>
      </w:r>
      <w:r w:rsidRPr="00611D6A">
        <w:t>will be included in the employment agreement</w:t>
      </w:r>
      <w:r>
        <w:t xml:space="preserve">, and those agreed later should be placed on the </w:t>
      </w:r>
      <w:r w:rsidRPr="00BE7592">
        <w:t>staff member</w:t>
      </w:r>
      <w:r>
        <w:t>’s file</w:t>
      </w:r>
      <w:r w:rsidRPr="00611D6A">
        <w:t>.</w:t>
      </w:r>
    </w:p>
    <w:p w14:paraId="3D7960BE" w14:textId="77777777" w:rsidR="00EC7579" w:rsidRPr="00611D6A" w:rsidRDefault="00EC7579" w:rsidP="00EC7579">
      <w:r w:rsidRPr="00611D6A">
        <w:t xml:space="preserve">Family-friendly clauses in individual staffing agreements should contain information on: </w:t>
      </w:r>
    </w:p>
    <w:p w14:paraId="74813C86" w14:textId="77777777" w:rsidR="00EC7579" w:rsidRPr="00611D6A" w:rsidRDefault="00EC7579" w:rsidP="00EC7579">
      <w:pPr>
        <w:numPr>
          <w:ilvl w:val="0"/>
          <w:numId w:val="15"/>
        </w:numPr>
        <w:spacing w:before="60" w:after="120" w:line="240" w:lineRule="auto"/>
        <w:contextualSpacing/>
      </w:pPr>
      <w:r w:rsidRPr="00611D6A">
        <w:t>the nature of the provision (e.g. flexible hours of work)</w:t>
      </w:r>
    </w:p>
    <w:p w14:paraId="1CFBE947" w14:textId="77777777" w:rsidR="00EC7579" w:rsidRPr="00611D6A" w:rsidRDefault="00EC7579" w:rsidP="00EC7579">
      <w:pPr>
        <w:numPr>
          <w:ilvl w:val="0"/>
          <w:numId w:val="15"/>
        </w:numPr>
        <w:spacing w:before="60" w:after="120" w:line="240" w:lineRule="auto"/>
        <w:contextualSpacing/>
      </w:pPr>
      <w:r w:rsidRPr="00611D6A">
        <w:t xml:space="preserve">entitlements under the provision (e.g. a right to apply for flexible hours of work) </w:t>
      </w:r>
    </w:p>
    <w:p w14:paraId="0731015E" w14:textId="77777777" w:rsidR="00EC7579" w:rsidRPr="00611D6A" w:rsidRDefault="00EC7579" w:rsidP="00EC7579">
      <w:pPr>
        <w:numPr>
          <w:ilvl w:val="0"/>
          <w:numId w:val="15"/>
        </w:numPr>
        <w:spacing w:before="60" w:after="120" w:line="240" w:lineRule="auto"/>
        <w:contextualSpacing/>
      </w:pPr>
      <w:r w:rsidRPr="00611D6A">
        <w:t xml:space="preserve">eligibility criteria (e.g. primary care of a child or children under school age). </w:t>
      </w:r>
    </w:p>
    <w:p w14:paraId="7E0E2BF1" w14:textId="77777777" w:rsidR="00EC7579" w:rsidRPr="00611D6A" w:rsidRDefault="00EC7579" w:rsidP="00EC7579">
      <w:r w:rsidRPr="00611D6A">
        <w:t>As staff and organisational needs change over time</w:t>
      </w:r>
      <w:r>
        <w:t>,</w:t>
      </w:r>
      <w:r w:rsidRPr="00611D6A">
        <w:t xml:space="preserve"> family-friendly provisions will be regularly reviewed via in-house supervision to ensure that provisions are consistent with applicable legislation and do not become outdated or irrelevant to the </w:t>
      </w:r>
      <w:r w:rsidRPr="00BE7592">
        <w:t>staff member</w:t>
      </w:r>
      <w:r w:rsidRPr="00611D6A">
        <w:t xml:space="preserve"> or the organisation. </w:t>
      </w:r>
    </w:p>
    <w:p w14:paraId="33649B92" w14:textId="77777777" w:rsidR="00A53FA4" w:rsidRDefault="00A53FA4">
      <w:pPr>
        <w:spacing w:before="0" w:after="160"/>
        <w:rPr>
          <w:rFonts w:ascii="Arial Bold" w:eastAsiaTheme="majorEastAsia" w:hAnsi="Arial Bold" w:cstheme="majorBidi"/>
          <w:color w:val="001E45"/>
          <w:sz w:val="30"/>
          <w:szCs w:val="26"/>
        </w:rPr>
      </w:pPr>
      <w:r>
        <w:br w:type="page"/>
      </w:r>
    </w:p>
    <w:p w14:paraId="245369A5" w14:textId="48D52120" w:rsidR="00DD3537" w:rsidRPr="00832ED6" w:rsidRDefault="00DD3537" w:rsidP="00DD3537">
      <w:pPr>
        <w:pStyle w:val="Heading2"/>
      </w:pPr>
      <w:r w:rsidRPr="00832ED6">
        <w:lastRenderedPageBreak/>
        <w:t>Related Documents</w:t>
      </w:r>
    </w:p>
    <w:p w14:paraId="4323A34C" w14:textId="3193C0CF" w:rsidR="00ED1D93" w:rsidRPr="00B904F7" w:rsidRDefault="00EC7579" w:rsidP="00EC7579">
      <w:pPr>
        <w:pStyle w:val="ListParagraph"/>
        <w:numPr>
          <w:ilvl w:val="0"/>
          <w:numId w:val="18"/>
        </w:numPr>
        <w:ind w:left="709" w:hanging="283"/>
      </w:pPr>
      <w:r w:rsidRPr="00EC7579">
        <w:t>Staff Induction Policy</w:t>
      </w:r>
    </w:p>
    <w:p w14:paraId="3FE1C1CA" w14:textId="77777777" w:rsidR="00EC7579" w:rsidRDefault="00EC7579" w:rsidP="00ED1D93">
      <w:pPr>
        <w:pStyle w:val="Heading2"/>
      </w:pPr>
    </w:p>
    <w:p w14:paraId="493C66A9" w14:textId="35E8D28A" w:rsidR="00ED1D93" w:rsidRPr="00B904F7" w:rsidRDefault="00ED1D93" w:rsidP="00ED1D93">
      <w:pPr>
        <w:pStyle w:val="Heading2"/>
      </w:pPr>
      <w:r w:rsidRPr="00B904F7">
        <w:t>Authorisation</w:t>
      </w:r>
    </w:p>
    <w:p w14:paraId="2D3B493F" w14:textId="5D173327"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11">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2B397A">
        <w:rPr>
          <w:noProof/>
        </w:rPr>
        <w:t>4 December 2019</w:t>
      </w:r>
      <w:r>
        <w:fldChar w:fldCharType="end"/>
      </w:r>
    </w:p>
    <w:bookmarkEnd w:id="2"/>
    <w:p w14:paraId="38D650EE" w14:textId="77777777" w:rsidR="00ED1D93" w:rsidRDefault="00ED1D93"/>
    <w:sectPr w:rsidR="00ED1D9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27B8A" w14:textId="77777777" w:rsidR="002B397A" w:rsidRDefault="002B3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F66898"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C447A" w14:textId="77777777" w:rsidR="002B397A" w:rsidRDefault="002B3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75067" w14:textId="77777777" w:rsidR="002B397A" w:rsidRDefault="002B39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450188E3" w:rsidR="00CD2078" w:rsidRPr="00CD2078" w:rsidRDefault="002B397A"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66ED475A" wp14:editId="37D72E33">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F66898" w:rsidRDefault="00F66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61D3F" w14:textId="77777777" w:rsidR="002B397A" w:rsidRDefault="002B3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63"/>
    <w:multiLevelType w:val="hybridMultilevel"/>
    <w:tmpl w:val="3F3C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608D8"/>
    <w:multiLevelType w:val="hybridMultilevel"/>
    <w:tmpl w:val="7B48FAFA"/>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583DCE"/>
    <w:multiLevelType w:val="hybridMultilevel"/>
    <w:tmpl w:val="86B4212E"/>
    <w:lvl w:ilvl="0" w:tplc="94F86BAE">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751D52"/>
    <w:multiLevelType w:val="hybridMultilevel"/>
    <w:tmpl w:val="0E3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3366E"/>
    <w:multiLevelType w:val="hybridMultilevel"/>
    <w:tmpl w:val="A8182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8C348C"/>
    <w:multiLevelType w:val="hybridMultilevel"/>
    <w:tmpl w:val="18387D52"/>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953F09"/>
    <w:multiLevelType w:val="hybridMultilevel"/>
    <w:tmpl w:val="D93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2938"/>
    <w:multiLevelType w:val="hybridMultilevel"/>
    <w:tmpl w:val="1320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33084"/>
    <w:multiLevelType w:val="hybridMultilevel"/>
    <w:tmpl w:val="EAEE3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01255C"/>
    <w:multiLevelType w:val="hybridMultilevel"/>
    <w:tmpl w:val="C57EF46A"/>
    <w:lvl w:ilvl="0" w:tplc="68E6C2A4">
      <w:start w:val="1"/>
      <w:numFmt w:val="bullet"/>
      <w:lvlText w:val=""/>
      <w:lvlJc w:val="left"/>
      <w:pPr>
        <w:ind w:left="785" w:hanging="360"/>
      </w:pPr>
      <w:rPr>
        <w:rFonts w:ascii="Symbol" w:eastAsia="Times New Roman" w:hAnsi="Symbol" w:cs="Times New Roman"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2"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413DA"/>
    <w:multiLevelType w:val="hybridMultilevel"/>
    <w:tmpl w:val="82F4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EE0DD0"/>
    <w:multiLevelType w:val="hybridMultilevel"/>
    <w:tmpl w:val="3A900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3"/>
  </w:num>
  <w:num w:numId="4">
    <w:abstractNumId w:val="16"/>
  </w:num>
  <w:num w:numId="5">
    <w:abstractNumId w:val="12"/>
  </w:num>
  <w:num w:numId="6">
    <w:abstractNumId w:val="14"/>
  </w:num>
  <w:num w:numId="7">
    <w:abstractNumId w:val="5"/>
  </w:num>
  <w:num w:numId="8">
    <w:abstractNumId w:val="17"/>
  </w:num>
  <w:num w:numId="9">
    <w:abstractNumId w:val="6"/>
  </w:num>
  <w:num w:numId="10">
    <w:abstractNumId w:val="0"/>
  </w:num>
  <w:num w:numId="11">
    <w:abstractNumId w:val="3"/>
  </w:num>
  <w:num w:numId="12">
    <w:abstractNumId w:val="8"/>
  </w:num>
  <w:num w:numId="13">
    <w:abstractNumId w:val="11"/>
  </w:num>
  <w:num w:numId="14">
    <w:abstractNumId w:val="15"/>
  </w:num>
  <w:num w:numId="15">
    <w:abstractNumId w:val="9"/>
  </w:num>
  <w:num w:numId="16">
    <w:abstractNumId w:val="1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17482"/>
    <w:rsid w:val="0022516F"/>
    <w:rsid w:val="002A0F0D"/>
    <w:rsid w:val="002A1B8D"/>
    <w:rsid w:val="002B397A"/>
    <w:rsid w:val="002F5D39"/>
    <w:rsid w:val="003332BB"/>
    <w:rsid w:val="0033457B"/>
    <w:rsid w:val="003450B0"/>
    <w:rsid w:val="003556CF"/>
    <w:rsid w:val="0038650E"/>
    <w:rsid w:val="00392133"/>
    <w:rsid w:val="003A2184"/>
    <w:rsid w:val="003C7CC6"/>
    <w:rsid w:val="003F04B0"/>
    <w:rsid w:val="003F1A13"/>
    <w:rsid w:val="003F53CB"/>
    <w:rsid w:val="004045E1"/>
    <w:rsid w:val="00404F44"/>
    <w:rsid w:val="004135C1"/>
    <w:rsid w:val="004226FB"/>
    <w:rsid w:val="004255B5"/>
    <w:rsid w:val="00432751"/>
    <w:rsid w:val="00444F4B"/>
    <w:rsid w:val="00445D69"/>
    <w:rsid w:val="00496C44"/>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1405A"/>
    <w:rsid w:val="00623675"/>
    <w:rsid w:val="006274E7"/>
    <w:rsid w:val="00651560"/>
    <w:rsid w:val="00663C54"/>
    <w:rsid w:val="006845F4"/>
    <w:rsid w:val="006A0492"/>
    <w:rsid w:val="006F5379"/>
    <w:rsid w:val="00731CBB"/>
    <w:rsid w:val="00733B80"/>
    <w:rsid w:val="00771F6E"/>
    <w:rsid w:val="007B2660"/>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53FA4"/>
    <w:rsid w:val="00A8501B"/>
    <w:rsid w:val="00A95E56"/>
    <w:rsid w:val="00AA3AE2"/>
    <w:rsid w:val="00AD1262"/>
    <w:rsid w:val="00AE4E6B"/>
    <w:rsid w:val="00AE7D24"/>
    <w:rsid w:val="00AF2C93"/>
    <w:rsid w:val="00B22B0C"/>
    <w:rsid w:val="00B23271"/>
    <w:rsid w:val="00B24636"/>
    <w:rsid w:val="00B523BD"/>
    <w:rsid w:val="00B656C2"/>
    <w:rsid w:val="00BB1066"/>
    <w:rsid w:val="00BC09B7"/>
    <w:rsid w:val="00C373D2"/>
    <w:rsid w:val="00C7589B"/>
    <w:rsid w:val="00C81FF6"/>
    <w:rsid w:val="00C831A8"/>
    <w:rsid w:val="00C95A00"/>
    <w:rsid w:val="00CA69A4"/>
    <w:rsid w:val="00CA6EB1"/>
    <w:rsid w:val="00CA7601"/>
    <w:rsid w:val="00CD2078"/>
    <w:rsid w:val="00CE2907"/>
    <w:rsid w:val="00CE7AF3"/>
    <w:rsid w:val="00CF0116"/>
    <w:rsid w:val="00D56E0A"/>
    <w:rsid w:val="00D577DD"/>
    <w:rsid w:val="00D70186"/>
    <w:rsid w:val="00DD3537"/>
    <w:rsid w:val="00E076F2"/>
    <w:rsid w:val="00E21F4D"/>
    <w:rsid w:val="00E23C27"/>
    <w:rsid w:val="00E7300E"/>
    <w:rsid w:val="00EA3628"/>
    <w:rsid w:val="00EC7579"/>
    <w:rsid w:val="00ED1D93"/>
    <w:rsid w:val="00ED55E4"/>
    <w:rsid w:val="00EE41F9"/>
    <w:rsid w:val="00EF310F"/>
    <w:rsid w:val="00EF653C"/>
    <w:rsid w:val="00F01D2A"/>
    <w:rsid w:val="00F10AD9"/>
    <w:rsid w:val="00F16716"/>
    <w:rsid w:val="00F3746E"/>
    <w:rsid w:val="00F41829"/>
    <w:rsid w:val="00F51B62"/>
    <w:rsid w:val="00F55F96"/>
    <w:rsid w:val="00F605B4"/>
    <w:rsid w:val="00F66898"/>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8E129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8E129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wc.gov.au/documents/legislation/download/FW_Act_vol_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ustlii.edu.au/au/legis/cth/consol_act/fwa2009114"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B1E17-248D-4008-826D-26115E8D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2019-11-06T23:29:00Z</dcterms:created>
  <dcterms:modified xsi:type="dcterms:W3CDTF">2019-12-03T23:35:00Z</dcterms:modified>
</cp:coreProperties>
</file>