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3B97998F" w:rsidR="009D30E8" w:rsidRPr="009D30E8" w:rsidRDefault="00572010" w:rsidP="00D54AE3">
      <w:pPr>
        <w:pStyle w:val="Heading1"/>
      </w:pPr>
      <w:r w:rsidRPr="00572010">
        <w:t>SEXUAL HARASSMENT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132D7107" w:rsidR="009D30E8" w:rsidRPr="009D30E8" w:rsidRDefault="00572010" w:rsidP="00505A32">
            <w:pPr>
              <w:pStyle w:val="PlainText"/>
              <w:spacing w:before="0" w:after="0"/>
              <w:rPr>
                <w:rFonts w:ascii="Calibri" w:hAnsi="Calibri" w:cs="Arial"/>
                <w:color w:val="FFFFFF" w:themeColor="background1"/>
                <w:szCs w:val="24"/>
                <w:lang w:val="en-US" w:eastAsia="en-US"/>
              </w:rPr>
            </w:pPr>
            <w:r>
              <w:rPr>
                <w:rFonts w:ascii="Calibri" w:hAnsi="Calibri" w:cs="Arial"/>
                <w:color w:val="FFFFFF" w:themeColor="background1"/>
                <w:szCs w:val="24"/>
                <w:lang w:val="en-US" w:eastAsia="en-US"/>
              </w:rPr>
              <w:t>GCBH_Pol003</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3D31608B"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F5664D">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639F330" w14:textId="77777777" w:rsidR="00D54AE3" w:rsidRDefault="00D54AE3" w:rsidP="00DD6924">
      <w:pPr>
        <w:pStyle w:val="Heading2"/>
      </w:pPr>
    </w:p>
    <w:p w14:paraId="254A0E32" w14:textId="3EEBC6E4" w:rsidR="008D39CD" w:rsidRPr="00D54AE3" w:rsidRDefault="00865265" w:rsidP="00DD6924">
      <w:pPr>
        <w:pStyle w:val="Heading2"/>
      </w:pPr>
      <w:r w:rsidRPr="00D54AE3">
        <w:t>Introduction</w:t>
      </w:r>
    </w:p>
    <w:p w14:paraId="2AF0E446" w14:textId="77777777" w:rsidR="00572010" w:rsidRDefault="00572010" w:rsidP="00572010">
      <w:proofErr w:type="spellStart"/>
      <w:r>
        <w:t>Gentown</w:t>
      </w:r>
      <w:proofErr w:type="spellEnd"/>
      <w:r>
        <w:t xml:space="preserve"> Community &amp; Business Hub (GCBH)</w:t>
      </w:r>
      <w:r>
        <w:rPr>
          <w:b/>
          <w:bCs/>
        </w:rPr>
        <w:t xml:space="preserve"> </w:t>
      </w:r>
      <w:r>
        <w:t xml:space="preserve">will fiercely defend the right of all staff and volunteers to perform their work without being subjected to sexual harassment. All staff and volunteers are responsible for providing an environment that is supportive of this aim. Everyone must treat everyone else with respect and must aim to act as a beacon for good behaviour in the workplace. </w:t>
      </w:r>
    </w:p>
    <w:p w14:paraId="76720A39" w14:textId="77777777" w:rsidR="00572010" w:rsidRPr="008D38AE" w:rsidRDefault="00572010" w:rsidP="00572010">
      <w:pPr>
        <w:rPr>
          <w:snapToGrid w:val="0"/>
          <w:color w:val="000000"/>
          <w:sz w:val="26"/>
          <w:szCs w:val="26"/>
        </w:rPr>
      </w:pPr>
      <w:r>
        <w:t>I</w:t>
      </w:r>
      <w:r w:rsidRPr="00AC1069">
        <w:t xml:space="preserve">t is the obligation and responsibility of </w:t>
      </w:r>
      <w:r>
        <w:t xml:space="preserve">all staff </w:t>
      </w:r>
      <w:r w:rsidRPr="00AC1069">
        <w:t>and volunteer</w:t>
      </w:r>
      <w:r>
        <w:t>s</w:t>
      </w:r>
      <w:r w:rsidRPr="00AC1069">
        <w:t xml:space="preserve"> to ensure that the workplace is free from sexual harassment</w:t>
      </w:r>
      <w:r w:rsidRPr="008D38AE">
        <w:t xml:space="preserve">. </w:t>
      </w:r>
      <w:r w:rsidRPr="008D38AE">
        <w:rPr>
          <w:snapToGrid w:val="0"/>
          <w:color w:val="000000"/>
        </w:rPr>
        <w:t xml:space="preserve">Everyone working at </w:t>
      </w:r>
      <w:r>
        <w:t>GCBH</w:t>
      </w:r>
      <w:r w:rsidRPr="008D38AE">
        <w:rPr>
          <w:snapToGrid w:val="0"/>
          <w:color w:val="000000"/>
        </w:rPr>
        <w:t xml:space="preserve"> is responsible for the care and protection of our people and for reporting information about suspected sexual harassment.</w:t>
      </w:r>
    </w:p>
    <w:p w14:paraId="0FFF20C6" w14:textId="77777777" w:rsidR="00572010" w:rsidRDefault="00572010" w:rsidP="00572010">
      <w:r>
        <w:t>GCBH</w:t>
      </w:r>
      <w:r w:rsidRPr="00AE13B6">
        <w:rPr>
          <w:rFonts w:cs="Arial"/>
          <w:b/>
        </w:rPr>
        <w:t xml:space="preserve"> </w:t>
      </w:r>
      <w:r w:rsidRPr="00E81D3C">
        <w:t xml:space="preserve">is fully committed to its obligation to </w:t>
      </w:r>
      <w:r>
        <w:t xml:space="preserve">prevent and </w:t>
      </w:r>
      <w:r w:rsidRPr="00E81D3C">
        <w:t>eliminate sexual harassment in the workplace.</w:t>
      </w:r>
    </w:p>
    <w:p w14:paraId="3EE4CE3F" w14:textId="41F444BD" w:rsidR="009D30E8" w:rsidRPr="00B904F7" w:rsidRDefault="009D30E8" w:rsidP="00DD6924">
      <w:pPr>
        <w:pStyle w:val="Heading2"/>
      </w:pPr>
      <w:r w:rsidRPr="00B904F7">
        <w:t>Purpose</w:t>
      </w:r>
    </w:p>
    <w:p w14:paraId="15DDBE59" w14:textId="77777777" w:rsidR="00572010" w:rsidRDefault="00572010" w:rsidP="00572010">
      <w:r>
        <w:t>The purpose of this document is to outline GCBH’s position on sexual harassment and to document the process to be followed should any grievances arise.</w:t>
      </w:r>
    </w:p>
    <w:p w14:paraId="31D13947" w14:textId="77777777" w:rsidR="008913AB" w:rsidRPr="00760D67" w:rsidRDefault="008913AB" w:rsidP="008913AB">
      <w:pPr>
        <w:pStyle w:val="Heading2"/>
      </w:pPr>
      <w:r w:rsidRPr="00760D67">
        <w:t>Definitions</w:t>
      </w:r>
    </w:p>
    <w:p w14:paraId="64A45122" w14:textId="77777777" w:rsidR="00572010" w:rsidRPr="00FC16D5" w:rsidRDefault="00572010" w:rsidP="00572010">
      <w:r>
        <w:rPr>
          <w:b/>
        </w:rPr>
        <w:t>“</w:t>
      </w:r>
      <w:r w:rsidRPr="00B909CD">
        <w:rPr>
          <w:b/>
        </w:rPr>
        <w:t>Sexual harassment</w:t>
      </w:r>
      <w:r>
        <w:rPr>
          <w:b/>
        </w:rPr>
        <w:t>”</w:t>
      </w:r>
      <w:r w:rsidRPr="00AE13B6">
        <w:t xml:space="preserve"> </w:t>
      </w:r>
      <w:r w:rsidRPr="00E81D3C">
        <w:t xml:space="preserve">means any unwelcome sexual advance, unwelcome request for sexual favours, or other unwelcome conduct of a sexual nature </w:t>
      </w:r>
      <w:r>
        <w:t>that</w:t>
      </w:r>
      <w:r w:rsidRPr="00E81D3C">
        <w:t xml:space="preserve"> makes a person feel offended, humiliated or intimidated, and where that reaction is reasonable in the circumstances. Examples of </w:t>
      </w:r>
      <w:r>
        <w:t>s</w:t>
      </w:r>
      <w:r w:rsidRPr="00E81D3C">
        <w:t xml:space="preserve">exual </w:t>
      </w:r>
      <w:r>
        <w:t>h</w:t>
      </w:r>
      <w:r w:rsidRPr="00E81D3C">
        <w:t>arassment include</w:t>
      </w:r>
      <w:r>
        <w:t>,</w:t>
      </w:r>
      <w:r w:rsidRPr="00E81D3C">
        <w:t xml:space="preserve"> but are not limited to</w:t>
      </w:r>
      <w:r>
        <w:t>:</w:t>
      </w:r>
    </w:p>
    <w:p w14:paraId="0EC95FB8" w14:textId="77777777" w:rsidR="00572010" w:rsidRDefault="00572010" w:rsidP="00572010">
      <w:pPr>
        <w:numPr>
          <w:ilvl w:val="0"/>
          <w:numId w:val="35"/>
        </w:numPr>
        <w:spacing w:before="60" w:after="120" w:line="240" w:lineRule="auto"/>
        <w:contextualSpacing/>
      </w:pPr>
      <w:r>
        <w:t>staring or leering</w:t>
      </w:r>
    </w:p>
    <w:p w14:paraId="5E69CB91" w14:textId="77777777" w:rsidR="00572010" w:rsidRDefault="00572010" w:rsidP="00572010">
      <w:pPr>
        <w:numPr>
          <w:ilvl w:val="0"/>
          <w:numId w:val="35"/>
        </w:numPr>
        <w:spacing w:before="60" w:after="120" w:line="240" w:lineRule="auto"/>
        <w:contextualSpacing/>
      </w:pPr>
      <w:r>
        <w:t>unnecessary familiarity, such as deliberately brushing up against you or unwelcome touching</w:t>
      </w:r>
    </w:p>
    <w:p w14:paraId="1BB35C95" w14:textId="77777777" w:rsidR="00572010" w:rsidRDefault="00572010" w:rsidP="00572010">
      <w:pPr>
        <w:numPr>
          <w:ilvl w:val="0"/>
          <w:numId w:val="35"/>
        </w:numPr>
        <w:spacing w:before="60" w:after="120" w:line="240" w:lineRule="auto"/>
        <w:contextualSpacing/>
      </w:pPr>
      <w:r>
        <w:t>suggestive comments or jokes</w:t>
      </w:r>
    </w:p>
    <w:p w14:paraId="4AF390FA" w14:textId="77777777" w:rsidR="00572010" w:rsidRDefault="00572010" w:rsidP="00572010">
      <w:pPr>
        <w:numPr>
          <w:ilvl w:val="0"/>
          <w:numId w:val="35"/>
        </w:numPr>
        <w:spacing w:before="60" w:after="120" w:line="240" w:lineRule="auto"/>
        <w:contextualSpacing/>
      </w:pPr>
      <w:r>
        <w:t>insults or taunts of a sexual nature</w:t>
      </w:r>
    </w:p>
    <w:p w14:paraId="7D0DA048" w14:textId="77777777" w:rsidR="00572010" w:rsidRDefault="00572010" w:rsidP="00572010">
      <w:pPr>
        <w:numPr>
          <w:ilvl w:val="0"/>
          <w:numId w:val="35"/>
        </w:numPr>
        <w:spacing w:before="60" w:after="120" w:line="240" w:lineRule="auto"/>
        <w:contextualSpacing/>
      </w:pPr>
      <w:r>
        <w:t>intrusive questions or statements about your private life</w:t>
      </w:r>
    </w:p>
    <w:p w14:paraId="0ECAE5B7" w14:textId="77777777" w:rsidR="00572010" w:rsidRDefault="00572010" w:rsidP="00572010">
      <w:pPr>
        <w:numPr>
          <w:ilvl w:val="0"/>
          <w:numId w:val="35"/>
        </w:numPr>
        <w:spacing w:before="60" w:after="120" w:line="240" w:lineRule="auto"/>
        <w:contextualSpacing/>
      </w:pPr>
      <w:r>
        <w:t>displaying posters, magazines or screen savers of a sexual nature</w:t>
      </w:r>
    </w:p>
    <w:p w14:paraId="18DB6531" w14:textId="77777777" w:rsidR="00572010" w:rsidRDefault="00572010" w:rsidP="00572010">
      <w:pPr>
        <w:numPr>
          <w:ilvl w:val="0"/>
          <w:numId w:val="35"/>
        </w:numPr>
        <w:spacing w:before="60" w:after="120" w:line="240" w:lineRule="auto"/>
        <w:contextualSpacing/>
      </w:pPr>
      <w:r>
        <w:t>sending sexually explicit emails or text messages</w:t>
      </w:r>
    </w:p>
    <w:p w14:paraId="33C5B5C2" w14:textId="77777777" w:rsidR="00572010" w:rsidRDefault="00572010" w:rsidP="00572010">
      <w:pPr>
        <w:numPr>
          <w:ilvl w:val="0"/>
          <w:numId w:val="35"/>
        </w:numPr>
        <w:spacing w:before="60" w:after="120" w:line="240" w:lineRule="auto"/>
        <w:contextualSpacing/>
      </w:pPr>
      <w:r>
        <w:lastRenderedPageBreak/>
        <w:t>inappropriate advances on social networking sites</w:t>
      </w:r>
    </w:p>
    <w:p w14:paraId="42DAACB7" w14:textId="77777777" w:rsidR="00572010" w:rsidRDefault="00572010" w:rsidP="00572010">
      <w:pPr>
        <w:numPr>
          <w:ilvl w:val="0"/>
          <w:numId w:val="35"/>
        </w:numPr>
        <w:spacing w:before="60" w:after="120" w:line="240" w:lineRule="auto"/>
        <w:contextualSpacing/>
      </w:pPr>
      <w:r>
        <w:t>accessing sexually explicit internet sites</w:t>
      </w:r>
    </w:p>
    <w:p w14:paraId="5A20CF22" w14:textId="77777777" w:rsidR="00572010" w:rsidRDefault="00572010" w:rsidP="00572010">
      <w:pPr>
        <w:numPr>
          <w:ilvl w:val="0"/>
          <w:numId w:val="35"/>
        </w:numPr>
        <w:spacing w:before="60" w:after="120" w:line="240" w:lineRule="auto"/>
        <w:contextualSpacing/>
      </w:pPr>
      <w:r>
        <w:t>requests for sex or repeated unwanted requests to go out on dates</w:t>
      </w:r>
    </w:p>
    <w:p w14:paraId="37B71F59" w14:textId="77777777" w:rsidR="00572010" w:rsidRDefault="00572010" w:rsidP="00572010">
      <w:pPr>
        <w:numPr>
          <w:ilvl w:val="0"/>
          <w:numId w:val="35"/>
        </w:numPr>
        <w:spacing w:before="60" w:after="120" w:line="240" w:lineRule="auto"/>
        <w:contextualSpacing/>
      </w:pPr>
      <w:r>
        <w:t xml:space="preserve">behaviour that may also </w:t>
      </w:r>
      <w:proofErr w:type="gramStart"/>
      <w:r>
        <w:t>be considered to be</w:t>
      </w:r>
      <w:proofErr w:type="gramEnd"/>
      <w:r>
        <w:t xml:space="preserve"> an offence under criminal law, such as physical assault, indecent exposure, sexual assault, stalking or obscene communications.</w:t>
      </w:r>
    </w:p>
    <w:p w14:paraId="6630A9DF" w14:textId="77777777" w:rsidR="00572010" w:rsidRDefault="00572010" w:rsidP="00572010">
      <w:r>
        <w:t>B</w:t>
      </w:r>
      <w:r w:rsidRPr="00E81D3C">
        <w:t xml:space="preserve">ehaviour </w:t>
      </w:r>
      <w:r>
        <w:t>that</w:t>
      </w:r>
      <w:r w:rsidRPr="00E81D3C">
        <w:t xml:space="preserve"> is based on mutual attraction, friendship and respect </w:t>
      </w:r>
      <w:r>
        <w:t>is not sexual harassment</w:t>
      </w:r>
      <w:r w:rsidRPr="00E81D3C">
        <w:t>.</w:t>
      </w:r>
    </w:p>
    <w:p w14:paraId="388FAE4D" w14:textId="58725AB5" w:rsidR="00270545" w:rsidRPr="00D54AE3" w:rsidRDefault="009D210D" w:rsidP="00DD6924">
      <w:pPr>
        <w:pStyle w:val="Heading2"/>
      </w:pPr>
      <w:r>
        <w:t>Policy</w:t>
      </w:r>
    </w:p>
    <w:p w14:paraId="3F6ADB4D" w14:textId="77777777" w:rsidR="00572010" w:rsidRDefault="00572010" w:rsidP="00572010">
      <w:r>
        <w:t>GCBH</w:t>
      </w:r>
      <w:r>
        <w:rPr>
          <w:rFonts w:cs="Arial"/>
          <w:color w:val="808080"/>
        </w:rPr>
        <w:t xml:space="preserve"> </w:t>
      </w:r>
      <w:r w:rsidRPr="00E81D3C">
        <w:t>will not tolerate sexual harassmen</w:t>
      </w:r>
      <w:r>
        <w:t>t under any circumstances. R</w:t>
      </w:r>
      <w:r w:rsidRPr="00E81D3C">
        <w:t xml:space="preserve">esponsibility lies with </w:t>
      </w:r>
      <w:r>
        <w:t>all</w:t>
      </w:r>
      <w:r w:rsidRPr="00E81D3C">
        <w:t xml:space="preserve"> </w:t>
      </w:r>
      <w:r>
        <w:t>m</w:t>
      </w:r>
      <w:r w:rsidRPr="00E81D3C">
        <w:t>anager</w:t>
      </w:r>
      <w:r>
        <w:t>s</w:t>
      </w:r>
      <w:r w:rsidRPr="00E81D3C">
        <w:t xml:space="preserve">, </w:t>
      </w:r>
      <w:r>
        <w:t>s</w:t>
      </w:r>
      <w:r w:rsidRPr="00E81D3C">
        <w:t>upervisor</w:t>
      </w:r>
      <w:r>
        <w:t>s, staff and volunteers</w:t>
      </w:r>
      <w:r w:rsidRPr="00E81D3C">
        <w:t xml:space="preserve"> to ensure that </w:t>
      </w:r>
      <w:r>
        <w:t>s</w:t>
      </w:r>
      <w:r w:rsidRPr="00E81D3C">
        <w:t xml:space="preserve">exual </w:t>
      </w:r>
      <w:r>
        <w:t>h</w:t>
      </w:r>
      <w:r w:rsidRPr="00E81D3C">
        <w:t>arassment does not occur.</w:t>
      </w:r>
    </w:p>
    <w:p w14:paraId="016BFB6F" w14:textId="77777777" w:rsidR="00572010" w:rsidRPr="00746705" w:rsidRDefault="00572010" w:rsidP="00572010">
      <w:r>
        <w:t xml:space="preserve">Both federal and state Equal Employment Opportunity legislation provide </w:t>
      </w:r>
      <w:r w:rsidRPr="00746705">
        <w:t>that sexual harassment is unlawful</w:t>
      </w:r>
      <w:r>
        <w:t xml:space="preserve"> and </w:t>
      </w:r>
      <w:r w:rsidRPr="00746705">
        <w:t>establish minimum standards of behaviour for all employees.</w:t>
      </w:r>
    </w:p>
    <w:p w14:paraId="2699785D" w14:textId="77777777" w:rsidR="00572010" w:rsidRPr="00AE13B6" w:rsidRDefault="00572010" w:rsidP="00572010">
      <w:r>
        <w:t xml:space="preserve">This policy applies to conduct that takes place in </w:t>
      </w:r>
      <w:r w:rsidRPr="00E81D3C">
        <w:t>any work-related context, including conferences, work functions, social events and business trips.</w:t>
      </w:r>
    </w:p>
    <w:p w14:paraId="68AB539D" w14:textId="77777777" w:rsidR="00572010" w:rsidRDefault="00572010" w:rsidP="00572010">
      <w:r w:rsidRPr="00E81D3C">
        <w:t xml:space="preserve">No </w:t>
      </w:r>
      <w:r>
        <w:t>staff</w:t>
      </w:r>
      <w:r w:rsidRPr="00E81D3C">
        <w:t xml:space="preserve"> </w:t>
      </w:r>
      <w:r>
        <w:t xml:space="preserve">or volunteer </w:t>
      </w:r>
      <w:r w:rsidRPr="00E81D3C">
        <w:t xml:space="preserve">at any level should subject any other </w:t>
      </w:r>
      <w:r>
        <w:t>staff</w:t>
      </w:r>
      <w:r w:rsidRPr="00E81D3C">
        <w:t xml:space="preserve">, </w:t>
      </w:r>
      <w:r>
        <w:t xml:space="preserve">volunteer, </w:t>
      </w:r>
      <w:r w:rsidRPr="00E81D3C">
        <w:t>customer or visitor to any form of sexual harassment.</w:t>
      </w:r>
    </w:p>
    <w:p w14:paraId="0FB38C7C" w14:textId="77777777" w:rsidR="00572010" w:rsidRPr="00AE13B6" w:rsidRDefault="00572010" w:rsidP="00572010">
      <w:r w:rsidRPr="00E81D3C">
        <w:t>A breach of this policy will result in disciplinary action</w:t>
      </w:r>
      <w:r>
        <w:t>, up to and including termination of employment</w:t>
      </w:r>
      <w:r w:rsidRPr="00E81D3C">
        <w:t xml:space="preserve">.  </w:t>
      </w:r>
    </w:p>
    <w:p w14:paraId="76213621" w14:textId="77777777" w:rsidR="00572010" w:rsidRDefault="00572010" w:rsidP="00572010">
      <w:r>
        <w:rPr>
          <w:rFonts w:cs="Arial"/>
        </w:rPr>
        <w:t>GCBH</w:t>
      </w:r>
      <w:r w:rsidRPr="00C9335C">
        <w:rPr>
          <w:rFonts w:cs="Arial"/>
        </w:rPr>
        <w:t xml:space="preserve"> </w:t>
      </w:r>
      <w:r w:rsidRPr="00E81D3C">
        <w:t xml:space="preserve">strongly encourages any </w:t>
      </w:r>
      <w:r>
        <w:t>staff</w:t>
      </w:r>
      <w:r w:rsidRPr="00E81D3C">
        <w:t xml:space="preserve"> who feel they have been sexually harassed to take </w:t>
      </w:r>
      <w:r>
        <w:t xml:space="preserve">immediate </w:t>
      </w:r>
      <w:r w:rsidRPr="00E81D3C">
        <w:t>action.</w:t>
      </w:r>
      <w:r>
        <w:t xml:space="preserve"> </w:t>
      </w:r>
      <w:r w:rsidRPr="00951329">
        <w:t xml:space="preserve">If </w:t>
      </w:r>
      <w:r>
        <w:t>staff</w:t>
      </w:r>
      <w:r w:rsidRPr="00951329">
        <w:t xml:space="preserve"> </w:t>
      </w:r>
      <w:r>
        <w:t xml:space="preserve">or volunteers </w:t>
      </w:r>
      <w:r w:rsidRPr="00951329">
        <w:t xml:space="preserve">feel comfortable in doing so, </w:t>
      </w:r>
      <w:r>
        <w:t>they can</w:t>
      </w:r>
      <w:r w:rsidRPr="00951329">
        <w:t xml:space="preserve"> raise the issue with the person directly with a view to resolving the issue by discussion. </w:t>
      </w:r>
      <w:r>
        <w:t>Staff</w:t>
      </w:r>
      <w:r w:rsidRPr="00951329">
        <w:t xml:space="preserve"> </w:t>
      </w:r>
      <w:r>
        <w:t xml:space="preserve">or volunteers </w:t>
      </w:r>
      <w:r w:rsidRPr="00951329">
        <w:t xml:space="preserve">should identify the </w:t>
      </w:r>
      <w:r>
        <w:t>harassing</w:t>
      </w:r>
      <w:r w:rsidRPr="00951329">
        <w:t xml:space="preserve"> behaviour, explain that the behaviour is unwelcome and offensive and ask that the behaviour stops. </w:t>
      </w:r>
    </w:p>
    <w:p w14:paraId="73267BF5" w14:textId="77777777" w:rsidR="00572010" w:rsidRDefault="00572010" w:rsidP="00572010">
      <w:r>
        <w:t xml:space="preserve">However, given the seriousness of sexual harassment, we recommend that this discussion happens in consultation with the relevant manager, human resource personnel or CEO. </w:t>
      </w:r>
    </w:p>
    <w:p w14:paraId="266E5C78" w14:textId="77777777" w:rsidR="00572010" w:rsidRDefault="00572010" w:rsidP="00572010">
      <w:r>
        <w:t>Alternatively, or in addition,</w:t>
      </w:r>
      <w:r w:rsidRPr="00C7254E">
        <w:t xml:space="preserve"> they may report the behaviour in accordance with the relevant procedure</w:t>
      </w:r>
      <w:r>
        <w:t xml:space="preserve">. Once a report is made, GCBH will determine how the report should be dealt with in accordance with its obligations and this policy. </w:t>
      </w:r>
    </w:p>
    <w:p w14:paraId="72DE21CF" w14:textId="77777777" w:rsidR="00572010" w:rsidRDefault="00572010" w:rsidP="00572010">
      <w:r w:rsidRPr="00E81D3C">
        <w:t>Any reports of sexual harassment will be treated seriously and promptly with sensitivity</w:t>
      </w:r>
      <w:r>
        <w:t>. Such reports will be treated as completely confidential but the person who is the subject of the complaint must be notified under the rules of natural justice</w:t>
      </w:r>
      <w:r w:rsidRPr="00E81D3C">
        <w:t>.</w:t>
      </w:r>
      <w:r>
        <w:t xml:space="preserve"> GCBH will protect all those involved in the process from victimisation. </w:t>
      </w:r>
    </w:p>
    <w:p w14:paraId="4EC40792" w14:textId="77777777" w:rsidR="00572010" w:rsidRPr="00AE13B6" w:rsidRDefault="00572010" w:rsidP="00572010">
      <w:r w:rsidRPr="00E81D3C">
        <w:lastRenderedPageBreak/>
        <w:t xml:space="preserve">Complainants have the right to determine how to have a complaint treated, </w:t>
      </w:r>
      <w:r>
        <w:t xml:space="preserve">to </w:t>
      </w:r>
      <w:r w:rsidRPr="00E81D3C">
        <w:t>have support or representation throughout the process, and the option to discontinue a complaint at any stage of the process.</w:t>
      </w:r>
    </w:p>
    <w:p w14:paraId="5163522A" w14:textId="77777777" w:rsidR="00572010" w:rsidRDefault="00572010" w:rsidP="00572010">
      <w:r w:rsidRPr="00E81D3C">
        <w:t>The alleged harasser also has the right to have support or representation during any investigation, as well as the right to respond fully to any formal allegations made. There will be no presumptions of guilt and no determination made until a full investigation has been completed.</w:t>
      </w:r>
    </w:p>
    <w:p w14:paraId="6A540533" w14:textId="77777777" w:rsidR="00572010" w:rsidRPr="00AE13B6" w:rsidRDefault="00572010" w:rsidP="00572010">
      <w:r>
        <w:t>N</w:t>
      </w:r>
      <w:r w:rsidRPr="00E81D3C">
        <w:t xml:space="preserve">o </w:t>
      </w:r>
      <w:r>
        <w:t xml:space="preserve">staff or volunteers </w:t>
      </w:r>
      <w:r w:rsidRPr="00E81D3C">
        <w:t xml:space="preserve">will be treated unfairly </w:t>
      </w:r>
      <w:proofErr w:type="gramStart"/>
      <w:r w:rsidRPr="00E81D3C">
        <w:t>as a result of</w:t>
      </w:r>
      <w:proofErr w:type="gramEnd"/>
      <w:r w:rsidRPr="00E81D3C">
        <w:t xml:space="preserve"> rejecting unwanted advances. Disciplinary action may be taken against anyone who victimises or retaliates against a person who has complained of sexual harassment, or against any </w:t>
      </w:r>
      <w:r>
        <w:t>staff</w:t>
      </w:r>
      <w:r w:rsidRPr="00E81D3C">
        <w:t xml:space="preserve"> </w:t>
      </w:r>
      <w:r>
        <w:t xml:space="preserve">or volunteer </w:t>
      </w:r>
      <w:r w:rsidRPr="00E81D3C">
        <w:t>who has been alleged to be a harasser.</w:t>
      </w:r>
    </w:p>
    <w:p w14:paraId="34585D9B" w14:textId="77777777" w:rsidR="00572010" w:rsidRDefault="00572010" w:rsidP="00572010">
      <w:r w:rsidRPr="00E81D3C">
        <w:t xml:space="preserve">All </w:t>
      </w:r>
      <w:r>
        <w:t>staff</w:t>
      </w:r>
      <w:r w:rsidRPr="00E81D3C">
        <w:t xml:space="preserve"> </w:t>
      </w:r>
      <w:r>
        <w:t>and volunteers hav</w:t>
      </w:r>
      <w:r w:rsidRPr="00E81D3C">
        <w:t>e the right to seek the assistance of the relevant tribunal or legislative body to assist them in the resolution of any concerns.</w:t>
      </w:r>
    </w:p>
    <w:p w14:paraId="3D0BC240" w14:textId="77777777" w:rsidR="00572010" w:rsidRDefault="00572010" w:rsidP="00572010">
      <w:r w:rsidRPr="00E81D3C">
        <w:t xml:space="preserve">Managers or </w:t>
      </w:r>
      <w:r>
        <w:t>s</w:t>
      </w:r>
      <w:r w:rsidRPr="00E81D3C">
        <w:t>upervisors who fail to take appropriate corrective action when aware of harassment of a person will be subject to disciplinary action.</w:t>
      </w:r>
    </w:p>
    <w:p w14:paraId="2CA5F689" w14:textId="330C6C7B" w:rsidR="00FA3A18" w:rsidRDefault="00FA3A18">
      <w:pPr>
        <w:spacing w:before="0" w:after="160"/>
        <w:rPr>
          <w:rFonts w:ascii="Arial Bold" w:hAnsi="Arial Bold" w:cstheme="minorHAnsi"/>
          <w:color w:val="1F3864" w:themeColor="accent1" w:themeShade="80"/>
          <w:sz w:val="30"/>
          <w:szCs w:val="24"/>
        </w:rPr>
      </w:pPr>
    </w:p>
    <w:p w14:paraId="56004411" w14:textId="1F522018" w:rsidR="009D210D" w:rsidRPr="00B904F7" w:rsidRDefault="009D210D" w:rsidP="009D210D">
      <w:pPr>
        <w:pStyle w:val="Heading2"/>
      </w:pPr>
      <w:r w:rsidRPr="00B904F7">
        <w:t>Authorisation</w:t>
      </w:r>
    </w:p>
    <w:p w14:paraId="63403549" w14:textId="135EFF01" w:rsidR="009D210D" w:rsidRPr="004E3294" w:rsidRDefault="009D210D" w:rsidP="009D210D">
      <w:bookmarkStart w:id="1" w:name="_Hlk15981503"/>
      <w:r>
        <w:rPr>
          <w:noProof/>
        </w:rPr>
        <w:drawing>
          <wp:inline distT="0" distB="0" distL="0" distR="0" wp14:anchorId="31492E0D" wp14:editId="5F787E3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fldChar w:fldCharType="begin"/>
      </w:r>
      <w:r>
        <w:instrText xml:space="preserve"> DATE \@ "d MMMM yyyy" </w:instrText>
      </w:r>
      <w:r>
        <w:fldChar w:fldCharType="separate"/>
      </w:r>
      <w:r w:rsidR="00F5664D">
        <w:rPr>
          <w:noProof/>
        </w:rPr>
        <w:t>4 December 2019</w:t>
      </w:r>
      <w:r>
        <w:fldChar w:fldCharType="end"/>
      </w:r>
      <w:r w:rsidRPr="004E3294">
        <w:br/>
      </w:r>
      <w:proofErr w:type="spellStart"/>
      <w:r>
        <w:t>Gentown</w:t>
      </w:r>
      <w:proofErr w:type="spellEnd"/>
      <w:r>
        <w:t xml:space="preserve"> Community &amp; Business Hub</w:t>
      </w:r>
    </w:p>
    <w:bookmarkEnd w:id="1"/>
    <w:p w14:paraId="4D038CC8" w14:textId="77777777" w:rsidR="009D210D" w:rsidRDefault="009D210D">
      <w:pPr>
        <w:spacing w:before="0" w:after="160"/>
        <w:rPr>
          <w:rFonts w:ascii="Arial Black" w:eastAsiaTheme="majorEastAsia" w:hAnsi="Arial Black" w:cstheme="majorBidi"/>
          <w:color w:val="001E45"/>
          <w:sz w:val="44"/>
          <w:szCs w:val="32"/>
        </w:rPr>
      </w:pPr>
      <w:r>
        <w:rPr>
          <w:rFonts w:ascii="Arial Black" w:eastAsiaTheme="majorEastAsia" w:hAnsi="Arial Black" w:cstheme="majorBidi"/>
          <w:color w:val="001E45"/>
          <w:sz w:val="44"/>
          <w:szCs w:val="32"/>
        </w:rPr>
        <w:br w:type="page"/>
      </w:r>
    </w:p>
    <w:p w14:paraId="5437EF8B" w14:textId="43F8224F" w:rsidR="008913AB" w:rsidRDefault="00572010" w:rsidP="00607DE5">
      <w:pPr>
        <w:rPr>
          <w:rFonts w:ascii="Arial Black" w:eastAsiaTheme="majorEastAsia" w:hAnsi="Arial Black" w:cstheme="majorBidi"/>
          <w:color w:val="001E45"/>
          <w:sz w:val="44"/>
          <w:szCs w:val="32"/>
        </w:rPr>
      </w:pPr>
      <w:r w:rsidRPr="00572010">
        <w:rPr>
          <w:rFonts w:ascii="Arial Black" w:eastAsiaTheme="majorEastAsia" w:hAnsi="Arial Black" w:cstheme="majorBidi"/>
          <w:color w:val="001E45"/>
          <w:sz w:val="44"/>
          <w:szCs w:val="32"/>
        </w:rPr>
        <w:lastRenderedPageBreak/>
        <w:t>SEXUAL HARASSMENT PROCEDURES</w:t>
      </w:r>
    </w:p>
    <w:p w14:paraId="21490A64" w14:textId="77777777" w:rsidR="00572010" w:rsidRPr="00607DE5" w:rsidRDefault="00572010" w:rsidP="00607DE5"/>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4AFE2F0D" w:rsidR="00ED1D93" w:rsidRPr="009D30E8" w:rsidRDefault="00DE10DD" w:rsidP="00505A32">
            <w:pPr>
              <w:pStyle w:val="PlainText"/>
              <w:spacing w:before="0" w:after="0"/>
              <w:rPr>
                <w:rFonts w:ascii="Calibri" w:hAnsi="Calibri" w:cs="Arial"/>
                <w:color w:val="FFFFFF" w:themeColor="background1"/>
                <w:szCs w:val="24"/>
                <w:lang w:val="en-US" w:eastAsia="en-US"/>
              </w:rPr>
            </w:pPr>
            <w:r w:rsidRPr="00DE10DD">
              <w:rPr>
                <w:rFonts w:ascii="Calibri" w:hAnsi="Calibri" w:cs="Arial"/>
                <w:color w:val="FFFFFF" w:themeColor="background1"/>
                <w:szCs w:val="24"/>
                <w:lang w:val="en-US" w:eastAsia="en-US"/>
              </w:rPr>
              <w:t>GCBH_Proc003</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0D1F7408"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F5664D">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19688E5F" w:rsidR="00CA69A4" w:rsidRDefault="00CA69A4"/>
    <w:p w14:paraId="031C073E" w14:textId="77777777" w:rsidR="00572010" w:rsidRPr="00AE4258" w:rsidRDefault="00572010" w:rsidP="00572010">
      <w:pPr>
        <w:pStyle w:val="Heading2"/>
      </w:pPr>
      <w:r w:rsidRPr="00AE4258">
        <w:t>Responsibilities</w:t>
      </w:r>
    </w:p>
    <w:p w14:paraId="654E81BB" w14:textId="77777777" w:rsidR="00572010" w:rsidRPr="00E81D3C" w:rsidRDefault="00572010" w:rsidP="00572010">
      <w:r w:rsidRPr="00E81D3C">
        <w:t xml:space="preserve">It is </w:t>
      </w:r>
      <w:r>
        <w:t>the</w:t>
      </w:r>
      <w:r w:rsidRPr="002A4D96">
        <w:t xml:space="preserve"> </w:t>
      </w:r>
      <w:r w:rsidRPr="00E81D3C">
        <w:t xml:space="preserve">responsibility </w:t>
      </w:r>
      <w:r>
        <w:t xml:space="preserve">of the CEO </w:t>
      </w:r>
      <w:r w:rsidRPr="00E81D3C">
        <w:t>to ensure that:</w:t>
      </w:r>
    </w:p>
    <w:p w14:paraId="0FD3C339" w14:textId="77777777" w:rsidR="00572010" w:rsidRDefault="00572010" w:rsidP="00572010">
      <w:pPr>
        <w:numPr>
          <w:ilvl w:val="0"/>
          <w:numId w:val="36"/>
        </w:numPr>
        <w:spacing w:before="60" w:after="120" w:line="240" w:lineRule="auto"/>
        <w:contextualSpacing/>
      </w:pPr>
      <w:r>
        <w:t>t</w:t>
      </w:r>
      <w:r w:rsidRPr="00E81D3C">
        <w:t xml:space="preserve">hey understand and are committed to the rights and entitlements of all </w:t>
      </w:r>
      <w:r>
        <w:t>staff</w:t>
      </w:r>
      <w:r w:rsidRPr="00E81D3C">
        <w:t xml:space="preserve"> to attend work and perform their duties, without fear of being sexually harassed in any form</w:t>
      </w:r>
    </w:p>
    <w:p w14:paraId="49F5157B" w14:textId="77777777" w:rsidR="00572010" w:rsidRPr="00E81D3C" w:rsidRDefault="00572010" w:rsidP="00572010">
      <w:pPr>
        <w:numPr>
          <w:ilvl w:val="0"/>
          <w:numId w:val="36"/>
        </w:numPr>
        <w:spacing w:before="60" w:after="120" w:line="240" w:lineRule="auto"/>
        <w:contextualSpacing/>
      </w:pPr>
      <w:r>
        <w:t xml:space="preserve">they understand what constitutes an act of sexual harassment </w:t>
      </w:r>
    </w:p>
    <w:p w14:paraId="5A45FD3A" w14:textId="77777777" w:rsidR="00572010" w:rsidRPr="00E81D3C" w:rsidRDefault="00572010" w:rsidP="00572010">
      <w:pPr>
        <w:numPr>
          <w:ilvl w:val="0"/>
          <w:numId w:val="36"/>
        </w:numPr>
        <w:spacing w:before="60" w:after="120" w:line="240" w:lineRule="auto"/>
        <w:contextualSpacing/>
      </w:pPr>
      <w:r>
        <w:t>a</w:t>
      </w:r>
      <w:r w:rsidRPr="00E81D3C">
        <w:t xml:space="preserve">ll reasonable steps </w:t>
      </w:r>
      <w:r>
        <w:t xml:space="preserve">are made </w:t>
      </w:r>
      <w:r w:rsidRPr="00E81D3C">
        <w:t>to eliminate sexual harassment</w:t>
      </w:r>
    </w:p>
    <w:p w14:paraId="4A108957" w14:textId="77777777" w:rsidR="00572010" w:rsidRPr="00E81D3C" w:rsidRDefault="00572010" w:rsidP="00572010">
      <w:pPr>
        <w:numPr>
          <w:ilvl w:val="0"/>
          <w:numId w:val="36"/>
        </w:numPr>
        <w:spacing w:before="60" w:after="120" w:line="240" w:lineRule="auto"/>
        <w:contextualSpacing/>
      </w:pPr>
      <w:r>
        <w:t>a</w:t>
      </w:r>
      <w:r w:rsidRPr="00E81D3C">
        <w:t xml:space="preserve">ll </w:t>
      </w:r>
      <w:r>
        <w:t>staff</w:t>
      </w:r>
      <w:r w:rsidRPr="00E81D3C">
        <w:t xml:space="preserve"> </w:t>
      </w:r>
      <w:r>
        <w:t xml:space="preserve">and volunteers </w:t>
      </w:r>
      <w:r w:rsidRPr="00E81D3C">
        <w:t>are regularly made aware of their obligations in relation to providing a workplace free from sexual harassment</w:t>
      </w:r>
    </w:p>
    <w:p w14:paraId="77719E53" w14:textId="77777777" w:rsidR="00572010" w:rsidRPr="00E81D3C" w:rsidRDefault="00572010" w:rsidP="00572010">
      <w:pPr>
        <w:numPr>
          <w:ilvl w:val="0"/>
          <w:numId w:val="36"/>
        </w:numPr>
        <w:spacing w:before="60" w:after="120" w:line="240" w:lineRule="auto"/>
        <w:contextualSpacing/>
      </w:pPr>
      <w:r>
        <w:t xml:space="preserve">they </w:t>
      </w:r>
      <w:r w:rsidRPr="00E81D3C">
        <w:t xml:space="preserve">provide an environment </w:t>
      </w:r>
      <w:r>
        <w:t>that</w:t>
      </w:r>
      <w:r w:rsidRPr="00E81D3C">
        <w:t xml:space="preserve"> discourages harassment and victimisation and set an example by their own behaviour</w:t>
      </w:r>
    </w:p>
    <w:p w14:paraId="5CD3E08B" w14:textId="77777777" w:rsidR="00572010" w:rsidRPr="00E81D3C" w:rsidRDefault="00572010" w:rsidP="00572010">
      <w:pPr>
        <w:numPr>
          <w:ilvl w:val="0"/>
          <w:numId w:val="36"/>
        </w:numPr>
        <w:spacing w:before="60" w:after="120" w:line="240" w:lineRule="auto"/>
        <w:contextualSpacing/>
      </w:pPr>
      <w:r>
        <w:t>t</w:t>
      </w:r>
      <w:r w:rsidRPr="00E81D3C">
        <w:t>hey treat all complaints seriously and confidentially</w:t>
      </w:r>
      <w:r>
        <w:t>, and</w:t>
      </w:r>
    </w:p>
    <w:p w14:paraId="475A2138" w14:textId="77777777" w:rsidR="00572010" w:rsidRDefault="00572010" w:rsidP="00572010">
      <w:pPr>
        <w:numPr>
          <w:ilvl w:val="0"/>
          <w:numId w:val="36"/>
        </w:numPr>
        <w:spacing w:before="60" w:after="120" w:line="240" w:lineRule="auto"/>
        <w:contextualSpacing/>
      </w:pPr>
      <w:r>
        <w:t>t</w:t>
      </w:r>
      <w:r w:rsidRPr="00E81D3C">
        <w:t>hey take immediate and appropriate corrective action if they become aware of any offensive action</w:t>
      </w:r>
      <w:r>
        <w:t xml:space="preserve"> or illegal behaviour.</w:t>
      </w:r>
    </w:p>
    <w:p w14:paraId="67B92A52" w14:textId="77777777" w:rsidR="00572010" w:rsidRPr="00E81D3C" w:rsidRDefault="00572010" w:rsidP="00572010">
      <w:r w:rsidRPr="00E81D3C">
        <w:t xml:space="preserve">It is the </w:t>
      </w:r>
      <w:r>
        <w:t>responsibility of management</w:t>
      </w:r>
      <w:r w:rsidRPr="00E81D3C">
        <w:t xml:space="preserve"> to ensure that:</w:t>
      </w:r>
    </w:p>
    <w:p w14:paraId="459988D8" w14:textId="77777777" w:rsidR="00572010" w:rsidRDefault="00572010" w:rsidP="00572010">
      <w:pPr>
        <w:numPr>
          <w:ilvl w:val="0"/>
          <w:numId w:val="37"/>
        </w:numPr>
        <w:spacing w:before="60" w:after="120" w:line="240" w:lineRule="auto"/>
        <w:contextualSpacing/>
      </w:pPr>
      <w:r>
        <w:t>policies and procedures are regularly reviewed and (if necessary) amended</w:t>
      </w:r>
    </w:p>
    <w:p w14:paraId="2E23A661" w14:textId="77777777" w:rsidR="00572010" w:rsidRDefault="00572010" w:rsidP="00572010">
      <w:pPr>
        <w:numPr>
          <w:ilvl w:val="0"/>
          <w:numId w:val="37"/>
        </w:numPr>
        <w:spacing w:before="60" w:after="120" w:line="240" w:lineRule="auto"/>
        <w:contextualSpacing/>
      </w:pPr>
      <w:r>
        <w:t>policies and procedures are complied with</w:t>
      </w:r>
    </w:p>
    <w:p w14:paraId="28B29DE6" w14:textId="77777777" w:rsidR="00572010" w:rsidRPr="00E81D3C" w:rsidRDefault="00572010" w:rsidP="00572010">
      <w:pPr>
        <w:numPr>
          <w:ilvl w:val="0"/>
          <w:numId w:val="37"/>
        </w:numPr>
        <w:spacing w:before="60" w:after="120" w:line="240" w:lineRule="auto"/>
        <w:contextualSpacing/>
      </w:pPr>
      <w:r>
        <w:t>regular g</w:t>
      </w:r>
      <w:r w:rsidRPr="00E81D3C">
        <w:t>uidance and education is provided</w:t>
      </w:r>
      <w:r>
        <w:t xml:space="preserve"> to staff regarding sexual harassment and inappropriate behaviour in the workplace</w:t>
      </w:r>
    </w:p>
    <w:p w14:paraId="67603F0B" w14:textId="77777777" w:rsidR="00572010" w:rsidRPr="00E81D3C" w:rsidRDefault="00572010" w:rsidP="00572010">
      <w:pPr>
        <w:numPr>
          <w:ilvl w:val="0"/>
          <w:numId w:val="37"/>
        </w:numPr>
        <w:spacing w:before="60" w:after="120" w:line="240" w:lineRule="auto"/>
        <w:contextualSpacing/>
      </w:pPr>
      <w:r>
        <w:t>m</w:t>
      </w:r>
      <w:r w:rsidRPr="00E81D3C">
        <w:t>anage</w:t>
      </w:r>
      <w:r>
        <w:t>rs</w:t>
      </w:r>
      <w:r w:rsidRPr="00E81D3C">
        <w:t xml:space="preserve"> are aware of their obligations and responsibilities in relation to sexual harassment, and the rights and entitlements of their </w:t>
      </w:r>
      <w:r>
        <w:t>staff and volunteers, and</w:t>
      </w:r>
    </w:p>
    <w:p w14:paraId="725F7590" w14:textId="77777777" w:rsidR="00572010" w:rsidRPr="00E81D3C" w:rsidRDefault="00572010" w:rsidP="00572010">
      <w:pPr>
        <w:numPr>
          <w:ilvl w:val="0"/>
          <w:numId w:val="37"/>
        </w:numPr>
        <w:spacing w:before="60" w:after="120" w:line="240" w:lineRule="auto"/>
        <w:contextualSpacing/>
      </w:pPr>
      <w:r>
        <w:t>o</w:t>
      </w:r>
      <w:r w:rsidRPr="00E81D3C">
        <w:t xml:space="preserve">ngoing support and guidance is provided to all </w:t>
      </w:r>
      <w:r>
        <w:t xml:space="preserve">staff </w:t>
      </w:r>
      <w:r w:rsidRPr="00E81D3C">
        <w:t>in relation to the prevention of sexual harassment</w:t>
      </w:r>
      <w:r>
        <w:t>.</w:t>
      </w:r>
    </w:p>
    <w:p w14:paraId="448BFB6F" w14:textId="77777777" w:rsidR="00572010" w:rsidRDefault="00572010">
      <w:pPr>
        <w:spacing w:before="0" w:after="160"/>
        <w:rPr>
          <w:rFonts w:ascii="Arial Bold" w:hAnsi="Arial Bold" w:cstheme="minorHAnsi"/>
          <w:color w:val="1F3864" w:themeColor="accent1" w:themeShade="80"/>
          <w:sz w:val="30"/>
          <w:szCs w:val="24"/>
        </w:rPr>
      </w:pPr>
      <w:bookmarkStart w:id="2" w:name="_Hlk23425832"/>
      <w:r>
        <w:br w:type="page"/>
      </w:r>
    </w:p>
    <w:p w14:paraId="6C9F3224" w14:textId="683E994D" w:rsidR="00572010" w:rsidRPr="00AE4258" w:rsidRDefault="00572010" w:rsidP="00572010">
      <w:pPr>
        <w:pStyle w:val="Heading2"/>
      </w:pPr>
      <w:r w:rsidRPr="00AE4258">
        <w:lastRenderedPageBreak/>
        <w:t>Proce</w:t>
      </w:r>
      <w:r>
        <w:t>dur</w:t>
      </w:r>
      <w:r w:rsidRPr="00AE4258">
        <w:t>es</w:t>
      </w:r>
    </w:p>
    <w:p w14:paraId="3253780E" w14:textId="2250B3F1" w:rsidR="00572010" w:rsidRPr="00572010" w:rsidRDefault="00572010" w:rsidP="00572010">
      <w:pPr>
        <w:rPr>
          <w:b/>
        </w:rPr>
      </w:pPr>
      <w:r w:rsidRPr="00572010">
        <w:rPr>
          <w:b/>
        </w:rPr>
        <w:t>Complaint Process</w:t>
      </w:r>
    </w:p>
    <w:p w14:paraId="473176FE" w14:textId="77777777" w:rsidR="00572010" w:rsidRPr="00E81D3C" w:rsidRDefault="00572010" w:rsidP="00572010">
      <w:r w:rsidRPr="00E81D3C">
        <w:t xml:space="preserve">Sexual harassment can occur at any level of the organisation, can be experienced by both men and women and may involve a co-worker, </w:t>
      </w:r>
      <w:r>
        <w:t>volunteer, s</w:t>
      </w:r>
      <w:r w:rsidRPr="00E81D3C">
        <w:t xml:space="preserve">upervisor, </w:t>
      </w:r>
      <w:r>
        <w:t>m</w:t>
      </w:r>
      <w:r w:rsidRPr="00E81D3C">
        <w:t>anager, service provider, client or customer. Lack of intent is no defen</w:t>
      </w:r>
      <w:r>
        <w:t>c</w:t>
      </w:r>
      <w:r w:rsidRPr="00E81D3C">
        <w:t xml:space="preserve">e in sexual harassment cases. </w:t>
      </w:r>
    </w:p>
    <w:p w14:paraId="4FAEDA2B" w14:textId="77777777" w:rsidR="00572010" w:rsidRPr="00E81D3C" w:rsidRDefault="00572010" w:rsidP="00572010">
      <w:r>
        <w:t>Staff</w:t>
      </w:r>
      <w:r w:rsidRPr="00E81D3C">
        <w:t xml:space="preserve"> </w:t>
      </w:r>
      <w:r>
        <w:t xml:space="preserve">or volunteers </w:t>
      </w:r>
      <w:r w:rsidRPr="00E81D3C">
        <w:t>who believe they are the subject of sexual harassment should take firm, positive and prompt action.</w:t>
      </w:r>
    </w:p>
    <w:p w14:paraId="01F4930B" w14:textId="77777777" w:rsidR="00572010" w:rsidRPr="00E81D3C" w:rsidRDefault="00572010" w:rsidP="00572010">
      <w:r>
        <w:t>Where possible,</w:t>
      </w:r>
      <w:r w:rsidRPr="00E81D3C">
        <w:t xml:space="preserve"> </w:t>
      </w:r>
      <w:r>
        <w:t>staff</w:t>
      </w:r>
      <w:r w:rsidRPr="00E81D3C">
        <w:t xml:space="preserve"> </w:t>
      </w:r>
      <w:r>
        <w:t xml:space="preserve">or volunteers </w:t>
      </w:r>
      <w:r w:rsidRPr="00E81D3C">
        <w:t xml:space="preserve">should make the perceived harasser(s) aware that they find their behaviour offensive, unwelcome, unacceptable, and </w:t>
      </w:r>
      <w:r>
        <w:t xml:space="preserve">that it </w:t>
      </w:r>
      <w:r w:rsidRPr="00E81D3C">
        <w:t xml:space="preserve">needs to stop immediately.  </w:t>
      </w:r>
    </w:p>
    <w:p w14:paraId="1EB9C44C" w14:textId="77777777" w:rsidR="00572010" w:rsidRDefault="00572010" w:rsidP="00572010">
      <w:r w:rsidRPr="00E81D3C">
        <w:t xml:space="preserve">If the behaviour continues, or if </w:t>
      </w:r>
      <w:r>
        <w:t>staff or volunteers</w:t>
      </w:r>
      <w:r w:rsidRPr="00E81D3C">
        <w:t xml:space="preserve"> feel unable to speak to the person(s) directly, they should contact the</w:t>
      </w:r>
      <w:r>
        <w:t>ir supervisor or manager</w:t>
      </w:r>
      <w:r w:rsidRPr="00E81D3C">
        <w:t>. Alternatively</w:t>
      </w:r>
      <w:r>
        <w:t>,</w:t>
      </w:r>
      <w:r w:rsidRPr="00E81D3C">
        <w:t xml:space="preserve"> </w:t>
      </w:r>
      <w:r>
        <w:t xml:space="preserve">staff or volunteers </w:t>
      </w:r>
      <w:r w:rsidRPr="00E81D3C">
        <w:t xml:space="preserve">may contact the </w:t>
      </w:r>
      <w:r>
        <w:t>h</w:t>
      </w:r>
      <w:r w:rsidRPr="00E81D3C">
        <w:t xml:space="preserve">uman </w:t>
      </w:r>
      <w:r>
        <w:t>r</w:t>
      </w:r>
      <w:r w:rsidRPr="00E81D3C">
        <w:t xml:space="preserve">esources </w:t>
      </w:r>
      <w:r>
        <w:t>manager</w:t>
      </w:r>
      <w:r w:rsidRPr="00E81D3C">
        <w:t xml:space="preserve"> or another </w:t>
      </w:r>
      <w:r>
        <w:t>m</w:t>
      </w:r>
      <w:r w:rsidRPr="00E81D3C">
        <w:t xml:space="preserve">anager they feel comfortable with. </w:t>
      </w:r>
    </w:p>
    <w:p w14:paraId="57AC4D09" w14:textId="77777777" w:rsidR="00572010" w:rsidRDefault="00572010" w:rsidP="00572010">
      <w:r w:rsidRPr="00E81D3C">
        <w:t xml:space="preserve">The </w:t>
      </w:r>
      <w:r>
        <w:t>m</w:t>
      </w:r>
      <w:r w:rsidRPr="00E81D3C">
        <w:t>anager will provide support</w:t>
      </w:r>
      <w:r>
        <w:t xml:space="preserve"> and</w:t>
      </w:r>
      <w:r w:rsidRPr="00E81D3C">
        <w:t xml:space="preserve"> ascertain the nature of the complaint and the wishes of the complainant.  </w:t>
      </w:r>
    </w:p>
    <w:p w14:paraId="098DF89B" w14:textId="77777777" w:rsidR="00572010" w:rsidRPr="00572010" w:rsidRDefault="00572010" w:rsidP="00572010">
      <w:pPr>
        <w:rPr>
          <w:b/>
        </w:rPr>
      </w:pPr>
      <w:r w:rsidRPr="00572010">
        <w:rPr>
          <w:b/>
        </w:rPr>
        <w:t>Informal Intervention</w:t>
      </w:r>
    </w:p>
    <w:p w14:paraId="268704BD" w14:textId="77777777" w:rsidR="00572010" w:rsidRPr="00E81D3C" w:rsidRDefault="00572010" w:rsidP="00572010">
      <w:r w:rsidRPr="00E81D3C">
        <w:t xml:space="preserve">The </w:t>
      </w:r>
      <w:r>
        <w:t>m</w:t>
      </w:r>
      <w:r w:rsidRPr="00E81D3C">
        <w:t xml:space="preserve">anager will explain the </w:t>
      </w:r>
      <w:r>
        <w:t>staff or volunteer</w:t>
      </w:r>
      <w:r w:rsidRPr="00E81D3C">
        <w:t xml:space="preserve">’s rights and responsibilities under </w:t>
      </w:r>
      <w:r>
        <w:t xml:space="preserve">the organisation’s </w:t>
      </w:r>
      <w:r w:rsidRPr="00E81D3C">
        <w:t>policy, procedures and E</w:t>
      </w:r>
      <w:r>
        <w:t xml:space="preserve">qual Employment Opportunity or </w:t>
      </w:r>
      <w:r w:rsidRPr="00E81D3C">
        <w:t>anti-discrimination legislation.</w:t>
      </w:r>
    </w:p>
    <w:p w14:paraId="24CD8381" w14:textId="77777777" w:rsidR="00572010" w:rsidRPr="00E81D3C" w:rsidRDefault="00572010" w:rsidP="00572010">
      <w:r w:rsidRPr="00E81D3C">
        <w:t xml:space="preserve">Informal </w:t>
      </w:r>
      <w:r>
        <w:t>i</w:t>
      </w:r>
      <w:r w:rsidRPr="00E81D3C">
        <w:t xml:space="preserve">ntervention may be </w:t>
      </w:r>
      <w:r>
        <w:t xml:space="preserve">undertaken </w:t>
      </w:r>
      <w:r w:rsidRPr="00E81D3C">
        <w:t xml:space="preserve">through a process of mediation or conciliation. During </w:t>
      </w:r>
      <w:r>
        <w:t>i</w:t>
      </w:r>
      <w:r w:rsidRPr="00E81D3C">
        <w:t xml:space="preserve">nformal </w:t>
      </w:r>
      <w:r>
        <w:t>i</w:t>
      </w:r>
      <w:r w:rsidRPr="00E81D3C">
        <w:t>ntervention the alleged harasser will be made aware of the allegations being made against them and given the right to respond.</w:t>
      </w:r>
    </w:p>
    <w:p w14:paraId="7B3AB238" w14:textId="77777777" w:rsidR="00572010" w:rsidRDefault="00572010" w:rsidP="00572010">
      <w:r w:rsidRPr="00E81D3C">
        <w:t xml:space="preserve">This procedure will be complete when the </w:t>
      </w:r>
      <w:r>
        <w:t xml:space="preserve">complainant and the </w:t>
      </w:r>
      <w:r w:rsidRPr="00E81D3C">
        <w:t xml:space="preserve">respondent </w:t>
      </w:r>
      <w:r>
        <w:t>come to an agreement on the procedure to be followed</w:t>
      </w:r>
      <w:r w:rsidRPr="00E81D3C">
        <w:t xml:space="preserve">. </w:t>
      </w:r>
    </w:p>
    <w:p w14:paraId="15D3FDB1" w14:textId="72E460EA" w:rsidR="00572010" w:rsidRPr="00572010" w:rsidRDefault="00572010" w:rsidP="00572010">
      <w:pPr>
        <w:rPr>
          <w:b/>
        </w:rPr>
      </w:pPr>
      <w:r w:rsidRPr="00572010">
        <w:rPr>
          <w:b/>
        </w:rPr>
        <w:t>Formal Complaints Procedure</w:t>
      </w:r>
    </w:p>
    <w:p w14:paraId="00B81FC9" w14:textId="77777777" w:rsidR="00572010" w:rsidRDefault="00572010" w:rsidP="00572010">
      <w:r>
        <w:t xml:space="preserve">The manager may be obliged to carry out a formal investigation in relation to a complaint of sexual harassment. </w:t>
      </w:r>
    </w:p>
    <w:p w14:paraId="32A80324" w14:textId="77777777" w:rsidR="00572010" w:rsidRDefault="00572010" w:rsidP="00572010">
      <w:r w:rsidRPr="00E81D3C">
        <w:t xml:space="preserve">The formal procedure will be co-ordinated by the </w:t>
      </w:r>
      <w:r>
        <w:t>m</w:t>
      </w:r>
      <w:r w:rsidRPr="00E81D3C">
        <w:t>anager</w:t>
      </w:r>
      <w:r>
        <w:t>,</w:t>
      </w:r>
      <w:r w:rsidRPr="00E81D3C">
        <w:t xml:space="preserve"> who will be guided by the </w:t>
      </w:r>
      <w:r>
        <w:t>h</w:t>
      </w:r>
      <w:r w:rsidRPr="00E81D3C">
        <w:t xml:space="preserve">uman </w:t>
      </w:r>
      <w:r>
        <w:t>r</w:t>
      </w:r>
      <w:r w:rsidRPr="00E81D3C">
        <w:t xml:space="preserve">esources </w:t>
      </w:r>
      <w:r>
        <w:t>m</w:t>
      </w:r>
      <w:r w:rsidRPr="00E81D3C">
        <w:t>anager</w:t>
      </w:r>
      <w:r>
        <w:t xml:space="preserve"> or CEO as appropriate</w:t>
      </w:r>
      <w:r w:rsidRPr="00E81D3C">
        <w:t xml:space="preserve">. </w:t>
      </w:r>
    </w:p>
    <w:p w14:paraId="728D3A7E" w14:textId="77777777" w:rsidR="00572010" w:rsidRDefault="00572010" w:rsidP="00572010">
      <w:r w:rsidRPr="00870D60">
        <w:t xml:space="preserve">Formal investigations may be conducted </w:t>
      </w:r>
      <w:r>
        <w:t>internally (by a manager or officer)</w:t>
      </w:r>
      <w:r w:rsidRPr="00870D60">
        <w:t xml:space="preserve"> or </w:t>
      </w:r>
      <w:r>
        <w:t>by an external investigator</w:t>
      </w:r>
      <w:r w:rsidRPr="00870D60">
        <w:t xml:space="preserve">. </w:t>
      </w:r>
    </w:p>
    <w:p w14:paraId="2F09E4E1" w14:textId="77777777" w:rsidR="00572010" w:rsidRPr="00F008B7" w:rsidRDefault="00572010" w:rsidP="00572010">
      <w:r w:rsidRPr="00870D60">
        <w:lastRenderedPageBreak/>
        <w:t xml:space="preserve">An investigation involves collecting information about the complaint and then making a finding </w:t>
      </w:r>
      <w:r>
        <w:t xml:space="preserve">(on the balance of probabilities) </w:t>
      </w:r>
      <w:r w:rsidRPr="00870D60">
        <w:t xml:space="preserve">based on the available information as to </w:t>
      </w:r>
      <w:proofErr w:type="gramStart"/>
      <w:r w:rsidRPr="00870D60">
        <w:t>whether or not</w:t>
      </w:r>
      <w:proofErr w:type="gramEnd"/>
      <w:r w:rsidRPr="00870D60">
        <w:t xml:space="preserve"> the alleged behaviour occurred. Once a finding is made, the </w:t>
      </w:r>
      <w:r>
        <w:t>investigator</w:t>
      </w:r>
      <w:r w:rsidRPr="00870D60">
        <w:t xml:space="preserve"> will make recommendations about resolving the complaint</w:t>
      </w:r>
      <w:r>
        <w:t xml:space="preserve"> or implementing disciplinary action (including termination of employment)</w:t>
      </w:r>
      <w:r w:rsidRPr="00870D60">
        <w:t>.</w:t>
      </w:r>
    </w:p>
    <w:p w14:paraId="299E5997" w14:textId="77777777" w:rsidR="00572010" w:rsidRPr="00F008B7" w:rsidRDefault="00572010" w:rsidP="00572010">
      <w:r>
        <w:t>The investigator may need to interview the parties involved (which may include the complainant, the respondent, and any witnesses) to obtain information regarding the complaint</w:t>
      </w:r>
      <w:r w:rsidRPr="00F008B7">
        <w:t xml:space="preserve">. The </w:t>
      </w:r>
      <w:r>
        <w:t>investigator</w:t>
      </w:r>
      <w:r w:rsidRPr="00F008B7">
        <w:t xml:space="preserve"> will </w:t>
      </w:r>
      <w:r>
        <w:t xml:space="preserve">comprehensively and accurately </w:t>
      </w:r>
      <w:r w:rsidRPr="00F008B7">
        <w:t xml:space="preserve">document all </w:t>
      </w:r>
      <w:r>
        <w:t>information obtained during the</w:t>
      </w:r>
      <w:r w:rsidRPr="00F008B7">
        <w:t xml:space="preserve"> interviews </w:t>
      </w:r>
      <w:r>
        <w:t xml:space="preserve">including the </w:t>
      </w:r>
      <w:r w:rsidRPr="00F008B7">
        <w:t>parties involved, timing, location, and nature of conduct complained against.</w:t>
      </w:r>
    </w:p>
    <w:p w14:paraId="3ADFC521" w14:textId="77777777" w:rsidR="00572010" w:rsidRDefault="00572010" w:rsidP="00572010">
      <w:r w:rsidRPr="0095228B">
        <w:t xml:space="preserve">If the </w:t>
      </w:r>
      <w:r>
        <w:t xml:space="preserve">investigator </w:t>
      </w:r>
      <w:r w:rsidRPr="0095228B">
        <w:t xml:space="preserve">considers it appropriate for the safe and efficient conduct of an investigation, workplace participants may be </w:t>
      </w:r>
      <w:r>
        <w:t>stood down from work or provided with</w:t>
      </w:r>
      <w:r w:rsidRPr="0095228B">
        <w:t xml:space="preserve"> alternative duties </w:t>
      </w:r>
      <w:r>
        <w:t xml:space="preserve">during an investigation in which case they </w:t>
      </w:r>
      <w:r w:rsidRPr="0095228B">
        <w:t>will be paid their normal pay during any such period</w:t>
      </w:r>
      <w:r>
        <w:t>.</w:t>
      </w:r>
    </w:p>
    <w:p w14:paraId="359A6392" w14:textId="77777777" w:rsidR="00572010" w:rsidRPr="00E81D3C" w:rsidRDefault="00572010" w:rsidP="00572010">
      <w:r>
        <w:t xml:space="preserve">Throughout the investigation process, all parties involved in the investigation will be regularly kept informed about the investigation. </w:t>
      </w:r>
    </w:p>
    <w:p w14:paraId="7EEAB70B" w14:textId="77777777" w:rsidR="00572010" w:rsidRDefault="00572010" w:rsidP="00572010">
      <w:r w:rsidRPr="00E81D3C">
        <w:t>Records are to be kept and filed in a confidential and secure place. If no confidential area is available</w:t>
      </w:r>
      <w:r>
        <w:t>,</w:t>
      </w:r>
      <w:r w:rsidRPr="00E81D3C">
        <w:t xml:space="preserve"> these notes may be sealed and forwarded to the </w:t>
      </w:r>
      <w:r>
        <w:t>h</w:t>
      </w:r>
      <w:r w:rsidRPr="00E81D3C">
        <w:t xml:space="preserve">uman </w:t>
      </w:r>
      <w:r>
        <w:t>r</w:t>
      </w:r>
      <w:r w:rsidRPr="00E81D3C">
        <w:t>esources</w:t>
      </w:r>
      <w:r>
        <w:t xml:space="preserve"> manager or the CEO</w:t>
      </w:r>
      <w:r w:rsidRPr="00E81D3C">
        <w:t xml:space="preserve">, </w:t>
      </w:r>
      <w:r>
        <w:t>and the documents</w:t>
      </w:r>
      <w:r w:rsidRPr="00E81D3C">
        <w:t xml:space="preserve"> will be maintained, unopened, in a confidential filing system. These records should be kept for a period of </w:t>
      </w:r>
      <w:r>
        <w:t>seven</w:t>
      </w:r>
      <w:r w:rsidRPr="00E81D3C">
        <w:t xml:space="preserve"> years. Under no circumstances will records be placed on the complainant</w:t>
      </w:r>
      <w:r>
        <w:t>’</w:t>
      </w:r>
      <w:r w:rsidRPr="00E81D3C">
        <w:t>s personnel file.</w:t>
      </w:r>
    </w:p>
    <w:p w14:paraId="0D7D2D7D" w14:textId="77777777" w:rsidR="00572010" w:rsidRPr="00F008B7" w:rsidRDefault="00572010" w:rsidP="00572010">
      <w:proofErr w:type="gramStart"/>
      <w:r>
        <w:t>On the basis of</w:t>
      </w:r>
      <w:proofErr w:type="gramEnd"/>
      <w:r>
        <w:t xml:space="preserve"> the findings, p</w:t>
      </w:r>
      <w:r w:rsidRPr="00F008B7">
        <w:t xml:space="preserve">ossible </w:t>
      </w:r>
      <w:r>
        <w:t>outcomes of the investigation</w:t>
      </w:r>
      <w:r w:rsidRPr="00F008B7">
        <w:t xml:space="preserve"> may include, but will not be limited to, any combination of the following:</w:t>
      </w:r>
    </w:p>
    <w:p w14:paraId="1646DE11" w14:textId="77777777" w:rsidR="00572010" w:rsidRPr="00E81D3C" w:rsidRDefault="00572010" w:rsidP="00572010">
      <w:pPr>
        <w:numPr>
          <w:ilvl w:val="0"/>
          <w:numId w:val="38"/>
        </w:numPr>
        <w:spacing w:before="60" w:after="120" w:line="240" w:lineRule="auto"/>
        <w:contextualSpacing/>
      </w:pPr>
      <w:r>
        <w:t>C</w:t>
      </w:r>
      <w:r w:rsidRPr="00E81D3C">
        <w:t>ounselling</w:t>
      </w:r>
    </w:p>
    <w:p w14:paraId="37C1FADB" w14:textId="77777777" w:rsidR="00572010" w:rsidRPr="00E81D3C" w:rsidRDefault="00572010" w:rsidP="00572010">
      <w:pPr>
        <w:numPr>
          <w:ilvl w:val="0"/>
          <w:numId w:val="38"/>
        </w:numPr>
        <w:spacing w:before="60" w:after="120" w:line="240" w:lineRule="auto"/>
        <w:contextualSpacing/>
      </w:pPr>
      <w:r>
        <w:t>D</w:t>
      </w:r>
      <w:r w:rsidRPr="00E81D3C">
        <w:t>isciplinary action against the harasser (e</w:t>
      </w:r>
      <w:r>
        <w:t>.</w:t>
      </w:r>
      <w:r w:rsidRPr="00E81D3C">
        <w:t>g</w:t>
      </w:r>
      <w:r>
        <w:t>.</w:t>
      </w:r>
      <w:r w:rsidRPr="00E81D3C">
        <w:t xml:space="preserve"> demotion, transfer, suspension, probation or dismissal)</w:t>
      </w:r>
    </w:p>
    <w:p w14:paraId="27C184BE" w14:textId="77777777" w:rsidR="00572010" w:rsidRPr="00E81D3C" w:rsidRDefault="00572010" w:rsidP="00572010">
      <w:pPr>
        <w:numPr>
          <w:ilvl w:val="0"/>
          <w:numId w:val="38"/>
        </w:numPr>
        <w:spacing w:before="60" w:after="120" w:line="240" w:lineRule="auto"/>
        <w:contextualSpacing/>
      </w:pPr>
      <w:r>
        <w:t>O</w:t>
      </w:r>
      <w:r w:rsidRPr="00E81D3C">
        <w:t>fficial warnings that are noted in the respondent’s personnel file</w:t>
      </w:r>
    </w:p>
    <w:p w14:paraId="460E370D" w14:textId="77777777" w:rsidR="00572010" w:rsidRPr="00E81D3C" w:rsidRDefault="00572010" w:rsidP="00572010">
      <w:pPr>
        <w:numPr>
          <w:ilvl w:val="0"/>
          <w:numId w:val="38"/>
        </w:numPr>
        <w:spacing w:before="60" w:after="120" w:line="240" w:lineRule="auto"/>
        <w:contextualSpacing/>
      </w:pPr>
      <w:r>
        <w:t>D</w:t>
      </w:r>
      <w:r w:rsidRPr="00E81D3C">
        <w:t>isciplinary action against the person who complained if there is strong evidence that the complaint was vexatious or malicious</w:t>
      </w:r>
    </w:p>
    <w:p w14:paraId="2A62D93F" w14:textId="77777777" w:rsidR="00572010" w:rsidRPr="00E81D3C" w:rsidRDefault="00572010" w:rsidP="00572010">
      <w:pPr>
        <w:numPr>
          <w:ilvl w:val="0"/>
          <w:numId w:val="38"/>
        </w:numPr>
        <w:spacing w:before="60" w:after="120" w:line="240" w:lineRule="auto"/>
        <w:contextualSpacing/>
      </w:pPr>
      <w:r>
        <w:t>F</w:t>
      </w:r>
      <w:r w:rsidRPr="00E81D3C">
        <w:t>ormal apologies and undertaking that the behaviour will cease</w:t>
      </w:r>
    </w:p>
    <w:p w14:paraId="2D351277" w14:textId="77777777" w:rsidR="00572010" w:rsidRPr="00E81D3C" w:rsidRDefault="00572010" w:rsidP="00572010">
      <w:pPr>
        <w:numPr>
          <w:ilvl w:val="0"/>
          <w:numId w:val="38"/>
        </w:numPr>
        <w:spacing w:before="60" w:after="120" w:line="240" w:lineRule="auto"/>
        <w:contextualSpacing/>
      </w:pPr>
      <w:r>
        <w:t>C</w:t>
      </w:r>
      <w:r w:rsidRPr="00E81D3C">
        <w:t>onciliation/mediation conducted by an impartial third party where the parties to the complaint agree to a mutually acceptable resolution</w:t>
      </w:r>
    </w:p>
    <w:p w14:paraId="68122B21" w14:textId="77777777" w:rsidR="00572010" w:rsidRPr="00E81D3C" w:rsidRDefault="00572010" w:rsidP="00572010">
      <w:pPr>
        <w:numPr>
          <w:ilvl w:val="0"/>
          <w:numId w:val="38"/>
        </w:numPr>
        <w:spacing w:before="60" w:after="120" w:line="240" w:lineRule="auto"/>
        <w:contextualSpacing/>
      </w:pPr>
      <w:r>
        <w:t>R</w:t>
      </w:r>
      <w:r w:rsidRPr="00E81D3C">
        <w:t>eimbursing any costs associated with the harassment</w:t>
      </w:r>
    </w:p>
    <w:p w14:paraId="1C0D9145" w14:textId="77777777" w:rsidR="00572010" w:rsidRPr="00E81D3C" w:rsidRDefault="00572010" w:rsidP="00572010">
      <w:pPr>
        <w:numPr>
          <w:ilvl w:val="0"/>
          <w:numId w:val="38"/>
        </w:numPr>
        <w:spacing w:before="60" w:after="120" w:line="240" w:lineRule="auto"/>
        <w:contextualSpacing/>
      </w:pPr>
      <w:r>
        <w:t>R</w:t>
      </w:r>
      <w:r w:rsidRPr="00E81D3C">
        <w:t xml:space="preserve">e-crediting any leave taken </w:t>
      </w:r>
      <w:proofErr w:type="gramStart"/>
      <w:r w:rsidRPr="00E81D3C">
        <w:t>as a result of</w:t>
      </w:r>
      <w:proofErr w:type="gramEnd"/>
      <w:r w:rsidRPr="00E81D3C">
        <w:t xml:space="preserve"> the harassment</w:t>
      </w:r>
      <w:r>
        <w:t>.</w:t>
      </w:r>
    </w:p>
    <w:p w14:paraId="1782233D" w14:textId="77777777" w:rsidR="00572010" w:rsidRDefault="00572010" w:rsidP="00572010">
      <w:r>
        <w:t xml:space="preserve">On completion of the investigation, all parties will be informed about the investigation findings and the outcome of the investigation – as appropriate and in line with confidentiality obligations. </w:t>
      </w:r>
    </w:p>
    <w:p w14:paraId="768EA9C2" w14:textId="77777777" w:rsidR="00572010" w:rsidRDefault="00572010" w:rsidP="00572010">
      <w:r>
        <w:lastRenderedPageBreak/>
        <w:t>Following an investigation concerning a sexual harassment complaint (irrespective of the findings), the m</w:t>
      </w:r>
      <w:r w:rsidRPr="00F008B7">
        <w:t>anager will:</w:t>
      </w:r>
    </w:p>
    <w:p w14:paraId="5A136612" w14:textId="77777777" w:rsidR="00572010" w:rsidRDefault="00572010" w:rsidP="00572010">
      <w:pPr>
        <w:pStyle w:val="ListParagraph"/>
        <w:numPr>
          <w:ilvl w:val="0"/>
          <w:numId w:val="39"/>
        </w:numPr>
      </w:pPr>
      <w:r>
        <w:t>consult with the parties involved to monitor the situation and their wellbeing; and</w:t>
      </w:r>
    </w:p>
    <w:p w14:paraId="353F9E46" w14:textId="77777777" w:rsidR="00572010" w:rsidRPr="00F008B7" w:rsidRDefault="00572010" w:rsidP="00572010">
      <w:pPr>
        <w:pStyle w:val="ListParagraph"/>
        <w:numPr>
          <w:ilvl w:val="0"/>
          <w:numId w:val="39"/>
        </w:numPr>
      </w:pPr>
      <w:r>
        <w:t>educate and remind all staff</w:t>
      </w:r>
      <w:r w:rsidRPr="0061704F">
        <w:t xml:space="preserve"> and volunteers of their obligations and responsibilities in relation to providing a workplace free from </w:t>
      </w:r>
      <w:r>
        <w:t>harassment.</w:t>
      </w:r>
    </w:p>
    <w:p w14:paraId="64A7C62F" w14:textId="46BE33A4" w:rsidR="00572010" w:rsidRPr="00E81D3C" w:rsidRDefault="00572010" w:rsidP="00572010">
      <w:r w:rsidRPr="00E81D3C">
        <w:t>If ther</w:t>
      </w:r>
      <w:r>
        <w:t>e</w:t>
      </w:r>
      <w:r w:rsidRPr="00E81D3C">
        <w:t xml:space="preserve"> has been any substantiated victimisation, disciplinary procedures will be followed.</w:t>
      </w:r>
    </w:p>
    <w:p w14:paraId="136AE25A" w14:textId="77777777" w:rsidR="00572010" w:rsidRPr="00572010" w:rsidRDefault="00572010" w:rsidP="00572010">
      <w:pPr>
        <w:rPr>
          <w:b/>
        </w:rPr>
      </w:pPr>
      <w:r w:rsidRPr="00572010">
        <w:rPr>
          <w:b/>
        </w:rPr>
        <w:t>Procedures for Dealing with Criminal Conduct</w:t>
      </w:r>
    </w:p>
    <w:p w14:paraId="067A520B" w14:textId="77777777" w:rsidR="00572010" w:rsidRDefault="00572010" w:rsidP="00572010">
      <w:r w:rsidRPr="00E81D3C">
        <w:t xml:space="preserve">Some forms of sexual harassment </w:t>
      </w:r>
      <w:r>
        <w:t>(</w:t>
      </w:r>
      <w:r w:rsidRPr="00E81D3C">
        <w:t>e</w:t>
      </w:r>
      <w:r>
        <w:t>.</w:t>
      </w:r>
      <w:r w:rsidRPr="00E81D3C">
        <w:t>g</w:t>
      </w:r>
      <w:r>
        <w:t>.</w:t>
      </w:r>
      <w:r w:rsidRPr="00E81D3C">
        <w:t xml:space="preserve"> sexual assault, stalking, indecent exposure, physical molestation, obscene phone calls</w:t>
      </w:r>
      <w:r>
        <w:t>)</w:t>
      </w:r>
      <w:r w:rsidRPr="00E81D3C">
        <w:t xml:space="preserve"> may constitute criminal conduct. </w:t>
      </w:r>
    </w:p>
    <w:p w14:paraId="1DAA1E14" w14:textId="77777777" w:rsidR="00572010" w:rsidRPr="00E81D3C" w:rsidRDefault="00572010" w:rsidP="00572010">
      <w:r w:rsidRPr="00E81D3C">
        <w:t xml:space="preserve">Such complaints should be </w:t>
      </w:r>
      <w:r>
        <w:t>dealt with</w:t>
      </w:r>
      <w:r w:rsidRPr="00E81D3C">
        <w:t xml:space="preserve"> by the </w:t>
      </w:r>
      <w:r>
        <w:t xml:space="preserve">relevant authorities (such as the police) as part of the </w:t>
      </w:r>
      <w:r w:rsidRPr="00E81D3C">
        <w:t>criminal justice system.</w:t>
      </w:r>
    </w:p>
    <w:p w14:paraId="18325777" w14:textId="77777777" w:rsidR="009D210D" w:rsidRDefault="009D210D" w:rsidP="009D210D">
      <w:pPr>
        <w:keepNext/>
        <w:keepLines/>
        <w:spacing w:before="40" w:after="0"/>
        <w:outlineLvl w:val="1"/>
        <w:rPr>
          <w:rFonts w:ascii="Arial Bold" w:eastAsiaTheme="majorEastAsia" w:hAnsi="Arial Bold" w:cstheme="majorBidi"/>
          <w:color w:val="001E45"/>
          <w:sz w:val="30"/>
          <w:szCs w:val="26"/>
        </w:rPr>
      </w:pPr>
    </w:p>
    <w:p w14:paraId="4465FAB7" w14:textId="51612E19" w:rsidR="009D210D" w:rsidRPr="009D210D" w:rsidRDefault="009D210D" w:rsidP="009D210D">
      <w:pPr>
        <w:keepNext/>
        <w:keepLines/>
        <w:spacing w:before="40" w:after="0"/>
        <w:outlineLvl w:val="1"/>
        <w:rPr>
          <w:rFonts w:ascii="Arial Bold" w:eastAsiaTheme="majorEastAsia" w:hAnsi="Arial Bold" w:cstheme="majorBidi"/>
          <w:color w:val="001E45"/>
          <w:sz w:val="30"/>
          <w:szCs w:val="26"/>
        </w:rPr>
      </w:pPr>
      <w:r w:rsidRPr="009D210D">
        <w:rPr>
          <w:rFonts w:ascii="Arial Bold" w:eastAsiaTheme="majorEastAsia" w:hAnsi="Arial Bold" w:cstheme="majorBidi"/>
          <w:color w:val="001E45"/>
          <w:sz w:val="30"/>
          <w:szCs w:val="26"/>
        </w:rPr>
        <w:t>Related Documents</w:t>
      </w:r>
      <w:bookmarkEnd w:id="2"/>
    </w:p>
    <w:p w14:paraId="1D459B3C" w14:textId="2332A05B" w:rsidR="00572010" w:rsidRDefault="00572010" w:rsidP="00572010">
      <w:pPr>
        <w:pStyle w:val="ListParagraph"/>
        <w:numPr>
          <w:ilvl w:val="0"/>
          <w:numId w:val="41"/>
        </w:numPr>
      </w:pPr>
      <w:r w:rsidRPr="00A47192">
        <w:t>Bullying Policy</w:t>
      </w:r>
      <w:r>
        <w:t xml:space="preserve"> </w:t>
      </w:r>
    </w:p>
    <w:p w14:paraId="12611D7F" w14:textId="77777777" w:rsidR="00572010" w:rsidRDefault="00572010" w:rsidP="00572010">
      <w:pPr>
        <w:pStyle w:val="ListParagraph"/>
        <w:numPr>
          <w:ilvl w:val="0"/>
          <w:numId w:val="41"/>
        </w:numPr>
      </w:pPr>
      <w:r>
        <w:t>Complaints Handling</w:t>
      </w:r>
    </w:p>
    <w:p w14:paraId="36EB7A97" w14:textId="05265AB8" w:rsidR="009D210D" w:rsidRDefault="009D210D" w:rsidP="009D210D">
      <w:pPr>
        <w:spacing w:before="0" w:after="0"/>
        <w:ind w:left="709"/>
        <w:rPr>
          <w:rFonts w:cs="Arial"/>
        </w:rPr>
      </w:pPr>
    </w:p>
    <w:p w14:paraId="04F4A951" w14:textId="77777777" w:rsidR="008913AB" w:rsidRPr="008913AB" w:rsidRDefault="008913AB" w:rsidP="008913AB">
      <w:pPr>
        <w:keepNext/>
        <w:keepLines/>
        <w:spacing w:before="40" w:after="0"/>
        <w:outlineLvl w:val="1"/>
        <w:rPr>
          <w:rFonts w:ascii="Arial Bold" w:eastAsiaTheme="majorEastAsia" w:hAnsi="Arial Bold" w:cstheme="majorBidi"/>
          <w:color w:val="001E45"/>
          <w:sz w:val="30"/>
          <w:szCs w:val="26"/>
        </w:rPr>
      </w:pPr>
      <w:r w:rsidRPr="008913AB">
        <w:rPr>
          <w:rFonts w:ascii="Arial Bold" w:eastAsiaTheme="majorEastAsia" w:hAnsi="Arial Bold" w:cstheme="majorBidi"/>
          <w:color w:val="001E45"/>
          <w:sz w:val="30"/>
          <w:szCs w:val="26"/>
        </w:rPr>
        <w:t>Authorisation</w:t>
      </w:r>
    </w:p>
    <w:p w14:paraId="39102EF1" w14:textId="07FEEED2" w:rsidR="008913AB" w:rsidRPr="008913AB" w:rsidRDefault="008913AB" w:rsidP="008913AB">
      <w:pPr>
        <w:rPr>
          <w:color w:val="808080"/>
        </w:rPr>
      </w:pPr>
      <w:bookmarkStart w:id="3" w:name="_Hlk16151244"/>
      <w:r w:rsidRPr="008913AB">
        <w:rPr>
          <w:noProof/>
          <w:color w:val="808080"/>
        </w:rPr>
        <w:drawing>
          <wp:inline distT="0" distB="0" distL="0" distR="0" wp14:anchorId="3CE594F7" wp14:editId="4E909129">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rsidRPr="008913AB">
        <w:br/>
      </w:r>
      <w:r w:rsidRPr="008913AB">
        <w:rPr>
          <w:color w:val="808080"/>
        </w:rPr>
        <w:br/>
      </w:r>
      <w:r w:rsidRPr="008913AB">
        <w:t>Helen Omondi</w:t>
      </w:r>
      <w:r w:rsidRPr="008913AB">
        <w:br/>
      </w:r>
      <w:r w:rsidRPr="008913AB">
        <w:fldChar w:fldCharType="begin"/>
      </w:r>
      <w:r w:rsidRPr="008913AB">
        <w:instrText xml:space="preserve"> DATE \@ "d MMMM yyyy" </w:instrText>
      </w:r>
      <w:r w:rsidRPr="008913AB">
        <w:fldChar w:fldCharType="separate"/>
      </w:r>
      <w:r w:rsidR="00F5664D">
        <w:rPr>
          <w:noProof/>
        </w:rPr>
        <w:t>4 December 2019</w:t>
      </w:r>
      <w:r w:rsidRPr="008913AB">
        <w:fldChar w:fldCharType="end"/>
      </w:r>
    </w:p>
    <w:bookmarkEnd w:id="3"/>
    <w:p w14:paraId="38D650EE" w14:textId="42D1C80E" w:rsidR="00ED1D93" w:rsidRDefault="00ED1D93" w:rsidP="008913AB">
      <w:pPr>
        <w:pStyle w:val="Heading2"/>
      </w:pPr>
    </w:p>
    <w:sectPr w:rsidR="00ED1D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CE873" w14:textId="77777777" w:rsidR="00F5664D" w:rsidRDefault="00F566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EA6190"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A31D3" w14:textId="77777777" w:rsidR="00F5664D" w:rsidRDefault="00F56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826CB" w14:textId="77777777" w:rsidR="00F5664D" w:rsidRDefault="00F566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15CA6126" w:rsidR="00CD2078" w:rsidRPr="00CD2078" w:rsidRDefault="00F5664D" w:rsidP="00CD2078">
    <w:pPr>
      <w:pStyle w:val="Footer"/>
      <w:ind w:left="720"/>
      <w:jc w:val="right"/>
      <w:rPr>
        <w:color w:val="AEAAAA" w:themeColor="background2" w:themeShade="BF"/>
      </w:rPr>
    </w:pPr>
    <w:bookmarkStart w:id="4" w:name="_GoBack"/>
    <w:r>
      <w:rPr>
        <w:noProof/>
      </w:rPr>
      <w:drawing>
        <wp:anchor distT="0" distB="0" distL="114300" distR="114300" simplePos="0" relativeHeight="251659264" behindDoc="1" locked="0" layoutInCell="1" allowOverlap="1" wp14:anchorId="0FFDA20F" wp14:editId="103ED638">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4"/>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EA6190" w:rsidRDefault="00EA61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A79BC" w14:textId="77777777" w:rsidR="00F5664D" w:rsidRDefault="00F566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5499"/>
    <w:multiLevelType w:val="hybridMultilevel"/>
    <w:tmpl w:val="71F43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62FF0"/>
    <w:multiLevelType w:val="hybridMultilevel"/>
    <w:tmpl w:val="A55A04F4"/>
    <w:lvl w:ilvl="0" w:tplc="9C0E371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87F2173"/>
    <w:multiLevelType w:val="hybridMultilevel"/>
    <w:tmpl w:val="F5880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3962D2"/>
    <w:multiLevelType w:val="hybridMultilevel"/>
    <w:tmpl w:val="DEA27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047FE3"/>
    <w:multiLevelType w:val="hybridMultilevel"/>
    <w:tmpl w:val="F1665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987C56"/>
    <w:multiLevelType w:val="hybridMultilevel"/>
    <w:tmpl w:val="2D127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EA43B1C"/>
    <w:multiLevelType w:val="hybridMultilevel"/>
    <w:tmpl w:val="DB8E57C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7" w15:restartNumberingAfterBreak="0">
    <w:nsid w:val="1FA37138"/>
    <w:multiLevelType w:val="hybridMultilevel"/>
    <w:tmpl w:val="6C6E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F2D0B"/>
    <w:multiLevelType w:val="hybridMultilevel"/>
    <w:tmpl w:val="5964B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4DE1D81"/>
    <w:multiLevelType w:val="hybridMultilevel"/>
    <w:tmpl w:val="2132CF88"/>
    <w:lvl w:ilvl="0" w:tplc="0C090001">
      <w:start w:val="1"/>
      <w:numFmt w:val="bullet"/>
      <w:lvlText w:val=""/>
      <w:lvlJc w:val="left"/>
      <w:pPr>
        <w:ind w:left="720" w:hanging="360"/>
      </w:pPr>
      <w:rPr>
        <w:rFonts w:ascii="Symbol" w:hAnsi="Symbol" w:hint="default"/>
      </w:rPr>
    </w:lvl>
    <w:lvl w:ilvl="1" w:tplc="DB54E588">
      <w:start w:val="2"/>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527002"/>
    <w:multiLevelType w:val="hybridMultilevel"/>
    <w:tmpl w:val="841824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323DC1"/>
    <w:multiLevelType w:val="hybridMultilevel"/>
    <w:tmpl w:val="929C1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AD236A"/>
    <w:multiLevelType w:val="hybridMultilevel"/>
    <w:tmpl w:val="AC1A0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C85CB2"/>
    <w:multiLevelType w:val="hybridMultilevel"/>
    <w:tmpl w:val="CF9C2D2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800" w:hanging="72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2B472AF"/>
    <w:multiLevelType w:val="hybridMultilevel"/>
    <w:tmpl w:val="047AF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3C314B"/>
    <w:multiLevelType w:val="hybridMultilevel"/>
    <w:tmpl w:val="AC7A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22AEE"/>
    <w:multiLevelType w:val="hybridMultilevel"/>
    <w:tmpl w:val="3024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A5C30"/>
    <w:multiLevelType w:val="hybridMultilevel"/>
    <w:tmpl w:val="55BC7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96E662E"/>
    <w:multiLevelType w:val="hybridMultilevel"/>
    <w:tmpl w:val="5B22B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9995DD0"/>
    <w:multiLevelType w:val="hybridMultilevel"/>
    <w:tmpl w:val="991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9072B4"/>
    <w:multiLevelType w:val="hybridMultilevel"/>
    <w:tmpl w:val="67463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E660A49"/>
    <w:multiLevelType w:val="hybridMultilevel"/>
    <w:tmpl w:val="95E64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5A21B79"/>
    <w:multiLevelType w:val="hybridMultilevel"/>
    <w:tmpl w:val="4C0258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EA845A8"/>
    <w:multiLevelType w:val="hybridMultilevel"/>
    <w:tmpl w:val="17A2F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140445"/>
    <w:multiLevelType w:val="hybridMultilevel"/>
    <w:tmpl w:val="BCAA6BD0"/>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5" w15:restartNumberingAfterBreak="0">
    <w:nsid w:val="5240306C"/>
    <w:multiLevelType w:val="hybridMultilevel"/>
    <w:tmpl w:val="B7E446C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6" w15:restartNumberingAfterBreak="0">
    <w:nsid w:val="539A71E1"/>
    <w:multiLevelType w:val="hybridMultilevel"/>
    <w:tmpl w:val="29A03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50F74D2"/>
    <w:multiLevelType w:val="hybridMultilevel"/>
    <w:tmpl w:val="CC2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D74FD"/>
    <w:multiLevelType w:val="hybridMultilevel"/>
    <w:tmpl w:val="98349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E511307"/>
    <w:multiLevelType w:val="hybridMultilevel"/>
    <w:tmpl w:val="62A00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4AB41FC"/>
    <w:multiLevelType w:val="hybridMultilevel"/>
    <w:tmpl w:val="5A3C0D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5117E64"/>
    <w:multiLevelType w:val="hybridMultilevel"/>
    <w:tmpl w:val="09C4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A3142"/>
    <w:multiLevelType w:val="hybridMultilevel"/>
    <w:tmpl w:val="BC78B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BE1724C"/>
    <w:multiLevelType w:val="hybridMultilevel"/>
    <w:tmpl w:val="2F60F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720C17"/>
    <w:multiLevelType w:val="hybridMultilevel"/>
    <w:tmpl w:val="25DCB596"/>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FD3E09"/>
    <w:multiLevelType w:val="hybridMultilevel"/>
    <w:tmpl w:val="31C84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513678"/>
    <w:multiLevelType w:val="hybridMultilevel"/>
    <w:tmpl w:val="9FD4F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8D143A8"/>
    <w:multiLevelType w:val="hybridMultilevel"/>
    <w:tmpl w:val="AEC4224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9" w15:restartNumberingAfterBreak="0">
    <w:nsid w:val="7A4C0959"/>
    <w:multiLevelType w:val="hybridMultilevel"/>
    <w:tmpl w:val="8556B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CED5504"/>
    <w:multiLevelType w:val="hybridMultilevel"/>
    <w:tmpl w:val="6FB88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32"/>
  </w:num>
  <w:num w:numId="3">
    <w:abstractNumId w:val="4"/>
  </w:num>
  <w:num w:numId="4">
    <w:abstractNumId w:val="1"/>
  </w:num>
  <w:num w:numId="5">
    <w:abstractNumId w:val="11"/>
  </w:num>
  <w:num w:numId="6">
    <w:abstractNumId w:val="35"/>
  </w:num>
  <w:num w:numId="7">
    <w:abstractNumId w:val="18"/>
  </w:num>
  <w:num w:numId="8">
    <w:abstractNumId w:val="8"/>
  </w:num>
  <w:num w:numId="9">
    <w:abstractNumId w:val="39"/>
  </w:num>
  <w:num w:numId="10">
    <w:abstractNumId w:val="26"/>
  </w:num>
  <w:num w:numId="11">
    <w:abstractNumId w:val="37"/>
  </w:num>
  <w:num w:numId="12">
    <w:abstractNumId w:val="20"/>
  </w:num>
  <w:num w:numId="13">
    <w:abstractNumId w:val="3"/>
  </w:num>
  <w:num w:numId="14">
    <w:abstractNumId w:val="17"/>
  </w:num>
  <w:num w:numId="15">
    <w:abstractNumId w:val="19"/>
  </w:num>
  <w:num w:numId="16">
    <w:abstractNumId w:val="9"/>
  </w:num>
  <w:num w:numId="17">
    <w:abstractNumId w:val="13"/>
  </w:num>
  <w:num w:numId="18">
    <w:abstractNumId w:val="36"/>
  </w:num>
  <w:num w:numId="19">
    <w:abstractNumId w:val="28"/>
  </w:num>
  <w:num w:numId="20">
    <w:abstractNumId w:val="29"/>
  </w:num>
  <w:num w:numId="21">
    <w:abstractNumId w:val="25"/>
  </w:num>
  <w:num w:numId="22">
    <w:abstractNumId w:val="38"/>
  </w:num>
  <w:num w:numId="23">
    <w:abstractNumId w:val="24"/>
  </w:num>
  <w:num w:numId="24">
    <w:abstractNumId w:val="6"/>
  </w:num>
  <w:num w:numId="25">
    <w:abstractNumId w:val="2"/>
  </w:num>
  <w:num w:numId="26">
    <w:abstractNumId w:val="22"/>
  </w:num>
  <w:num w:numId="27">
    <w:abstractNumId w:val="5"/>
  </w:num>
  <w:num w:numId="28">
    <w:abstractNumId w:val="0"/>
  </w:num>
  <w:num w:numId="29">
    <w:abstractNumId w:val="40"/>
  </w:num>
  <w:num w:numId="30">
    <w:abstractNumId w:val="10"/>
  </w:num>
  <w:num w:numId="31">
    <w:abstractNumId w:val="33"/>
  </w:num>
  <w:num w:numId="32">
    <w:abstractNumId w:val="30"/>
  </w:num>
  <w:num w:numId="33">
    <w:abstractNumId w:val="16"/>
  </w:num>
  <w:num w:numId="34">
    <w:abstractNumId w:val="27"/>
  </w:num>
  <w:num w:numId="35">
    <w:abstractNumId w:val="23"/>
  </w:num>
  <w:num w:numId="36">
    <w:abstractNumId w:val="15"/>
  </w:num>
  <w:num w:numId="37">
    <w:abstractNumId w:val="31"/>
  </w:num>
  <w:num w:numId="38">
    <w:abstractNumId w:val="7"/>
  </w:num>
  <w:num w:numId="39">
    <w:abstractNumId w:val="21"/>
  </w:num>
  <w:num w:numId="40">
    <w:abstractNumId w:val="34"/>
  </w:num>
  <w:num w:numId="41">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A7F6B"/>
    <w:rsid w:val="000C4F79"/>
    <w:rsid w:val="000E6224"/>
    <w:rsid w:val="000F04D4"/>
    <w:rsid w:val="000F3D05"/>
    <w:rsid w:val="0014360D"/>
    <w:rsid w:val="001B35CB"/>
    <w:rsid w:val="001C68B1"/>
    <w:rsid w:val="001D53B3"/>
    <w:rsid w:val="001E4D53"/>
    <w:rsid w:val="00210741"/>
    <w:rsid w:val="00213F77"/>
    <w:rsid w:val="0022516F"/>
    <w:rsid w:val="00270545"/>
    <w:rsid w:val="002A0F0D"/>
    <w:rsid w:val="002A1B8D"/>
    <w:rsid w:val="002B5D6A"/>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611F0"/>
    <w:rsid w:val="00485EAF"/>
    <w:rsid w:val="004A4685"/>
    <w:rsid w:val="004B1B7E"/>
    <w:rsid w:val="004B31C5"/>
    <w:rsid w:val="004B6339"/>
    <w:rsid w:val="004D34E2"/>
    <w:rsid w:val="0050373C"/>
    <w:rsid w:val="00511711"/>
    <w:rsid w:val="005148A4"/>
    <w:rsid w:val="00530FD6"/>
    <w:rsid w:val="00572010"/>
    <w:rsid w:val="00575013"/>
    <w:rsid w:val="005861C9"/>
    <w:rsid w:val="005A7152"/>
    <w:rsid w:val="005E0408"/>
    <w:rsid w:val="005F433C"/>
    <w:rsid w:val="005F562B"/>
    <w:rsid w:val="006078C2"/>
    <w:rsid w:val="00607DE5"/>
    <w:rsid w:val="00623675"/>
    <w:rsid w:val="006274E7"/>
    <w:rsid w:val="00651560"/>
    <w:rsid w:val="00663C54"/>
    <w:rsid w:val="006845F4"/>
    <w:rsid w:val="006A0492"/>
    <w:rsid w:val="006F5379"/>
    <w:rsid w:val="00731CBB"/>
    <w:rsid w:val="00733B80"/>
    <w:rsid w:val="00773F33"/>
    <w:rsid w:val="007B2660"/>
    <w:rsid w:val="007C7AD1"/>
    <w:rsid w:val="007D2749"/>
    <w:rsid w:val="007D7077"/>
    <w:rsid w:val="007D7DFE"/>
    <w:rsid w:val="00801771"/>
    <w:rsid w:val="008359B5"/>
    <w:rsid w:val="00843593"/>
    <w:rsid w:val="00853C82"/>
    <w:rsid w:val="00854EA0"/>
    <w:rsid w:val="00865265"/>
    <w:rsid w:val="00875C8C"/>
    <w:rsid w:val="00880884"/>
    <w:rsid w:val="008913AB"/>
    <w:rsid w:val="008D39CD"/>
    <w:rsid w:val="008D4AB3"/>
    <w:rsid w:val="008E1293"/>
    <w:rsid w:val="00902A90"/>
    <w:rsid w:val="00906CEE"/>
    <w:rsid w:val="009232E6"/>
    <w:rsid w:val="00926126"/>
    <w:rsid w:val="00975520"/>
    <w:rsid w:val="00983A94"/>
    <w:rsid w:val="00997D9F"/>
    <w:rsid w:val="009B4896"/>
    <w:rsid w:val="009D210D"/>
    <w:rsid w:val="009D30E8"/>
    <w:rsid w:val="009E5312"/>
    <w:rsid w:val="009F18FD"/>
    <w:rsid w:val="00A02201"/>
    <w:rsid w:val="00A16AB2"/>
    <w:rsid w:val="00A542C2"/>
    <w:rsid w:val="00A8501B"/>
    <w:rsid w:val="00A86854"/>
    <w:rsid w:val="00A95E56"/>
    <w:rsid w:val="00AA3AE2"/>
    <w:rsid w:val="00AD1262"/>
    <w:rsid w:val="00AE4E6B"/>
    <w:rsid w:val="00AF2C93"/>
    <w:rsid w:val="00B22B0C"/>
    <w:rsid w:val="00B23271"/>
    <w:rsid w:val="00B24636"/>
    <w:rsid w:val="00B523BD"/>
    <w:rsid w:val="00B656C2"/>
    <w:rsid w:val="00BB1066"/>
    <w:rsid w:val="00BC09B7"/>
    <w:rsid w:val="00C14320"/>
    <w:rsid w:val="00C373D2"/>
    <w:rsid w:val="00C831A8"/>
    <w:rsid w:val="00C95A00"/>
    <w:rsid w:val="00CA69A4"/>
    <w:rsid w:val="00CA6EB1"/>
    <w:rsid w:val="00CA7601"/>
    <w:rsid w:val="00CD2078"/>
    <w:rsid w:val="00CE2907"/>
    <w:rsid w:val="00CE7AF3"/>
    <w:rsid w:val="00CF0116"/>
    <w:rsid w:val="00D54AE3"/>
    <w:rsid w:val="00D56E0A"/>
    <w:rsid w:val="00D577DD"/>
    <w:rsid w:val="00D70186"/>
    <w:rsid w:val="00DD6924"/>
    <w:rsid w:val="00DE10DD"/>
    <w:rsid w:val="00DE681B"/>
    <w:rsid w:val="00E076F2"/>
    <w:rsid w:val="00E21F4D"/>
    <w:rsid w:val="00E23C27"/>
    <w:rsid w:val="00E47034"/>
    <w:rsid w:val="00E64741"/>
    <w:rsid w:val="00E7300E"/>
    <w:rsid w:val="00EA3628"/>
    <w:rsid w:val="00EA6190"/>
    <w:rsid w:val="00ED1D93"/>
    <w:rsid w:val="00ED55E4"/>
    <w:rsid w:val="00EE41F9"/>
    <w:rsid w:val="00EE6AF9"/>
    <w:rsid w:val="00EF310F"/>
    <w:rsid w:val="00EF653C"/>
    <w:rsid w:val="00F01D2A"/>
    <w:rsid w:val="00F10AD9"/>
    <w:rsid w:val="00F16716"/>
    <w:rsid w:val="00F3746E"/>
    <w:rsid w:val="00F41829"/>
    <w:rsid w:val="00F51B62"/>
    <w:rsid w:val="00F55F96"/>
    <w:rsid w:val="00F5664D"/>
    <w:rsid w:val="00F605B4"/>
    <w:rsid w:val="00F73C58"/>
    <w:rsid w:val="00F85B05"/>
    <w:rsid w:val="00FA3A18"/>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D54AE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0A7F6B"/>
    <w:pPr>
      <w:keepNext/>
      <w:keepLines/>
      <w:spacing w:before="0" w:after="0"/>
      <w:outlineLvl w:val="1"/>
    </w:pPr>
    <w:rPr>
      <w:rFonts w:ascii="Arial Bold" w:hAnsi="Arial Bold" w:cstheme="minorHAnsi"/>
      <w:color w:val="1F3864" w:themeColor="accent1" w:themeShade="80"/>
      <w:sz w:val="30"/>
      <w:szCs w:val="24"/>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E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0A7F6B"/>
    <w:rPr>
      <w:rFonts w:ascii="Arial Bold" w:hAnsi="Arial Bold" w:cstheme="minorHAnsi"/>
      <w:color w:val="1F3864" w:themeColor="accent1" w:themeShade="80"/>
      <w:sz w:val="30"/>
      <w:szCs w:val="24"/>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 w:type="paragraph" w:styleId="CommentText">
    <w:name w:val="annotation text"/>
    <w:basedOn w:val="Normal"/>
    <w:link w:val="CommentTextChar"/>
    <w:uiPriority w:val="99"/>
    <w:unhideWhenUsed/>
    <w:rsid w:val="00270545"/>
    <w:pPr>
      <w:spacing w:before="0"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27054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9BA66-1A39-42E6-8C49-5DB1BEA0F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5</cp:revision>
  <dcterms:created xsi:type="dcterms:W3CDTF">2019-10-31T05:08:00Z</dcterms:created>
  <dcterms:modified xsi:type="dcterms:W3CDTF">2019-12-03T23:37:00Z</dcterms:modified>
</cp:coreProperties>
</file>