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03" w:rsidRDefault="00BA3F86" w:rsidP="00BA3F86">
      <w:pPr>
        <w:pStyle w:val="BodyText"/>
        <w:spacing w:before="5"/>
        <w:rPr>
          <w:rFonts w:ascii="Trade Gothic LT Pro Cn"/>
          <w:b/>
          <w:sz w:val="40"/>
        </w:rPr>
      </w:pPr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142240</wp:posOffset>
                </wp:positionV>
                <wp:extent cx="6480175" cy="0"/>
                <wp:effectExtent l="6350" t="5715" r="9525" b="13335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9E3E82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5pt,11.2pt" to="552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" strokecolor="#808285" strokeweight=".25pt">
                <w10:wrap type="topAndBottom" anchorx="page"/>
              </v:line>
            </w:pict>
          </mc:Fallback>
        </mc:AlternateContent>
      </w:r>
      <w:r>
        <w:rPr>
          <w:rFonts w:ascii="Trade Gothic LT Pro Cn"/>
          <w:b/>
          <w:color w:val="149133"/>
          <w:sz w:val="40"/>
        </w:rPr>
        <w:t>BEHAVIOUR ASSESSMENT REPORT</w:t>
      </w:r>
      <w:bookmarkStart w:id="0" w:name="_GoBack"/>
      <w:bookmarkEnd w:id="0"/>
    </w:p>
    <w:p w:rsidR="00BA3F86" w:rsidRDefault="00BA3F86">
      <w:pPr>
        <w:pStyle w:val="BodyText"/>
        <w:spacing w:after="54" w:line="280" w:lineRule="exact"/>
        <w:ind w:left="170"/>
      </w:pPr>
    </w:p>
    <w:p w:rsidR="00575303" w:rsidRDefault="00BA3F86">
      <w:pPr>
        <w:pStyle w:val="BodyText"/>
        <w:spacing w:after="54" w:line="280" w:lineRule="exact"/>
        <w:ind w:left="170"/>
      </w:pPr>
      <w:r>
        <w:t xml:space="preserve">Use this report to document if you have observed a service user display any </w:t>
      </w:r>
      <w:proofErr w:type="spellStart"/>
      <w:r>
        <w:t>behaviours</w:t>
      </w:r>
      <w:proofErr w:type="spellEnd"/>
      <w:r>
        <w:t xml:space="preserve"> of concern.</w:t>
      </w:r>
    </w:p>
    <w:p w:rsidR="00BA3F86" w:rsidRDefault="00BA3F86">
      <w:pPr>
        <w:pStyle w:val="BodyText"/>
        <w:spacing w:after="54" w:line="280" w:lineRule="exact"/>
        <w:ind w:left="170"/>
      </w:pPr>
    </w:p>
    <w:tbl>
      <w:tblPr>
        <w:tblW w:w="0" w:type="auto"/>
        <w:tblInd w:w="197" w:type="dxa"/>
        <w:tblBorders>
          <w:top w:val="single" w:sz="8" w:space="0" w:color="149133"/>
          <w:left w:val="single" w:sz="8" w:space="0" w:color="149133"/>
          <w:bottom w:val="single" w:sz="8" w:space="0" w:color="149133"/>
          <w:right w:val="single" w:sz="8" w:space="0" w:color="149133"/>
          <w:insideH w:val="single" w:sz="8" w:space="0" w:color="149133"/>
          <w:insideV w:val="single" w:sz="8" w:space="0" w:color="1491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586"/>
        <w:gridCol w:w="2650"/>
        <w:gridCol w:w="2650"/>
      </w:tblGrid>
      <w:tr w:rsidR="00575303">
        <w:trPr>
          <w:trHeight w:val="1125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78" w:line="211" w:lineRule="auto"/>
              <w:ind w:left="255" w:right="677"/>
              <w:rPr>
                <w:b/>
              </w:rPr>
            </w:pPr>
            <w:r w:rsidRPr="00BA3F86">
              <w:rPr>
                <w:b/>
              </w:rPr>
              <w:t>Date of observation</w:t>
            </w:r>
          </w:p>
        </w:tc>
        <w:tc>
          <w:tcPr>
            <w:tcW w:w="2586" w:type="dxa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0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78" w:line="211" w:lineRule="auto"/>
              <w:ind w:left="254" w:right="718"/>
              <w:rPr>
                <w:b/>
              </w:rPr>
            </w:pPr>
            <w:r w:rsidRPr="00BA3F86">
              <w:rPr>
                <w:b/>
              </w:rPr>
              <w:t>Support Worker Name</w:t>
            </w:r>
          </w:p>
        </w:tc>
        <w:tc>
          <w:tcPr>
            <w:tcW w:w="2650" w:type="dxa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  <w:tr w:rsidR="00575303">
        <w:trPr>
          <w:trHeight w:val="645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50"/>
              <w:ind w:left="255"/>
              <w:rPr>
                <w:b/>
              </w:rPr>
            </w:pPr>
            <w:r>
              <w:rPr>
                <w:b/>
              </w:rPr>
              <w:t>Service user</w:t>
            </w:r>
            <w:r w:rsidRPr="00BA3F86">
              <w:rPr>
                <w:b/>
              </w:rPr>
              <w:t xml:space="preserve"> name</w:t>
            </w:r>
          </w:p>
        </w:tc>
        <w:tc>
          <w:tcPr>
            <w:tcW w:w="2586" w:type="dxa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  <w:p w:rsidR="00BA3F86" w:rsidRDefault="00BA3F86">
            <w:pPr>
              <w:pStyle w:val="TableParagraph"/>
              <w:rPr>
                <w:rFonts w:ascii="Times New Roman"/>
              </w:rPr>
            </w:pPr>
          </w:p>
          <w:p w:rsidR="00BA3F86" w:rsidRDefault="00BA3F86">
            <w:pPr>
              <w:pStyle w:val="TableParagraph"/>
              <w:rPr>
                <w:rFonts w:ascii="Times New Roman"/>
              </w:rPr>
            </w:pPr>
          </w:p>
          <w:p w:rsidR="00BA3F86" w:rsidRDefault="00BA3F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0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50"/>
              <w:ind w:left="254"/>
              <w:rPr>
                <w:b/>
              </w:rPr>
            </w:pPr>
            <w:r w:rsidRPr="00BA3F86">
              <w:rPr>
                <w:b/>
              </w:rPr>
              <w:t>Client age</w:t>
            </w:r>
          </w:p>
        </w:tc>
        <w:tc>
          <w:tcPr>
            <w:tcW w:w="2650" w:type="dxa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  <w:tr w:rsidR="00575303">
        <w:trPr>
          <w:trHeight w:val="1856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78" w:line="211" w:lineRule="auto"/>
              <w:ind w:left="255" w:right="677"/>
              <w:rPr>
                <w:b/>
              </w:rPr>
            </w:pPr>
            <w:r w:rsidRPr="00BA3F86">
              <w:rPr>
                <w:b/>
              </w:rPr>
              <w:t>Condition, disabilities or development delays</w:t>
            </w:r>
          </w:p>
        </w:tc>
        <w:tc>
          <w:tcPr>
            <w:tcW w:w="7886" w:type="dxa"/>
            <w:gridSpan w:val="3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  <w:tr w:rsidR="00575303">
        <w:trPr>
          <w:trHeight w:val="1328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78" w:line="211" w:lineRule="auto"/>
              <w:ind w:left="255" w:right="670"/>
              <w:rPr>
                <w:b/>
              </w:rPr>
            </w:pPr>
            <w:r w:rsidRPr="00BA3F86">
              <w:rPr>
                <w:b/>
              </w:rPr>
              <w:t>Setting of the event</w:t>
            </w:r>
          </w:p>
        </w:tc>
        <w:tc>
          <w:tcPr>
            <w:tcW w:w="7886" w:type="dxa"/>
            <w:gridSpan w:val="3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  <w:tr w:rsidR="00575303">
        <w:trPr>
          <w:trHeight w:val="1064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50"/>
              <w:ind w:left="169"/>
              <w:rPr>
                <w:b/>
              </w:rPr>
            </w:pPr>
            <w:r w:rsidRPr="00BA3F86">
              <w:rPr>
                <w:b/>
              </w:rPr>
              <w:t>Triggers</w:t>
            </w:r>
          </w:p>
        </w:tc>
        <w:tc>
          <w:tcPr>
            <w:tcW w:w="7886" w:type="dxa"/>
            <w:gridSpan w:val="3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  <w:tr w:rsidR="00575303">
        <w:trPr>
          <w:trHeight w:val="2120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78" w:line="211" w:lineRule="auto"/>
              <w:ind w:left="169" w:right="624"/>
              <w:rPr>
                <w:b/>
              </w:rPr>
            </w:pPr>
            <w:r w:rsidRPr="00BA3F86">
              <w:rPr>
                <w:b/>
              </w:rPr>
              <w:t>What environmental factors contributed to this event?</w:t>
            </w:r>
          </w:p>
        </w:tc>
        <w:tc>
          <w:tcPr>
            <w:tcW w:w="7886" w:type="dxa"/>
            <w:gridSpan w:val="3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  <w:tr w:rsidR="00575303">
        <w:trPr>
          <w:trHeight w:val="1328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78" w:line="211" w:lineRule="auto"/>
              <w:ind w:left="169" w:right="646"/>
              <w:rPr>
                <w:b/>
              </w:rPr>
            </w:pPr>
            <w:r w:rsidRPr="00BA3F86">
              <w:rPr>
                <w:b/>
              </w:rPr>
              <w:t>Description of what occurred</w:t>
            </w:r>
          </w:p>
        </w:tc>
        <w:tc>
          <w:tcPr>
            <w:tcW w:w="7886" w:type="dxa"/>
            <w:gridSpan w:val="3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  <w:tr w:rsidR="00575303">
        <w:trPr>
          <w:trHeight w:val="2384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78" w:line="211" w:lineRule="auto"/>
              <w:ind w:left="169" w:right="442"/>
              <w:rPr>
                <w:b/>
              </w:rPr>
            </w:pPr>
            <w:r w:rsidRPr="00BA3F86">
              <w:rPr>
                <w:b/>
              </w:rPr>
              <w:t>What proactive response steps could Katie have implemented prior to Brad’s behavior?</w:t>
            </w:r>
          </w:p>
        </w:tc>
        <w:tc>
          <w:tcPr>
            <w:tcW w:w="7886" w:type="dxa"/>
            <w:gridSpan w:val="3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  <w:tr w:rsidR="00575303">
        <w:trPr>
          <w:trHeight w:val="1657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78" w:line="211" w:lineRule="auto"/>
              <w:ind w:left="169" w:right="369"/>
              <w:rPr>
                <w:b/>
              </w:rPr>
            </w:pPr>
            <w:r w:rsidRPr="00BA3F86">
              <w:rPr>
                <w:b/>
              </w:rPr>
              <w:lastRenderedPageBreak/>
              <w:t>What response strategies should Katie implement to respond to Brad’s behavior?</w:t>
            </w:r>
          </w:p>
        </w:tc>
        <w:tc>
          <w:tcPr>
            <w:tcW w:w="7886" w:type="dxa"/>
            <w:gridSpan w:val="3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  <w:tr w:rsidR="00575303">
        <w:trPr>
          <w:trHeight w:val="1244"/>
        </w:trPr>
        <w:tc>
          <w:tcPr>
            <w:tcW w:w="2334" w:type="dxa"/>
            <w:shd w:val="clear" w:color="auto" w:fill="E8F4EB"/>
          </w:tcPr>
          <w:p w:rsidR="00575303" w:rsidRPr="00BA3F86" w:rsidRDefault="00BA3F86">
            <w:pPr>
              <w:pStyle w:val="TableParagraph"/>
              <w:spacing w:before="178" w:line="211" w:lineRule="auto"/>
              <w:ind w:left="169" w:right="485"/>
              <w:rPr>
                <w:b/>
              </w:rPr>
            </w:pPr>
            <w:r w:rsidRPr="00BA3F86">
              <w:rPr>
                <w:b/>
              </w:rPr>
              <w:t>What happened after the event?</w:t>
            </w:r>
          </w:p>
        </w:tc>
        <w:tc>
          <w:tcPr>
            <w:tcW w:w="7886" w:type="dxa"/>
            <w:gridSpan w:val="3"/>
          </w:tcPr>
          <w:p w:rsidR="00575303" w:rsidRDefault="00575303">
            <w:pPr>
              <w:pStyle w:val="TableParagraph"/>
              <w:rPr>
                <w:rFonts w:ascii="Times New Roman"/>
              </w:rPr>
            </w:pPr>
          </w:p>
        </w:tc>
      </w:tr>
    </w:tbl>
    <w:p w:rsidR="00F65CF2" w:rsidRDefault="00F65CF2"/>
    <w:sectPr w:rsidR="00F65CF2" w:rsidSect="00BA3F86">
      <w:headerReference w:type="default" r:id="rId6"/>
      <w:footerReference w:type="default" r:id="rId7"/>
      <w:pgSz w:w="11910" w:h="16840"/>
      <w:pgMar w:top="1135" w:right="700" w:bottom="580" w:left="680" w:header="0" w:footer="3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CF2" w:rsidRDefault="00BA3F86">
      <w:r>
        <w:separator/>
      </w:r>
    </w:p>
  </w:endnote>
  <w:endnote w:type="continuationSeparator" w:id="0">
    <w:p w:rsidR="00F65CF2" w:rsidRDefault="00BA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ade Gothic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rade Gothic LT Std Cn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303" w:rsidRDefault="009A023E">
    <w:pPr>
      <w:pStyle w:val="BodyText"/>
      <w:spacing w:line="14" w:lineRule="auto"/>
      <w:rPr>
        <w:sz w:val="20"/>
      </w:rPr>
    </w:pPr>
    <w:r>
      <w:rPr>
        <w:noProof/>
        <w:lang w:val="en-AU" w:eastAsia="en-AU" w:bidi="ar-SA"/>
      </w:rPr>
      <mc:AlternateContent>
        <mc:Choice Requires="wps">
          <w:drawing>
            <wp:anchor distT="0" distB="0" distL="114300" distR="114300" simplePos="0" relativeHeight="503310632" behindDoc="1" locked="0" layoutInCell="1" allowOverlap="1">
              <wp:simplePos x="0" y="0"/>
              <wp:positionH relativeFrom="page">
                <wp:posOffset>527050</wp:posOffset>
              </wp:positionH>
              <wp:positionV relativeFrom="page">
                <wp:posOffset>10297160</wp:posOffset>
              </wp:positionV>
              <wp:extent cx="1958975" cy="173990"/>
              <wp:effectExtent l="3175" t="4445" r="0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897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5303" w:rsidRDefault="00BA3F86">
                          <w:pPr>
                            <w:spacing w:before="20"/>
                            <w:ind w:left="20"/>
                            <w:rPr>
                              <w:rFonts w:ascii="Trade Gothic LT Std Cn" w:hAnsi="Trade Gothic LT Std Cn"/>
                              <w:sz w:val="20"/>
                            </w:rPr>
                          </w:pPr>
                          <w:r>
                            <w:rPr>
                              <w:rFonts w:ascii="Trade Gothic LT Std Cn" w:hAnsi="Trade Gothic LT Std Cn"/>
                              <w:sz w:val="20"/>
                            </w:rPr>
                            <w:t xml:space="preserve">© RMIT </w:t>
                          </w:r>
                          <w:r>
                            <w:rPr>
                              <w:rFonts w:ascii="Trade Gothic LT Std Cn" w:hAnsi="Trade Gothic LT Std Cn"/>
                              <w:spacing w:val="-3"/>
                              <w:sz w:val="20"/>
                            </w:rPr>
                            <w:t xml:space="preserve">and </w:t>
                          </w:r>
                          <w:r>
                            <w:rPr>
                              <w:rFonts w:ascii="Trade Gothic LT Std Cn" w:hAnsi="Trade Gothic LT Std Cn"/>
                              <w:sz w:val="20"/>
                            </w:rPr>
                            <w:t xml:space="preserve">VCOSS </w:t>
                          </w:r>
                          <w:r>
                            <w:rPr>
                              <w:rFonts w:ascii="Trade Gothic LT Std Cn" w:hAnsi="Trade Gothic LT Std Cn"/>
                              <w:spacing w:val="-4"/>
                              <w:sz w:val="20"/>
                            </w:rPr>
                            <w:t xml:space="preserve">2019 </w:t>
                          </w:r>
                          <w:r>
                            <w:rPr>
                              <w:rFonts w:ascii="Trade Gothic LT Std Cn" w:hAnsi="Trade Gothic LT Std Cn"/>
                              <w:sz w:val="20"/>
                            </w:rPr>
                            <w:t>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.5pt;margin-top:810.8pt;width:154.25pt;height:13.7pt;z-index:-5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5irgIAAKk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" filled="f" stroked="f">
              <v:textbox inset="0,0,0,0">
                <w:txbxContent>
                  <w:p w:rsidR="00575303" w:rsidRDefault="00BA3F86">
                    <w:pPr>
                      <w:spacing w:before="20"/>
                      <w:ind w:left="20"/>
                      <w:rPr>
                        <w:rFonts w:ascii="Trade Gothic LT Std Cn" w:hAnsi="Trade Gothic LT Std Cn"/>
                        <w:sz w:val="20"/>
                      </w:rPr>
                    </w:pPr>
                    <w:r>
                      <w:rPr>
                        <w:rFonts w:ascii="Trade Gothic LT Std Cn" w:hAnsi="Trade Gothic LT Std Cn"/>
                        <w:sz w:val="20"/>
                      </w:rPr>
                      <w:t xml:space="preserve">© RMIT </w:t>
                    </w:r>
                    <w:r>
                      <w:rPr>
                        <w:rFonts w:ascii="Trade Gothic LT Std Cn" w:hAnsi="Trade Gothic LT Std Cn"/>
                        <w:spacing w:val="-3"/>
                        <w:sz w:val="20"/>
                      </w:rPr>
                      <w:t xml:space="preserve">and </w:t>
                    </w:r>
                    <w:r>
                      <w:rPr>
                        <w:rFonts w:ascii="Trade Gothic LT Std Cn" w:hAnsi="Trade Gothic LT Std Cn"/>
                        <w:sz w:val="20"/>
                      </w:rPr>
                      <w:t xml:space="preserve">VCOSS </w:t>
                    </w:r>
                    <w:r>
                      <w:rPr>
                        <w:rFonts w:ascii="Trade Gothic LT Std Cn" w:hAnsi="Trade Gothic LT Std Cn"/>
                        <w:spacing w:val="-4"/>
                        <w:sz w:val="20"/>
                      </w:rPr>
                      <w:t xml:space="preserve">2019 </w:t>
                    </w:r>
                    <w:r>
                      <w:rPr>
                        <w:rFonts w:ascii="Trade Gothic LT Std Cn" w:hAnsi="Trade Gothic LT Std Cn"/>
                        <w:sz w:val="20"/>
                      </w:rPr>
                      <w:t>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 w:bidi="ar-SA"/>
      </w:rPr>
      <mc:AlternateContent>
        <mc:Choice Requires="wps">
          <w:drawing>
            <wp:anchor distT="0" distB="0" distL="114300" distR="114300" simplePos="0" relativeHeight="503310656" behindDoc="1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10309860</wp:posOffset>
              </wp:positionV>
              <wp:extent cx="1874520" cy="205740"/>
              <wp:effectExtent l="0" t="0" r="1143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5303" w:rsidRDefault="009A023E">
                          <w:pPr>
                            <w:spacing w:before="20"/>
                            <w:ind w:left="20"/>
                            <w:rPr>
                              <w:rFonts w:ascii="Trade Gothic LT Pro C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ade Gothic LT Pro Cn"/>
                              <w:b/>
                              <w:sz w:val="20"/>
                            </w:rPr>
                            <w:t>BEHAVIOUR ASSESSMENT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" o:spid="_x0000_s1027" type="#_x0000_t202" style="position:absolute;margin-left:96.4pt;margin-top:811.8pt;width:147.6pt;height:16.2pt;z-index:-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" filled="f" stroked="f">
              <v:textbox inset="0,0,0,0">
                <w:txbxContent>
                  <w:p w:rsidR="00575303" w:rsidRDefault="009A023E">
                    <w:pPr>
                      <w:spacing w:before="20"/>
                      <w:ind w:left="20"/>
                      <w:rPr>
                        <w:rFonts w:ascii="Trade Gothic LT Pro Cn"/>
                        <w:b/>
                        <w:sz w:val="20"/>
                      </w:rPr>
                    </w:pPr>
                    <w:r>
                      <w:rPr>
                        <w:rFonts w:ascii="Trade Gothic LT Pro Cn"/>
                        <w:b/>
                        <w:sz w:val="20"/>
                      </w:rPr>
                      <w:t>BEHAVIOUR ASSESSMENT REPORT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CF2" w:rsidRDefault="00BA3F86">
      <w:r>
        <w:separator/>
      </w:r>
    </w:p>
  </w:footnote>
  <w:footnote w:type="continuationSeparator" w:id="0">
    <w:p w:rsidR="00F65CF2" w:rsidRDefault="00BA3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2E6" w:rsidRDefault="00A932E6">
    <w:pPr>
      <w:pStyle w:val="Header"/>
    </w:pPr>
  </w:p>
  <w:p w:rsidR="00A932E6" w:rsidRDefault="00A932E6">
    <w:pPr>
      <w:pStyle w:val="Header"/>
    </w:pPr>
    <w:r>
      <w:rPr>
        <w:noProof/>
      </w:rPr>
      <w:drawing>
        <wp:inline distT="0" distB="0" distL="0" distR="0" wp14:anchorId="274BFFB7" wp14:editId="299DC7D4">
          <wp:extent cx="2520315" cy="669957"/>
          <wp:effectExtent l="0" t="0" r="0" b="0"/>
          <wp:docPr id="3" name="Picture 3" descr=" :Users:laurenwasiak:Desktop:Working:VW forms:Greendale logo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 :Users:laurenwasiak:Desktop:Working:VW forms:Greendale logo v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669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32E6" w:rsidRDefault="00A932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03"/>
    <w:rsid w:val="00575303"/>
    <w:rsid w:val="009A023E"/>
    <w:rsid w:val="00A932E6"/>
    <w:rsid w:val="00BA3F86"/>
    <w:rsid w:val="00F6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6CBC918-3E6A-479A-A006-2E3EE9CC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Open Sans" w:eastAsia="Open Sans" w:hAnsi="Open Sans" w:cs="Open San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02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23E"/>
    <w:rPr>
      <w:rFonts w:ascii="Open Sans" w:eastAsia="Open Sans" w:hAnsi="Open Sans" w:cs="Open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A02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23E"/>
    <w:rPr>
      <w:rFonts w:ascii="Open Sans" w:eastAsia="Open Sans" w:hAnsi="Open Sans" w:cs="Open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Newhouse</dc:creator>
  <cp:lastModifiedBy>Nicky Callinan</cp:lastModifiedBy>
  <cp:revision>2</cp:revision>
  <dcterms:created xsi:type="dcterms:W3CDTF">2019-02-27T02:13:00Z</dcterms:created>
  <dcterms:modified xsi:type="dcterms:W3CDTF">2019-02-27T02:13:00Z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2019-02-24T00:00:00Z</vt:filetime>
  </property>
</Properties>
</file>