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F69"/>
          <w:sz w:val="18"/>
        </w:rPr>
        <w:t>RESEARCH REPORT</w:t>
      </w:r>
    </w:p>
    <w:p>
      <w:pPr>
        <w:pStyle w:val="Title"/>
      </w:pPr>
      <w:r>
        <w:t>Uniswap on Base —</w:t>
        <w:br/>
        <w:t>User Quality &amp; Activity</w:t>
      </w:r>
    </w:p>
    <w:p>
      <w:pPr>
        <w:spacing w:after="360"/>
      </w:pPr>
      <w:r>
        <w:rPr>
          <w:color w:val="555F69"/>
          <w:sz w:val="24"/>
        </w:rPr>
        <w:t>A 31-day on-chain analysis of participation, activity concentration, return behavior, and data quality</w:t>
      </w:r>
    </w:p>
    <w:p>
      <w:r>
        <w:rPr>
          <w:b/>
        </w:rPr>
        <w:t>Version: 1.1</w:t>
      </w:r>
      <w:r/>
    </w:p>
    <w:p>
      <w:r>
        <w:rPr>
          <w:b/>
        </w:rPr>
        <w:t xml:space="preserve">Observation window: </w:t>
      </w:r>
      <w:r>
        <w:t>16 August – 15 September 2026 (31 UTC calendar days)</w:t>
      </w:r>
    </w:p>
    <w:p>
      <w:r>
        <w:rPr>
          <w:b/>
        </w:rPr>
        <w:t xml:space="preserve">Scope: </w:t>
      </w:r>
      <w:r>
        <w:t>Base • Uniswap v2 / v3 / v4 • Dune Spellbook `dex.trades`</w:t>
      </w:r>
    </w:p>
    <w:p>
      <w:r>
        <w:rPr>
          <w:b/>
        </w:rPr>
        <w:t xml:space="preserve">Wallet unit: </w:t>
      </w:r>
      <w:r>
        <w:t>`tx_from` — transaction signer</w:t>
      </w:r>
    </w:p>
    <w:p>
      <w:r>
        <w:rPr>
          <w:b/>
        </w:rPr>
        <w:t xml:space="preserve">Transaction unit: </w:t>
      </w:r>
      <w:r>
        <w:t>distinct `tx_hash`</w:t>
      </w:r>
    </w:p>
    <w:p>
      <w:r>
        <w:rPr>
          <w:b/>
        </w:rPr>
        <w:t xml:space="preserve">Production queries: </w:t>
      </w:r>
      <w:r>
        <w:t>8733968, 8733972, 8731863, 8733974, 8733441, 8733980</w:t>
      </w:r>
    </w:p>
    <w:p>
      <w:r>
        <w:rPr>
          <w:b/>
        </w:rPr>
        <w:t xml:space="preserve">Dashboard: </w:t>
      </w:r>
      <w:hyperlink r:id="rId11">
        <w:r>
          <w:rPr>
            <w:color w:val="1F5A94"/>
            <w:u w:val="single"/>
          </w:rPr>
          <w:t>Uniswap on Base — User Quality &amp; Activity (V1)</w:t>
        </w:r>
      </w:hyperlink>
    </w:p>
    <w:p>
      <w:r>
        <w:br w:type="page"/>
      </w:r>
    </w:p>
    <w:p>
      <w:pPr>
        <w:pStyle w:val="Heading1"/>
      </w:pPr>
      <w:r>
        <w:t>Executive summary</w:t>
      </w:r>
    </w:p>
    <w:p>
      <w:r>
        <w:t>This report examines whether observed Uniswap activity on Base is broadly distributed across wallets or disproportionately generated by a smaller high-frequency tail, and whether observed participants return on later days. The analysis is descriptive and deliberately avoids bot labels, causal claims, or assumptions about user intent.</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E8EDF2"/>
          </w:tcPr>
          <w:p>
            <w:r/>
            <w:r>
              <w:rPr>
                <w:rFonts w:ascii="Aptos" w:hAnsi="Aptos"/>
                <w:b/>
                <w:sz w:val="17"/>
              </w:rPr>
              <w:t>Participating wallets</w:t>
            </w:r>
          </w:p>
        </w:tc>
        <w:tc>
          <w:tcPr>
            <w:tcW w:type="dxa" w:w="3331"/>
            <w:vAlign w:val="center"/>
            <w:tcMar>
              <w:top w:w="75" w:type="dxa"/>
              <w:start w:w="75" w:type="dxa"/>
              <w:bottom w:w="75" w:type="dxa"/>
              <w:end w:w="75" w:type="dxa"/>
            </w:tcMar>
            <w:shd w:fill="E8EDF2"/>
          </w:tcPr>
          <w:p>
            <w:r/>
            <w:r>
              <w:rPr>
                <w:rFonts w:ascii="Aptos" w:hAnsi="Aptos"/>
                <w:b/>
                <w:sz w:val="17"/>
              </w:rPr>
              <w:t>Distinct transactions</w:t>
            </w:r>
          </w:p>
        </w:tc>
        <w:tc>
          <w:tcPr>
            <w:tcW w:type="dxa" w:w="3331"/>
            <w:vAlign w:val="center"/>
            <w:tcMar>
              <w:top w:w="75" w:type="dxa"/>
              <w:start w:w="75" w:type="dxa"/>
              <w:bottom w:w="75" w:type="dxa"/>
              <w:end w:w="75" w:type="dxa"/>
            </w:tcMar>
            <w:shd w:fill="E8EDF2"/>
          </w:tcPr>
          <w:p>
            <w:r/>
            <w:r>
              <w:rPr>
                <w:rFonts w:ascii="Aptos" w:hAnsi="Aptos"/>
                <w:b/>
                <w:sz w:val="17"/>
              </w:rPr>
              <w:t>Adjusted reported volume</w:t>
            </w:r>
          </w:p>
        </w:tc>
      </w:tr>
      <w:tr>
        <w:tc>
          <w:tcPr>
            <w:tcW w:type="dxa" w:w="3331"/>
            <w:vAlign w:val="center"/>
            <w:tcMar>
              <w:top w:w="75" w:type="dxa"/>
              <w:start w:w="75" w:type="dxa"/>
              <w:bottom w:w="75" w:type="dxa"/>
              <w:end w:w="75" w:type="dxa"/>
            </w:tcMar>
          </w:tcPr>
          <w:p>
            <w:r/>
            <w:r>
              <w:rPr>
                <w:rFonts w:ascii="Aptos" w:hAnsi="Aptos"/>
                <w:b/>
                <w:sz w:val="26"/>
              </w:rPr>
              <w:t>569,864</w:t>
            </w:r>
          </w:p>
        </w:tc>
        <w:tc>
          <w:tcPr>
            <w:tcW w:type="dxa" w:w="3331"/>
            <w:vAlign w:val="center"/>
            <w:tcMar>
              <w:top w:w="75" w:type="dxa"/>
              <w:start w:w="75" w:type="dxa"/>
              <w:bottom w:w="75" w:type="dxa"/>
              <w:end w:w="75" w:type="dxa"/>
            </w:tcMar>
          </w:tcPr>
          <w:p>
            <w:r/>
            <w:r>
              <w:rPr>
                <w:rFonts w:ascii="Aptos" w:hAnsi="Aptos"/>
                <w:b/>
                <w:sz w:val="26"/>
              </w:rPr>
              <w:t>19,932,002</w:t>
            </w:r>
          </w:p>
        </w:tc>
        <w:tc>
          <w:tcPr>
            <w:tcW w:type="dxa" w:w="3331"/>
            <w:vAlign w:val="center"/>
            <w:tcMar>
              <w:top w:w="75" w:type="dxa"/>
              <w:start w:w="75" w:type="dxa"/>
              <w:bottom w:w="75" w:type="dxa"/>
              <w:end w:w="75" w:type="dxa"/>
            </w:tcMar>
          </w:tcPr>
          <w:p>
            <w:r/>
            <w:r>
              <w:rPr>
                <w:rFonts w:ascii="Aptos" w:hAnsi="Aptos"/>
                <w:b/>
                <w:sz w:val="26"/>
              </w:rPr>
              <w:t>$8.26B</w:t>
            </w:r>
          </w:p>
        </w:tc>
      </w:tr>
    </w:tbl>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E8EDF2"/>
          </w:tcPr>
          <w:p>
            <w:r/>
            <w:r>
              <w:rPr>
                <w:rFonts w:ascii="Aptos" w:hAnsi="Aptos"/>
                <w:b/>
                <w:sz w:val="17"/>
              </w:rPr>
              <w:t>Average daily active wallets</w:t>
            </w:r>
          </w:p>
        </w:tc>
        <w:tc>
          <w:tcPr>
            <w:tcW w:type="dxa" w:w="3331"/>
            <w:vAlign w:val="center"/>
            <w:tcMar>
              <w:top w:w="75" w:type="dxa"/>
              <w:start w:w="75" w:type="dxa"/>
              <w:bottom w:w="75" w:type="dxa"/>
              <w:end w:w="75" w:type="dxa"/>
            </w:tcMar>
            <w:shd w:fill="E8EDF2"/>
          </w:tcPr>
          <w:p>
            <w:r/>
            <w:r>
              <w:rPr>
                <w:rFonts w:ascii="Aptos" w:hAnsi="Aptos"/>
                <w:b/>
                <w:sz w:val="17"/>
              </w:rPr>
              <w:t>Median tx / wallet</w:t>
            </w:r>
          </w:p>
        </w:tc>
        <w:tc>
          <w:tcPr>
            <w:tcW w:type="dxa" w:w="3331"/>
            <w:vAlign w:val="center"/>
            <w:tcMar>
              <w:top w:w="75" w:type="dxa"/>
              <w:start w:w="75" w:type="dxa"/>
              <w:bottom w:w="75" w:type="dxa"/>
              <w:end w:w="75" w:type="dxa"/>
            </w:tcMar>
            <w:shd w:fill="E8EDF2"/>
          </w:tcPr>
          <w:p>
            <w:r/>
            <w:r>
              <w:rPr>
                <w:rFonts w:ascii="Aptos" w:hAnsi="Aptos"/>
                <w:b/>
                <w:sz w:val="17"/>
              </w:rPr>
              <w:t>Median active days / wallet</w:t>
            </w:r>
          </w:p>
        </w:tc>
      </w:tr>
      <w:tr>
        <w:tc>
          <w:tcPr>
            <w:tcW w:type="dxa" w:w="3331"/>
            <w:vAlign w:val="center"/>
            <w:tcMar>
              <w:top w:w="75" w:type="dxa"/>
              <w:start w:w="75" w:type="dxa"/>
              <w:bottom w:w="75" w:type="dxa"/>
              <w:end w:w="75" w:type="dxa"/>
            </w:tcMar>
          </w:tcPr>
          <w:p>
            <w:r/>
            <w:r>
              <w:rPr>
                <w:rFonts w:ascii="Aptos" w:hAnsi="Aptos"/>
                <w:b/>
                <w:sz w:val="26"/>
              </w:rPr>
              <w:t>58,579</w:t>
            </w:r>
          </w:p>
        </w:tc>
        <w:tc>
          <w:tcPr>
            <w:tcW w:type="dxa" w:w="3331"/>
            <w:vAlign w:val="center"/>
            <w:tcMar>
              <w:top w:w="75" w:type="dxa"/>
              <w:start w:w="75" w:type="dxa"/>
              <w:bottom w:w="75" w:type="dxa"/>
              <w:end w:w="75" w:type="dxa"/>
            </w:tcMar>
          </w:tcPr>
          <w:p>
            <w:r/>
            <w:r>
              <w:rPr>
                <w:rFonts w:ascii="Aptos" w:hAnsi="Aptos"/>
                <w:b/>
                <w:sz w:val="26"/>
              </w:rPr>
              <w:t>2</w:t>
            </w:r>
          </w:p>
        </w:tc>
        <w:tc>
          <w:tcPr>
            <w:tcW w:type="dxa" w:w="3331"/>
            <w:vAlign w:val="center"/>
            <w:tcMar>
              <w:top w:w="75" w:type="dxa"/>
              <w:start w:w="75" w:type="dxa"/>
              <w:bottom w:w="75" w:type="dxa"/>
              <w:end w:w="75" w:type="dxa"/>
            </w:tcMar>
          </w:tcPr>
          <w:p>
            <w:r/>
            <w:r>
              <w:rPr>
                <w:rFonts w:ascii="Aptos" w:hAnsi="Aptos"/>
                <w:b/>
                <w:sz w:val="26"/>
              </w:rPr>
              <w:t>1</w:t>
            </w:r>
          </w:p>
        </w:tc>
      </w:tr>
    </w:tbl>
    <w:p>
      <w:pPr>
        <w:spacing w:after="100"/>
      </w:pPr>
      <w:r>
        <w:rPr>
          <w:b/>
        </w:rPr>
        <w:t xml:space="preserve">Participation is broad, but intensity is highly skewed. </w:t>
      </w:r>
      <w:r>
        <w:t>82.8% of wallets made 10 or fewer transactions, while 0.73% made more than 500. The &gt;500 group generated about 65.6% of all transactions.</w:t>
      </w:r>
    </w:p>
    <w:p>
      <w:pPr>
        <w:spacing w:after="100"/>
      </w:pPr>
      <w:r>
        <w:rPr>
          <w:b/>
        </w:rPr>
        <w:t xml:space="preserve">Transaction and volume concentration are substantial. </w:t>
      </w:r>
      <w:r>
        <w:t>The top 1% of wallets represented 68.94% of transactions and 71.54% of adjusted volume; the top 0.1% represented 42.44% and 39.51%, respectively.</w:t>
      </w:r>
    </w:p>
    <w:p>
      <w:pPr>
        <w:spacing w:after="100"/>
      </w:pPr>
      <w:r>
        <w:rPr>
          <w:b/>
        </w:rPr>
        <w:t xml:space="preserve">Return behavior varies by observed activity segment. </w:t>
      </w:r>
      <w:r>
        <w:t>Across all eligible wallets, 38.26% returned on a later day for D2 and 37.07% for D7. Segment results are descriptive because segment membership is defined over the same full window.</w:t>
      </w:r>
    </w:p>
    <w:p>
      <w:pPr>
        <w:spacing w:after="100"/>
      </w:pPr>
      <w:r>
        <w:rPr>
          <w:b/>
        </w:rPr>
        <w:t xml:space="preserve">A material volume anomaly was independently investigated. </w:t>
      </w:r>
      <w:r>
        <w:t>Three Uniswap v4 transactions generated about $28.23B of reported volume on 18 August. Raw V4 events matched `dex.trades` 1:1, while reported USDC swap amounts were not backed by comparable ERC-20 settlement. The transactions were excluded from volume metrics only.</w:t>
      </w:r>
    </w:p>
    <w:p>
      <w:pPr>
        <w:pStyle w:val="Heading1"/>
      </w:pPr>
      <w:r>
        <w:t>1. Research question and analytical frame</w:t>
      </w:r>
    </w:p>
    <w:p>
      <w:r>
        <w:t>The analysis is organized around four dimensions: scale, frequency, concentration, and return behavior. This framing separates how many participants exist from how much activity they generate, and from whether they are observed again on later days.</w:t>
      </w:r>
    </w:p>
    <w:p>
      <w:r>
        <w:t>The wallet unit is `tx_from`, the address that signed and sent the transaction. `taker` is not used because it can represent a router or aggregator contract. A transaction is a distinct `tx_hash`; a single transaction can produce multiple `dex.trades` rows through multi-hop or multi-pool execution.</w:t>
      </w:r>
    </w:p>
    <w:p>
      <w:pPr>
        <w:pStyle w:val="Heading1"/>
      </w:pPr>
      <w:r>
        <w:t>2. Data and methodology</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7"/>
              </w:rPr>
              <w:t>Method item</w:t>
            </w:r>
          </w:p>
        </w:tc>
        <w:tc>
          <w:tcPr>
            <w:tcW w:type="dxa" w:w="4997"/>
            <w:vAlign w:val="center"/>
            <w:tcMar>
              <w:top w:w="75" w:type="dxa"/>
              <w:start w:w="75" w:type="dxa"/>
              <w:bottom w:w="75" w:type="dxa"/>
              <w:end w:w="75" w:type="dxa"/>
            </w:tcMar>
            <w:shd w:fill="253746"/>
          </w:tcPr>
          <w:p>
            <w:r/>
            <w:r>
              <w:rPr>
                <w:rFonts w:ascii="Aptos" w:hAnsi="Aptos"/>
                <w:b/>
                <w:color w:val="FFFFFF"/>
                <w:sz w:val="17"/>
              </w:rPr>
              <w:t>Definition</w:t>
            </w:r>
          </w:p>
        </w:tc>
      </w:tr>
      <w:tr>
        <w:tc>
          <w:tcPr>
            <w:tcW w:type="dxa" w:w="4997"/>
            <w:vAlign w:val="center"/>
            <w:tcMar>
              <w:top w:w="75" w:type="dxa"/>
              <w:start w:w="75" w:type="dxa"/>
              <w:bottom w:w="75" w:type="dxa"/>
              <w:end w:w="75" w:type="dxa"/>
            </w:tcMar>
          </w:tcPr>
          <w:p>
            <w:r/>
            <w:r>
              <w:rPr>
                <w:rFonts w:ascii="Aptos" w:hAnsi="Aptos"/>
                <w:b/>
                <w:sz w:val="16"/>
              </w:rPr>
              <w:t>Data source</w:t>
            </w:r>
          </w:p>
        </w:tc>
        <w:tc>
          <w:tcPr>
            <w:tcW w:type="dxa" w:w="4997"/>
            <w:vAlign w:val="center"/>
            <w:tcMar>
              <w:top w:w="75" w:type="dxa"/>
              <w:start w:w="75" w:type="dxa"/>
              <w:bottom w:w="75" w:type="dxa"/>
              <w:end w:w="75" w:type="dxa"/>
            </w:tcMar>
          </w:tcPr>
          <w:p>
            <w:r/>
            <w:r>
              <w:rPr>
                <w:rFonts w:ascii="Aptos" w:hAnsi="Aptos"/>
                <w:b w:val="0"/>
                <w:sz w:val="16"/>
              </w:rPr>
              <w:t>Dune Spellbook `dex.trades`; Base; Uniswap v2, v3 and v4.</w:t>
            </w:r>
          </w:p>
        </w:tc>
      </w:tr>
      <w:tr>
        <w:tc>
          <w:tcPr>
            <w:tcW w:type="dxa" w:w="4997"/>
            <w:vAlign w:val="center"/>
            <w:tcMar>
              <w:top w:w="75" w:type="dxa"/>
              <w:start w:w="75" w:type="dxa"/>
              <w:bottom w:w="75" w:type="dxa"/>
              <w:end w:w="75" w:type="dxa"/>
            </w:tcMar>
          </w:tcPr>
          <w:p>
            <w:r/>
            <w:r>
              <w:rPr>
                <w:rFonts w:ascii="Aptos" w:hAnsi="Aptos"/>
                <w:b/>
                <w:sz w:val="16"/>
              </w:rPr>
              <w:t>Window</w:t>
            </w:r>
          </w:p>
        </w:tc>
        <w:tc>
          <w:tcPr>
            <w:tcW w:type="dxa" w:w="4997"/>
            <w:vAlign w:val="center"/>
            <w:tcMar>
              <w:top w:w="75" w:type="dxa"/>
              <w:start w:w="75" w:type="dxa"/>
              <w:bottom w:w="75" w:type="dxa"/>
              <w:end w:w="75" w:type="dxa"/>
            </w:tcMar>
          </w:tcPr>
          <w:p>
            <w:r/>
            <w:r>
              <w:rPr>
                <w:rFonts w:ascii="Aptos" w:hAnsi="Aptos"/>
                <w:b w:val="0"/>
                <w:sz w:val="16"/>
              </w:rPr>
              <w:t>16 Aug – 15 Sep 2026 inclusive; 31 UTC days; `block_date` with `block_month` partition pruning.</w:t>
            </w:r>
          </w:p>
        </w:tc>
      </w:tr>
      <w:tr>
        <w:tc>
          <w:tcPr>
            <w:tcW w:type="dxa" w:w="4997"/>
            <w:vAlign w:val="center"/>
            <w:tcMar>
              <w:top w:w="75" w:type="dxa"/>
              <w:start w:w="75" w:type="dxa"/>
              <w:bottom w:w="75" w:type="dxa"/>
              <w:end w:w="75" w:type="dxa"/>
            </w:tcMar>
          </w:tcPr>
          <w:p>
            <w:r/>
            <w:r>
              <w:rPr>
                <w:rFonts w:ascii="Aptos" w:hAnsi="Aptos"/>
                <w:b/>
                <w:sz w:val="16"/>
              </w:rPr>
              <w:t>Volume</w:t>
            </w:r>
          </w:p>
        </w:tc>
        <w:tc>
          <w:tcPr>
            <w:tcW w:type="dxa" w:w="4997"/>
            <w:vAlign w:val="center"/>
            <w:tcMar>
              <w:top w:w="75" w:type="dxa"/>
              <w:start w:w="75" w:type="dxa"/>
              <w:bottom w:w="75" w:type="dxa"/>
              <w:end w:w="75" w:type="dxa"/>
            </w:tcMar>
          </w:tcPr>
          <w:p>
            <w:r/>
            <w:r>
              <w:rPr>
                <w:rFonts w:ascii="Aptos" w:hAnsi="Aptos"/>
                <w:b w:val="0"/>
                <w:sz w:val="16"/>
              </w:rPr>
              <w:t>`SUM(amount_usd)` across trade rows, excluding the three identified anomalous transactions. Multi-hop swaps count each hop; rows without USD price contribute no volume.</w:t>
            </w:r>
          </w:p>
        </w:tc>
      </w:tr>
      <w:tr>
        <w:tc>
          <w:tcPr>
            <w:tcW w:type="dxa" w:w="4997"/>
            <w:vAlign w:val="center"/>
            <w:tcMar>
              <w:top w:w="75" w:type="dxa"/>
              <w:start w:w="75" w:type="dxa"/>
              <w:bottom w:w="75" w:type="dxa"/>
              <w:end w:w="75" w:type="dxa"/>
            </w:tcMar>
          </w:tcPr>
          <w:p>
            <w:r/>
            <w:r>
              <w:rPr>
                <w:rFonts w:ascii="Aptos" w:hAnsi="Aptos"/>
                <w:b/>
                <w:sz w:val="16"/>
              </w:rPr>
              <w:t>Active day</w:t>
            </w:r>
          </w:p>
        </w:tc>
        <w:tc>
          <w:tcPr>
            <w:tcW w:type="dxa" w:w="4997"/>
            <w:vAlign w:val="center"/>
            <w:tcMar>
              <w:top w:w="75" w:type="dxa"/>
              <w:start w:w="75" w:type="dxa"/>
              <w:bottom w:w="75" w:type="dxa"/>
              <w:end w:w="75" w:type="dxa"/>
            </w:tcMar>
          </w:tcPr>
          <w:p>
            <w:r/>
            <w:r>
              <w:rPr>
                <w:rFonts w:ascii="Aptos" w:hAnsi="Aptos"/>
                <w:b w:val="0"/>
                <w:sz w:val="16"/>
              </w:rPr>
              <w:t>UTC calendar day on which the wallet made at least one Uniswap trade.</w:t>
            </w:r>
          </w:p>
        </w:tc>
      </w:tr>
      <w:tr>
        <w:tc>
          <w:tcPr>
            <w:tcW w:type="dxa" w:w="4997"/>
            <w:vAlign w:val="center"/>
            <w:tcMar>
              <w:top w:w="75" w:type="dxa"/>
              <w:start w:w="75" w:type="dxa"/>
              <w:bottom w:w="75" w:type="dxa"/>
              <w:end w:w="75" w:type="dxa"/>
            </w:tcMar>
          </w:tcPr>
          <w:p>
            <w:r/>
            <w:r>
              <w:rPr>
                <w:rFonts w:ascii="Aptos" w:hAnsi="Aptos"/>
                <w:b/>
                <w:sz w:val="16"/>
              </w:rPr>
              <w:t>Frequency</w:t>
            </w:r>
          </w:p>
        </w:tc>
        <w:tc>
          <w:tcPr>
            <w:tcW w:type="dxa" w:w="4997"/>
            <w:vAlign w:val="center"/>
            <w:tcMar>
              <w:top w:w="75" w:type="dxa"/>
              <w:start w:w="75" w:type="dxa"/>
              <w:bottom w:w="75" w:type="dxa"/>
              <w:end w:w="75" w:type="dxa"/>
            </w:tcMar>
          </w:tcPr>
          <w:p>
            <w:r/>
            <w:r>
              <w:rPr>
                <w:rFonts w:ascii="Aptos" w:hAnsi="Aptos"/>
                <w:b w:val="0"/>
                <w:sz w:val="16"/>
              </w:rPr>
              <w:t>1; 2–10; 11–50; 51–100; 101–500; 501–1,000; &gt;1,000 transactions.</w:t>
            </w:r>
          </w:p>
        </w:tc>
      </w:tr>
      <w:tr>
        <w:tc>
          <w:tcPr>
            <w:tcW w:type="dxa" w:w="4997"/>
            <w:vAlign w:val="center"/>
            <w:tcMar>
              <w:top w:w="75" w:type="dxa"/>
              <w:start w:w="75" w:type="dxa"/>
              <w:bottom w:w="75" w:type="dxa"/>
              <w:end w:w="75" w:type="dxa"/>
            </w:tcMar>
          </w:tcPr>
          <w:p>
            <w:r/>
            <w:r>
              <w:rPr>
                <w:rFonts w:ascii="Aptos" w:hAnsi="Aptos"/>
                <w:b/>
                <w:sz w:val="16"/>
              </w:rPr>
              <w:t>Concentration</w:t>
            </w:r>
          </w:p>
        </w:tc>
        <w:tc>
          <w:tcPr>
            <w:tcW w:type="dxa" w:w="4997"/>
            <w:vAlign w:val="center"/>
            <w:tcMar>
              <w:top w:w="75" w:type="dxa"/>
              <w:start w:w="75" w:type="dxa"/>
              <w:bottom w:w="75" w:type="dxa"/>
              <w:end w:w="75" w:type="dxa"/>
            </w:tcMar>
          </w:tcPr>
          <w:p>
            <w:r/>
            <w:r>
              <w:rPr>
                <w:rFonts w:ascii="Aptos" w:hAnsi="Aptos"/>
                <w:b w:val="0"/>
                <w:sz w:val="16"/>
              </w:rPr>
              <w:t>Wallets ranked by transaction count and grouped into 1,000 equal groups; cumulative transaction and USD-volume shares reported.</w:t>
            </w:r>
          </w:p>
        </w:tc>
      </w:tr>
      <w:tr>
        <w:tc>
          <w:tcPr>
            <w:tcW w:type="dxa" w:w="4997"/>
            <w:vAlign w:val="center"/>
            <w:tcMar>
              <w:top w:w="75" w:type="dxa"/>
              <w:start w:w="75" w:type="dxa"/>
              <w:bottom w:w="75" w:type="dxa"/>
              <w:end w:w="75" w:type="dxa"/>
            </w:tcMar>
          </w:tcPr>
          <w:p>
            <w:r/>
            <w:r>
              <w:rPr>
                <w:rFonts w:ascii="Aptos" w:hAnsi="Aptos"/>
                <w:b/>
                <w:sz w:val="16"/>
              </w:rPr>
              <w:t>Retention</w:t>
            </w:r>
          </w:p>
        </w:tc>
        <w:tc>
          <w:tcPr>
            <w:tcW w:type="dxa" w:w="4997"/>
            <w:vAlign w:val="center"/>
            <w:tcMar>
              <w:top w:w="75" w:type="dxa"/>
              <w:start w:w="75" w:type="dxa"/>
              <w:bottom w:w="75" w:type="dxa"/>
              <w:end w:w="75" w:type="dxa"/>
            </w:tcMar>
          </w:tcPr>
          <w:p>
            <w:r/>
            <w:r>
              <w:rPr>
                <w:rFonts w:ascii="Aptos" w:hAnsi="Aptos"/>
                <w:b w:val="0"/>
                <w:sz w:val="16"/>
              </w:rPr>
              <w:t>Activity on a later calendar day. Same-day activity does not count as return.</w:t>
            </w:r>
          </w:p>
        </w:tc>
      </w:tr>
      <w:tr>
        <w:tc>
          <w:tcPr>
            <w:tcW w:type="dxa" w:w="4997"/>
            <w:vAlign w:val="center"/>
            <w:tcMar>
              <w:top w:w="75" w:type="dxa"/>
              <w:start w:w="75" w:type="dxa"/>
              <w:bottom w:w="75" w:type="dxa"/>
              <w:end w:w="75" w:type="dxa"/>
            </w:tcMar>
          </w:tcPr>
          <w:p>
            <w:r/>
            <w:r>
              <w:rPr>
                <w:rFonts w:ascii="Aptos" w:hAnsi="Aptos"/>
                <w:b/>
                <w:sz w:val="16"/>
              </w:rPr>
              <w:t>Cohort eligibility</w:t>
            </w:r>
          </w:p>
        </w:tc>
        <w:tc>
          <w:tcPr>
            <w:tcW w:type="dxa" w:w="4997"/>
            <w:vAlign w:val="center"/>
            <w:tcMar>
              <w:top w:w="75" w:type="dxa"/>
              <w:start w:w="75" w:type="dxa"/>
              <w:bottom w:w="75" w:type="dxa"/>
              <w:end w:w="75" w:type="dxa"/>
            </w:tcMar>
          </w:tcPr>
          <w:p>
            <w:r/>
            <w:r>
              <w:rPr>
                <w:rFonts w:ascii="Aptos" w:hAnsi="Aptos"/>
                <w:b w:val="0"/>
                <w:sz w:val="16"/>
              </w:rPr>
              <w:t>D2 &lt;= 14 Sep; D7 &lt;= 8 Sep; D14 &lt;= 1 Sep; D30 = 16 Aug only.</w:t>
            </w:r>
          </w:p>
        </w:tc>
      </w:tr>
      <w:tr>
        <w:tc>
          <w:tcPr>
            <w:tcW w:type="dxa" w:w="4997"/>
            <w:vAlign w:val="center"/>
            <w:tcMar>
              <w:top w:w="75" w:type="dxa"/>
              <w:start w:w="75" w:type="dxa"/>
              <w:bottom w:w="75" w:type="dxa"/>
              <w:end w:w="75" w:type="dxa"/>
            </w:tcMar>
          </w:tcPr>
          <w:p>
            <w:r/>
            <w:r>
              <w:rPr>
                <w:rFonts w:ascii="Aptos" w:hAnsi="Aptos"/>
                <w:b/>
                <w:sz w:val="16"/>
              </w:rPr>
              <w:t>Segments</w:t>
            </w:r>
          </w:p>
        </w:tc>
        <w:tc>
          <w:tcPr>
            <w:tcW w:type="dxa" w:w="4997"/>
            <w:vAlign w:val="center"/>
            <w:tcMar>
              <w:top w:w="75" w:type="dxa"/>
              <w:start w:w="75" w:type="dxa"/>
              <w:bottom w:w="75" w:type="dxa"/>
              <w:end w:w="75" w:type="dxa"/>
            </w:tcMar>
          </w:tcPr>
          <w:p>
            <w:r/>
            <w:r>
              <w:rPr>
                <w:rFonts w:ascii="Aptos" w:hAnsi="Aptos"/>
                <w:b w:val="0"/>
                <w:sz w:val="16"/>
              </w:rPr>
              <w:t>Casual 1–10; Regular 11–500; High-frequency &gt;500 transactions across the full window. Descriptive, not predictive.</w:t>
            </w:r>
          </w:p>
        </w:tc>
      </w:tr>
    </w:tbl>
    <w:p>
      <w:pPr>
        <w:pStyle w:val="CaptionSmall"/>
      </w:pPr>
      <w:r>
        <w:t xml:space="preserve">Source: Dune query 8733980 — Methodology &amp; definitions. </w:t>
      </w:r>
      <w:hyperlink r:id="rId12">
        <w:r>
          <w:rPr>
            <w:color w:val="1F5A94"/>
            <w:u w:val="single"/>
          </w:rPr>
          <w:t>Open methodology query</w:t>
        </w:r>
      </w:hyperlink>
    </w:p>
    <w:p>
      <w:pPr>
        <w:pStyle w:val="Heading1"/>
      </w:pPr>
      <w:r>
        <w:t>3. Findings</w:t>
      </w:r>
    </w:p>
    <w:p>
      <w:pPr>
        <w:pStyle w:val="Heading2"/>
      </w:pPr>
      <w:r>
        <w:t>3.1 Scale and activity profile</w:t>
      </w:r>
    </w:p>
    <w:p>
      <w:r>
        <w:t>The production run records 569,864 participating wallets and 19,932,002 distinct transactions over the 31-day window. Adjusted reported volume is $8,260,205,266. The average number of daily active wallets is 58,579. The median wallet makes 2 transactions and is active on 1 day; 37.08% of wallets are active on at least 2 days.</w:t>
      </w:r>
    </w:p>
    <w:p>
      <w:pPr>
        <w:pStyle w:val="Heading2"/>
      </w:pPr>
      <w:r>
        <w:t>3.2 Transaction frequency distribution</w:t>
      </w:r>
    </w:p>
    <w:p>
      <w:r>
        <w:t>Transaction frequency is highly right-skewed. A large majority of wallets sit at the low-frequency end, while a small high-frequency tail contributes most of the transaction throughput.</w:t>
      </w:r>
    </w:p>
    <w:p>
      <w:pPr>
        <w:jc w:val="center"/>
      </w:pPr>
      <w:r>
        <w:drawing>
          <wp:inline xmlns:a="http://schemas.openxmlformats.org/drawingml/2006/main" xmlns:pic="http://schemas.openxmlformats.org/drawingml/2006/picture">
            <wp:extent cx="6217920" cy="2727693"/>
            <wp:docPr id="1" name="Picture 1" descr="Bar chart showing wallet share and transaction share across transaction-frequency buckets; most wallets are in low-frequency buckets while the &gt;1,000 bucket accounts for most transactions." title="Figure 1"/>
            <wp:cNvGraphicFramePr>
              <a:graphicFrameLocks noChangeAspect="1"/>
            </wp:cNvGraphicFramePr>
            <a:graphic>
              <a:graphicData uri="http://schemas.openxmlformats.org/drawingml/2006/picture">
                <pic:pic>
                  <pic:nvPicPr>
                    <pic:cNvPr id="0" name="frequency.png"/>
                    <pic:cNvPicPr/>
                  </pic:nvPicPr>
                  <pic:blipFill>
                    <a:blip r:embed="rId13"/>
                    <a:stretch>
                      <a:fillRect/>
                    </a:stretch>
                  </pic:blipFill>
                  <pic:spPr>
                    <a:xfrm>
                      <a:off x="0" y="0"/>
                      <a:ext cx="6217920" cy="2727693"/>
                    </a:xfrm>
                    <a:prstGeom prst="rect"/>
                  </pic:spPr>
                </pic:pic>
              </a:graphicData>
            </a:graphic>
          </wp:inline>
        </w:drawing>
      </w:r>
    </w:p>
    <w:p>
      <w:pPr>
        <w:pStyle w:val="CaptionSmall"/>
        <w:jc w:val="center"/>
      </w:pPr>
      <w:r>
        <w:t>Figure 1. Wallet share versus transaction share by frequency bucket.</w:t>
      </w:r>
    </w:p>
    <w:tbl>
      <w:tblPr>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tcMar>
              <w:top w:w="75" w:type="dxa"/>
              <w:start w:w="75" w:type="dxa"/>
              <w:bottom w:w="75" w:type="dxa"/>
              <w:end w:w="75" w:type="dxa"/>
            </w:tcMar>
            <w:shd w:fill="253746"/>
          </w:tcPr>
          <w:p>
            <w:r/>
            <w:r>
              <w:rPr>
                <w:rFonts w:ascii="Aptos" w:hAnsi="Aptos"/>
                <w:b/>
                <w:color w:val="FFFFFF"/>
                <w:sz w:val="15"/>
              </w:rPr>
              <w:t>Bucket</w:t>
            </w:r>
          </w:p>
        </w:tc>
        <w:tc>
          <w:tcPr>
            <w:tcW w:type="dxa" w:w="1666"/>
            <w:vAlign w:val="center"/>
            <w:tcMar>
              <w:top w:w="75" w:type="dxa"/>
              <w:start w:w="75" w:type="dxa"/>
              <w:bottom w:w="75" w:type="dxa"/>
              <w:end w:w="75" w:type="dxa"/>
            </w:tcMar>
            <w:shd w:fill="253746"/>
          </w:tcPr>
          <w:p>
            <w:r/>
            <w:r>
              <w:rPr>
                <w:rFonts w:ascii="Aptos" w:hAnsi="Aptos"/>
                <w:b/>
                <w:color w:val="FFFFFF"/>
                <w:sz w:val="15"/>
              </w:rPr>
              <w:t>Wallets</w:t>
            </w:r>
          </w:p>
        </w:tc>
        <w:tc>
          <w:tcPr>
            <w:tcW w:type="dxa" w:w="1666"/>
            <w:vAlign w:val="center"/>
            <w:tcMar>
              <w:top w:w="75" w:type="dxa"/>
              <w:start w:w="75" w:type="dxa"/>
              <w:bottom w:w="75" w:type="dxa"/>
              <w:end w:w="75" w:type="dxa"/>
            </w:tcMar>
            <w:shd w:fill="253746"/>
          </w:tcPr>
          <w:p>
            <w:r/>
            <w:r>
              <w:rPr>
                <w:rFonts w:ascii="Aptos" w:hAnsi="Aptos"/>
                <w:b/>
                <w:color w:val="FFFFFF"/>
                <w:sz w:val="15"/>
              </w:rPr>
              <w:t>% wallets</w:t>
            </w:r>
          </w:p>
        </w:tc>
        <w:tc>
          <w:tcPr>
            <w:tcW w:type="dxa" w:w="1666"/>
            <w:vAlign w:val="center"/>
            <w:tcMar>
              <w:top w:w="75" w:type="dxa"/>
              <w:start w:w="75" w:type="dxa"/>
              <w:bottom w:w="75" w:type="dxa"/>
              <w:end w:w="75" w:type="dxa"/>
            </w:tcMar>
            <w:shd w:fill="253746"/>
          </w:tcPr>
          <w:p>
            <w:r/>
            <w:r>
              <w:rPr>
                <w:rFonts w:ascii="Aptos" w:hAnsi="Aptos"/>
                <w:b/>
                <w:color w:val="FFFFFF"/>
                <w:sz w:val="15"/>
              </w:rPr>
              <w:t>Transactions</w:t>
            </w:r>
          </w:p>
        </w:tc>
        <w:tc>
          <w:tcPr>
            <w:tcW w:type="dxa" w:w="1666"/>
            <w:vAlign w:val="center"/>
            <w:tcMar>
              <w:top w:w="75" w:type="dxa"/>
              <w:start w:w="75" w:type="dxa"/>
              <w:bottom w:w="75" w:type="dxa"/>
              <w:end w:w="75" w:type="dxa"/>
            </w:tcMar>
            <w:shd w:fill="253746"/>
          </w:tcPr>
          <w:p>
            <w:r/>
            <w:r>
              <w:rPr>
                <w:rFonts w:ascii="Aptos" w:hAnsi="Aptos"/>
                <w:b/>
                <w:color w:val="FFFFFF"/>
                <w:sz w:val="15"/>
              </w:rPr>
              <w:t>% tx</w:t>
            </w:r>
          </w:p>
        </w:tc>
        <w:tc>
          <w:tcPr>
            <w:tcW w:type="dxa" w:w="1666"/>
            <w:vAlign w:val="center"/>
            <w:tcMar>
              <w:top w:w="75" w:type="dxa"/>
              <w:start w:w="75" w:type="dxa"/>
              <w:bottom w:w="75" w:type="dxa"/>
              <w:end w:w="75" w:type="dxa"/>
            </w:tcMar>
            <w:shd w:fill="253746"/>
          </w:tcPr>
          <w:p>
            <w:r/>
            <w:r>
              <w:rPr>
                <w:rFonts w:ascii="Aptos" w:hAnsi="Aptos"/>
                <w:b/>
                <w:color w:val="FFFFFF"/>
                <w:sz w:val="15"/>
              </w:rPr>
              <w:t>Median active days</w:t>
            </w:r>
          </w:p>
        </w:tc>
      </w:tr>
      <w:tr>
        <w:tc>
          <w:tcPr>
            <w:tcW w:type="dxa" w:w="1666"/>
            <w:vAlign w:val="center"/>
            <w:tcMar>
              <w:top w:w="75" w:type="dxa"/>
              <w:start w:w="75" w:type="dxa"/>
              <w:bottom w:w="75" w:type="dxa"/>
              <w:end w:w="75" w:type="dxa"/>
            </w:tcMar>
          </w:tcPr>
          <w:p>
            <w:r/>
            <w:r>
              <w:rPr>
                <w:rFonts w:ascii="Aptos" w:hAnsi="Aptos"/>
                <w:b w:val="0"/>
                <w:sz w:val="15"/>
              </w:rPr>
              <w:t>1</w:t>
            </w:r>
          </w:p>
        </w:tc>
        <w:tc>
          <w:tcPr>
            <w:tcW w:type="dxa" w:w="1666"/>
            <w:vAlign w:val="center"/>
            <w:tcMar>
              <w:top w:w="75" w:type="dxa"/>
              <w:start w:w="75" w:type="dxa"/>
              <w:bottom w:w="75" w:type="dxa"/>
              <w:end w:w="75" w:type="dxa"/>
            </w:tcMar>
          </w:tcPr>
          <w:p>
            <w:r/>
            <w:r>
              <w:rPr>
                <w:rFonts w:ascii="Aptos" w:hAnsi="Aptos"/>
                <w:b w:val="0"/>
                <w:sz w:val="15"/>
              </w:rPr>
              <w:t>204,280</w:t>
            </w:r>
          </w:p>
        </w:tc>
        <w:tc>
          <w:tcPr>
            <w:tcW w:type="dxa" w:w="1666"/>
            <w:vAlign w:val="center"/>
            <w:tcMar>
              <w:top w:w="75" w:type="dxa"/>
              <w:start w:w="75" w:type="dxa"/>
              <w:bottom w:w="75" w:type="dxa"/>
              <w:end w:w="75" w:type="dxa"/>
            </w:tcMar>
          </w:tcPr>
          <w:p>
            <w:r/>
            <w:r>
              <w:rPr>
                <w:rFonts w:ascii="Aptos" w:hAnsi="Aptos"/>
                <w:b w:val="0"/>
                <w:sz w:val="15"/>
              </w:rPr>
              <w:t>35.85%</w:t>
            </w:r>
          </w:p>
        </w:tc>
        <w:tc>
          <w:tcPr>
            <w:tcW w:type="dxa" w:w="1666"/>
            <w:vAlign w:val="center"/>
            <w:tcMar>
              <w:top w:w="75" w:type="dxa"/>
              <w:start w:w="75" w:type="dxa"/>
              <w:bottom w:w="75" w:type="dxa"/>
              <w:end w:w="75" w:type="dxa"/>
            </w:tcMar>
          </w:tcPr>
          <w:p>
            <w:r/>
            <w:r>
              <w:rPr>
                <w:rFonts w:ascii="Aptos" w:hAnsi="Aptos"/>
                <w:b w:val="0"/>
                <w:sz w:val="15"/>
              </w:rPr>
              <w:t>204,280</w:t>
            </w:r>
          </w:p>
        </w:tc>
        <w:tc>
          <w:tcPr>
            <w:tcW w:type="dxa" w:w="1666"/>
            <w:vAlign w:val="center"/>
            <w:tcMar>
              <w:top w:w="75" w:type="dxa"/>
              <w:start w:w="75" w:type="dxa"/>
              <w:bottom w:w="75" w:type="dxa"/>
              <w:end w:w="75" w:type="dxa"/>
            </w:tcMar>
          </w:tcPr>
          <w:p>
            <w:r/>
            <w:r>
              <w:rPr>
                <w:rFonts w:ascii="Aptos" w:hAnsi="Aptos"/>
                <w:b w:val="0"/>
                <w:sz w:val="15"/>
              </w:rPr>
              <w:t>1.02%</w:t>
            </w:r>
          </w:p>
        </w:tc>
        <w:tc>
          <w:tcPr>
            <w:tcW w:type="dxa" w:w="1666"/>
            <w:vAlign w:val="center"/>
            <w:tcMar>
              <w:top w:w="75" w:type="dxa"/>
              <w:start w:w="75" w:type="dxa"/>
              <w:bottom w:w="75" w:type="dxa"/>
              <w:end w:w="75" w:type="dxa"/>
            </w:tcMar>
          </w:tcPr>
          <w:p>
            <w:r/>
            <w:r>
              <w:rPr>
                <w:rFonts w:ascii="Aptos" w:hAnsi="Aptos"/>
                <w:b w:val="0"/>
                <w:sz w:val="15"/>
              </w:rPr>
              <w:t>1</w:t>
            </w:r>
          </w:p>
        </w:tc>
      </w:tr>
      <w:tr>
        <w:tc>
          <w:tcPr>
            <w:tcW w:type="dxa" w:w="1666"/>
            <w:vAlign w:val="center"/>
            <w:tcMar>
              <w:top w:w="75" w:type="dxa"/>
              <w:start w:w="75" w:type="dxa"/>
              <w:bottom w:w="75" w:type="dxa"/>
              <w:end w:w="75" w:type="dxa"/>
            </w:tcMar>
          </w:tcPr>
          <w:p>
            <w:r/>
            <w:r>
              <w:rPr>
                <w:rFonts w:ascii="Aptos" w:hAnsi="Aptos"/>
                <w:b w:val="0"/>
                <w:sz w:val="15"/>
              </w:rPr>
              <w:t>2-10</w:t>
            </w:r>
          </w:p>
        </w:tc>
        <w:tc>
          <w:tcPr>
            <w:tcW w:type="dxa" w:w="1666"/>
            <w:vAlign w:val="center"/>
            <w:tcMar>
              <w:top w:w="75" w:type="dxa"/>
              <w:start w:w="75" w:type="dxa"/>
              <w:bottom w:w="75" w:type="dxa"/>
              <w:end w:w="75" w:type="dxa"/>
            </w:tcMar>
          </w:tcPr>
          <w:p>
            <w:r/>
            <w:r>
              <w:rPr>
                <w:rFonts w:ascii="Aptos" w:hAnsi="Aptos"/>
                <w:b w:val="0"/>
                <w:sz w:val="15"/>
              </w:rPr>
              <w:t>267,527</w:t>
            </w:r>
          </w:p>
        </w:tc>
        <w:tc>
          <w:tcPr>
            <w:tcW w:type="dxa" w:w="1666"/>
            <w:vAlign w:val="center"/>
            <w:tcMar>
              <w:top w:w="75" w:type="dxa"/>
              <w:start w:w="75" w:type="dxa"/>
              <w:bottom w:w="75" w:type="dxa"/>
              <w:end w:w="75" w:type="dxa"/>
            </w:tcMar>
          </w:tcPr>
          <w:p>
            <w:r/>
            <w:r>
              <w:rPr>
                <w:rFonts w:ascii="Aptos" w:hAnsi="Aptos"/>
                <w:b w:val="0"/>
                <w:sz w:val="15"/>
              </w:rPr>
              <w:t>46.95%</w:t>
            </w:r>
          </w:p>
        </w:tc>
        <w:tc>
          <w:tcPr>
            <w:tcW w:type="dxa" w:w="1666"/>
            <w:vAlign w:val="center"/>
            <w:tcMar>
              <w:top w:w="75" w:type="dxa"/>
              <w:start w:w="75" w:type="dxa"/>
              <w:bottom w:w="75" w:type="dxa"/>
              <w:end w:w="75" w:type="dxa"/>
            </w:tcMar>
          </w:tcPr>
          <w:p>
            <w:r/>
            <w:r>
              <w:rPr>
                <w:rFonts w:ascii="Aptos" w:hAnsi="Aptos"/>
                <w:b w:val="0"/>
                <w:sz w:val="15"/>
              </w:rPr>
              <w:t>1,074,025</w:t>
            </w:r>
          </w:p>
        </w:tc>
        <w:tc>
          <w:tcPr>
            <w:tcW w:type="dxa" w:w="1666"/>
            <w:vAlign w:val="center"/>
            <w:tcMar>
              <w:top w:w="75" w:type="dxa"/>
              <w:start w:w="75" w:type="dxa"/>
              <w:bottom w:w="75" w:type="dxa"/>
              <w:end w:w="75" w:type="dxa"/>
            </w:tcMar>
          </w:tcPr>
          <w:p>
            <w:r/>
            <w:r>
              <w:rPr>
                <w:rFonts w:ascii="Aptos" w:hAnsi="Aptos"/>
                <w:b w:val="0"/>
                <w:sz w:val="15"/>
              </w:rPr>
              <w:t>5.39%</w:t>
            </w:r>
          </w:p>
        </w:tc>
        <w:tc>
          <w:tcPr>
            <w:tcW w:type="dxa" w:w="1666"/>
            <w:vAlign w:val="center"/>
            <w:tcMar>
              <w:top w:w="75" w:type="dxa"/>
              <w:start w:w="75" w:type="dxa"/>
              <w:bottom w:w="75" w:type="dxa"/>
              <w:end w:w="75" w:type="dxa"/>
            </w:tcMar>
          </w:tcPr>
          <w:p>
            <w:r/>
            <w:r>
              <w:rPr>
                <w:rFonts w:ascii="Aptos" w:hAnsi="Aptos"/>
                <w:b w:val="0"/>
                <w:sz w:val="15"/>
              </w:rPr>
              <w:t>1</w:t>
            </w:r>
          </w:p>
        </w:tc>
      </w:tr>
      <w:tr>
        <w:tc>
          <w:tcPr>
            <w:tcW w:type="dxa" w:w="1666"/>
            <w:vAlign w:val="center"/>
            <w:tcMar>
              <w:top w:w="75" w:type="dxa"/>
              <w:start w:w="75" w:type="dxa"/>
              <w:bottom w:w="75" w:type="dxa"/>
              <w:end w:w="75" w:type="dxa"/>
            </w:tcMar>
          </w:tcPr>
          <w:p>
            <w:r/>
            <w:r>
              <w:rPr>
                <w:rFonts w:ascii="Aptos" w:hAnsi="Aptos"/>
                <w:b w:val="0"/>
                <w:sz w:val="15"/>
              </w:rPr>
              <w:t>11-50</w:t>
            </w:r>
          </w:p>
        </w:tc>
        <w:tc>
          <w:tcPr>
            <w:tcW w:type="dxa" w:w="1666"/>
            <w:vAlign w:val="center"/>
            <w:tcMar>
              <w:top w:w="75" w:type="dxa"/>
              <w:start w:w="75" w:type="dxa"/>
              <w:bottom w:w="75" w:type="dxa"/>
              <w:end w:w="75" w:type="dxa"/>
            </w:tcMar>
          </w:tcPr>
          <w:p>
            <w:r/>
            <w:r>
              <w:rPr>
                <w:rFonts w:ascii="Aptos" w:hAnsi="Aptos"/>
                <w:b w:val="0"/>
                <w:sz w:val="15"/>
              </w:rPr>
              <w:t>65,406</w:t>
            </w:r>
          </w:p>
        </w:tc>
        <w:tc>
          <w:tcPr>
            <w:tcW w:type="dxa" w:w="1666"/>
            <w:vAlign w:val="center"/>
            <w:tcMar>
              <w:top w:w="75" w:type="dxa"/>
              <w:start w:w="75" w:type="dxa"/>
              <w:bottom w:w="75" w:type="dxa"/>
              <w:end w:w="75" w:type="dxa"/>
            </w:tcMar>
          </w:tcPr>
          <w:p>
            <w:r/>
            <w:r>
              <w:rPr>
                <w:rFonts w:ascii="Aptos" w:hAnsi="Aptos"/>
                <w:b w:val="0"/>
                <w:sz w:val="15"/>
              </w:rPr>
              <w:t>11.48%</w:t>
            </w:r>
          </w:p>
        </w:tc>
        <w:tc>
          <w:tcPr>
            <w:tcW w:type="dxa" w:w="1666"/>
            <w:vAlign w:val="center"/>
            <w:tcMar>
              <w:top w:w="75" w:type="dxa"/>
              <w:start w:w="75" w:type="dxa"/>
              <w:bottom w:w="75" w:type="dxa"/>
              <w:end w:w="75" w:type="dxa"/>
            </w:tcMar>
          </w:tcPr>
          <w:p>
            <w:r/>
            <w:r>
              <w:rPr>
                <w:rFonts w:ascii="Aptos" w:hAnsi="Aptos"/>
                <w:b w:val="0"/>
                <w:sz w:val="15"/>
              </w:rPr>
              <w:t>1,458,660</w:t>
            </w:r>
          </w:p>
        </w:tc>
        <w:tc>
          <w:tcPr>
            <w:tcW w:type="dxa" w:w="1666"/>
            <w:vAlign w:val="center"/>
            <w:tcMar>
              <w:top w:w="75" w:type="dxa"/>
              <w:start w:w="75" w:type="dxa"/>
              <w:bottom w:w="75" w:type="dxa"/>
              <w:end w:w="75" w:type="dxa"/>
            </w:tcMar>
          </w:tcPr>
          <w:p>
            <w:r/>
            <w:r>
              <w:rPr>
                <w:rFonts w:ascii="Aptos" w:hAnsi="Aptos"/>
                <w:b w:val="0"/>
                <w:sz w:val="15"/>
              </w:rPr>
              <w:t>7.32%</w:t>
            </w:r>
          </w:p>
        </w:tc>
        <w:tc>
          <w:tcPr>
            <w:tcW w:type="dxa" w:w="1666"/>
            <w:vAlign w:val="center"/>
            <w:tcMar>
              <w:top w:w="75" w:type="dxa"/>
              <w:start w:w="75" w:type="dxa"/>
              <w:bottom w:w="75" w:type="dxa"/>
              <w:end w:w="75" w:type="dxa"/>
            </w:tcMar>
          </w:tcPr>
          <w:p>
            <w:r/>
            <w:r>
              <w:rPr>
                <w:rFonts w:ascii="Aptos" w:hAnsi="Aptos"/>
                <w:b w:val="0"/>
                <w:sz w:val="15"/>
              </w:rPr>
              <w:t>6</w:t>
            </w:r>
          </w:p>
        </w:tc>
      </w:tr>
      <w:tr>
        <w:tc>
          <w:tcPr>
            <w:tcW w:type="dxa" w:w="1666"/>
            <w:vAlign w:val="center"/>
            <w:tcMar>
              <w:top w:w="75" w:type="dxa"/>
              <w:start w:w="75" w:type="dxa"/>
              <w:bottom w:w="75" w:type="dxa"/>
              <w:end w:w="75" w:type="dxa"/>
            </w:tcMar>
          </w:tcPr>
          <w:p>
            <w:r/>
            <w:r>
              <w:rPr>
                <w:rFonts w:ascii="Aptos" w:hAnsi="Aptos"/>
                <w:b w:val="0"/>
                <w:sz w:val="15"/>
              </w:rPr>
              <w:t>51-100</w:t>
            </w:r>
          </w:p>
        </w:tc>
        <w:tc>
          <w:tcPr>
            <w:tcW w:type="dxa" w:w="1666"/>
            <w:vAlign w:val="center"/>
            <w:tcMar>
              <w:top w:w="75" w:type="dxa"/>
              <w:start w:w="75" w:type="dxa"/>
              <w:bottom w:w="75" w:type="dxa"/>
              <w:end w:w="75" w:type="dxa"/>
            </w:tcMar>
          </w:tcPr>
          <w:p>
            <w:r/>
            <w:r>
              <w:rPr>
                <w:rFonts w:ascii="Aptos" w:hAnsi="Aptos"/>
                <w:b w:val="0"/>
                <w:sz w:val="15"/>
              </w:rPr>
              <w:t>12,678</w:t>
            </w:r>
          </w:p>
        </w:tc>
        <w:tc>
          <w:tcPr>
            <w:tcW w:type="dxa" w:w="1666"/>
            <w:vAlign w:val="center"/>
            <w:tcMar>
              <w:top w:w="75" w:type="dxa"/>
              <w:start w:w="75" w:type="dxa"/>
              <w:bottom w:w="75" w:type="dxa"/>
              <w:end w:w="75" w:type="dxa"/>
            </w:tcMar>
          </w:tcPr>
          <w:p>
            <w:r/>
            <w:r>
              <w:rPr>
                <w:rFonts w:ascii="Aptos" w:hAnsi="Aptos"/>
                <w:b w:val="0"/>
                <w:sz w:val="15"/>
              </w:rPr>
              <w:t>2.22%</w:t>
            </w:r>
          </w:p>
        </w:tc>
        <w:tc>
          <w:tcPr>
            <w:tcW w:type="dxa" w:w="1666"/>
            <w:vAlign w:val="center"/>
            <w:tcMar>
              <w:top w:w="75" w:type="dxa"/>
              <w:start w:w="75" w:type="dxa"/>
              <w:bottom w:w="75" w:type="dxa"/>
              <w:end w:w="75" w:type="dxa"/>
            </w:tcMar>
          </w:tcPr>
          <w:p>
            <w:r/>
            <w:r>
              <w:rPr>
                <w:rFonts w:ascii="Aptos" w:hAnsi="Aptos"/>
                <w:b w:val="0"/>
                <w:sz w:val="15"/>
              </w:rPr>
              <w:t>901,036</w:t>
            </w:r>
          </w:p>
        </w:tc>
        <w:tc>
          <w:tcPr>
            <w:tcW w:type="dxa" w:w="1666"/>
            <w:vAlign w:val="center"/>
            <w:tcMar>
              <w:top w:w="75" w:type="dxa"/>
              <w:start w:w="75" w:type="dxa"/>
              <w:bottom w:w="75" w:type="dxa"/>
              <w:end w:w="75" w:type="dxa"/>
            </w:tcMar>
          </w:tcPr>
          <w:p>
            <w:r/>
            <w:r>
              <w:rPr>
                <w:rFonts w:ascii="Aptos" w:hAnsi="Aptos"/>
                <w:b w:val="0"/>
                <w:sz w:val="15"/>
              </w:rPr>
              <w:t>4.52%</w:t>
            </w:r>
          </w:p>
        </w:tc>
        <w:tc>
          <w:tcPr>
            <w:tcW w:type="dxa" w:w="1666"/>
            <w:vAlign w:val="center"/>
            <w:tcMar>
              <w:top w:w="75" w:type="dxa"/>
              <w:start w:w="75" w:type="dxa"/>
              <w:bottom w:w="75" w:type="dxa"/>
              <w:end w:w="75" w:type="dxa"/>
            </w:tcMar>
          </w:tcPr>
          <w:p>
            <w:r/>
            <w:r>
              <w:rPr>
                <w:rFonts w:ascii="Aptos" w:hAnsi="Aptos"/>
                <w:b w:val="0"/>
                <w:sz w:val="15"/>
              </w:rPr>
              <w:t>15</w:t>
            </w:r>
          </w:p>
        </w:tc>
      </w:tr>
      <w:tr>
        <w:tc>
          <w:tcPr>
            <w:tcW w:type="dxa" w:w="1666"/>
            <w:vAlign w:val="center"/>
            <w:tcMar>
              <w:top w:w="75" w:type="dxa"/>
              <w:start w:w="75" w:type="dxa"/>
              <w:bottom w:w="75" w:type="dxa"/>
              <w:end w:w="75" w:type="dxa"/>
            </w:tcMar>
          </w:tcPr>
          <w:p>
            <w:r/>
            <w:r>
              <w:rPr>
                <w:rFonts w:ascii="Aptos" w:hAnsi="Aptos"/>
                <w:b w:val="0"/>
                <w:sz w:val="15"/>
              </w:rPr>
              <w:t>101-500</w:t>
            </w:r>
          </w:p>
        </w:tc>
        <w:tc>
          <w:tcPr>
            <w:tcW w:type="dxa" w:w="1666"/>
            <w:vAlign w:val="center"/>
            <w:tcMar>
              <w:top w:w="75" w:type="dxa"/>
              <w:start w:w="75" w:type="dxa"/>
              <w:bottom w:w="75" w:type="dxa"/>
              <w:end w:w="75" w:type="dxa"/>
            </w:tcMar>
          </w:tcPr>
          <w:p>
            <w:r/>
            <w:r>
              <w:rPr>
                <w:rFonts w:ascii="Aptos" w:hAnsi="Aptos"/>
                <w:b w:val="0"/>
                <w:sz w:val="15"/>
              </w:rPr>
              <w:t>15,812</w:t>
            </w:r>
          </w:p>
        </w:tc>
        <w:tc>
          <w:tcPr>
            <w:tcW w:type="dxa" w:w="1666"/>
            <w:vAlign w:val="center"/>
            <w:tcMar>
              <w:top w:w="75" w:type="dxa"/>
              <w:start w:w="75" w:type="dxa"/>
              <w:bottom w:w="75" w:type="dxa"/>
              <w:end w:w="75" w:type="dxa"/>
            </w:tcMar>
          </w:tcPr>
          <w:p>
            <w:r/>
            <w:r>
              <w:rPr>
                <w:rFonts w:ascii="Aptos" w:hAnsi="Aptos"/>
                <w:b w:val="0"/>
                <w:sz w:val="15"/>
              </w:rPr>
              <w:t>2.77%</w:t>
            </w:r>
          </w:p>
        </w:tc>
        <w:tc>
          <w:tcPr>
            <w:tcW w:type="dxa" w:w="1666"/>
            <w:vAlign w:val="center"/>
            <w:tcMar>
              <w:top w:w="75" w:type="dxa"/>
              <w:start w:w="75" w:type="dxa"/>
              <w:bottom w:w="75" w:type="dxa"/>
              <w:end w:w="75" w:type="dxa"/>
            </w:tcMar>
          </w:tcPr>
          <w:p>
            <w:r/>
            <w:r>
              <w:rPr>
                <w:rFonts w:ascii="Aptos" w:hAnsi="Aptos"/>
                <w:b w:val="0"/>
                <w:sz w:val="15"/>
              </w:rPr>
              <w:t>3,213,661</w:t>
            </w:r>
          </w:p>
        </w:tc>
        <w:tc>
          <w:tcPr>
            <w:tcW w:type="dxa" w:w="1666"/>
            <w:vAlign w:val="center"/>
            <w:tcMar>
              <w:top w:w="75" w:type="dxa"/>
              <w:start w:w="75" w:type="dxa"/>
              <w:bottom w:w="75" w:type="dxa"/>
              <w:end w:w="75" w:type="dxa"/>
            </w:tcMar>
          </w:tcPr>
          <w:p>
            <w:r/>
            <w:r>
              <w:rPr>
                <w:rFonts w:ascii="Aptos" w:hAnsi="Aptos"/>
                <w:b w:val="0"/>
                <w:sz w:val="15"/>
              </w:rPr>
              <w:t>16.12%</w:t>
            </w:r>
          </w:p>
        </w:tc>
        <w:tc>
          <w:tcPr>
            <w:tcW w:type="dxa" w:w="1666"/>
            <w:vAlign w:val="center"/>
            <w:tcMar>
              <w:top w:w="75" w:type="dxa"/>
              <w:start w:w="75" w:type="dxa"/>
              <w:bottom w:w="75" w:type="dxa"/>
              <w:end w:w="75" w:type="dxa"/>
            </w:tcMar>
          </w:tcPr>
          <w:p>
            <w:r/>
            <w:r>
              <w:rPr>
                <w:rFonts w:ascii="Aptos" w:hAnsi="Aptos"/>
                <w:b w:val="0"/>
                <w:sz w:val="15"/>
              </w:rPr>
              <w:t>20</w:t>
            </w:r>
          </w:p>
        </w:tc>
      </w:tr>
      <w:tr>
        <w:tc>
          <w:tcPr>
            <w:tcW w:type="dxa" w:w="1666"/>
            <w:vAlign w:val="center"/>
            <w:tcMar>
              <w:top w:w="75" w:type="dxa"/>
              <w:start w:w="75" w:type="dxa"/>
              <w:bottom w:w="75" w:type="dxa"/>
              <w:end w:w="75" w:type="dxa"/>
            </w:tcMar>
          </w:tcPr>
          <w:p>
            <w:r/>
            <w:r>
              <w:rPr>
                <w:rFonts w:ascii="Aptos" w:hAnsi="Aptos"/>
                <w:b w:val="0"/>
                <w:sz w:val="15"/>
              </w:rPr>
              <w:t>501-1,000</w:t>
            </w:r>
          </w:p>
        </w:tc>
        <w:tc>
          <w:tcPr>
            <w:tcW w:type="dxa" w:w="1666"/>
            <w:vAlign w:val="center"/>
            <w:tcMar>
              <w:top w:w="75" w:type="dxa"/>
              <w:start w:w="75" w:type="dxa"/>
              <w:bottom w:w="75" w:type="dxa"/>
              <w:end w:w="75" w:type="dxa"/>
            </w:tcMar>
          </w:tcPr>
          <w:p>
            <w:r/>
            <w:r>
              <w:rPr>
                <w:rFonts w:ascii="Aptos" w:hAnsi="Aptos"/>
                <w:b w:val="0"/>
                <w:sz w:val="15"/>
              </w:rPr>
              <w:t>1,781</w:t>
            </w:r>
          </w:p>
        </w:tc>
        <w:tc>
          <w:tcPr>
            <w:tcW w:type="dxa" w:w="1666"/>
            <w:vAlign w:val="center"/>
            <w:tcMar>
              <w:top w:w="75" w:type="dxa"/>
              <w:start w:w="75" w:type="dxa"/>
              <w:bottom w:w="75" w:type="dxa"/>
              <w:end w:w="75" w:type="dxa"/>
            </w:tcMar>
          </w:tcPr>
          <w:p>
            <w:r/>
            <w:r>
              <w:rPr>
                <w:rFonts w:ascii="Aptos" w:hAnsi="Aptos"/>
                <w:b w:val="0"/>
                <w:sz w:val="15"/>
              </w:rPr>
              <w:t>0.31%</w:t>
            </w:r>
          </w:p>
        </w:tc>
        <w:tc>
          <w:tcPr>
            <w:tcW w:type="dxa" w:w="1666"/>
            <w:vAlign w:val="center"/>
            <w:tcMar>
              <w:top w:w="75" w:type="dxa"/>
              <w:start w:w="75" w:type="dxa"/>
              <w:bottom w:w="75" w:type="dxa"/>
              <w:end w:w="75" w:type="dxa"/>
            </w:tcMar>
          </w:tcPr>
          <w:p>
            <w:r/>
            <w:r>
              <w:rPr>
                <w:rFonts w:ascii="Aptos" w:hAnsi="Aptos"/>
                <w:b w:val="0"/>
                <w:sz w:val="15"/>
              </w:rPr>
              <w:t>1,229,482</w:t>
            </w:r>
          </w:p>
        </w:tc>
        <w:tc>
          <w:tcPr>
            <w:tcW w:type="dxa" w:w="1666"/>
            <w:vAlign w:val="center"/>
            <w:tcMar>
              <w:top w:w="75" w:type="dxa"/>
              <w:start w:w="75" w:type="dxa"/>
              <w:bottom w:w="75" w:type="dxa"/>
              <w:end w:w="75" w:type="dxa"/>
            </w:tcMar>
          </w:tcPr>
          <w:p>
            <w:r/>
            <w:r>
              <w:rPr>
                <w:rFonts w:ascii="Aptos" w:hAnsi="Aptos"/>
                <w:b w:val="0"/>
                <w:sz w:val="15"/>
              </w:rPr>
              <w:t>6.17%</w:t>
            </w:r>
          </w:p>
        </w:tc>
        <w:tc>
          <w:tcPr>
            <w:tcW w:type="dxa" w:w="1666"/>
            <w:vAlign w:val="center"/>
            <w:tcMar>
              <w:top w:w="75" w:type="dxa"/>
              <w:start w:w="75" w:type="dxa"/>
              <w:bottom w:w="75" w:type="dxa"/>
              <w:end w:w="75" w:type="dxa"/>
            </w:tcMar>
          </w:tcPr>
          <w:p>
            <w:r/>
            <w:r>
              <w:rPr>
                <w:rFonts w:ascii="Aptos" w:hAnsi="Aptos"/>
                <w:b w:val="0"/>
                <w:sz w:val="15"/>
              </w:rPr>
              <w:t>29</w:t>
            </w:r>
          </w:p>
        </w:tc>
      </w:tr>
      <w:tr>
        <w:tc>
          <w:tcPr>
            <w:tcW w:type="dxa" w:w="1666"/>
            <w:vAlign w:val="center"/>
            <w:tcMar>
              <w:top w:w="75" w:type="dxa"/>
              <w:start w:w="75" w:type="dxa"/>
              <w:bottom w:w="75" w:type="dxa"/>
              <w:end w:w="75" w:type="dxa"/>
            </w:tcMar>
          </w:tcPr>
          <w:p>
            <w:r/>
            <w:r>
              <w:rPr>
                <w:rFonts w:ascii="Aptos" w:hAnsi="Aptos"/>
                <w:b w:val="0"/>
                <w:sz w:val="15"/>
              </w:rPr>
              <w:t>&gt;1,000</w:t>
            </w:r>
          </w:p>
        </w:tc>
        <w:tc>
          <w:tcPr>
            <w:tcW w:type="dxa" w:w="1666"/>
            <w:vAlign w:val="center"/>
            <w:tcMar>
              <w:top w:w="75" w:type="dxa"/>
              <w:start w:w="75" w:type="dxa"/>
              <w:bottom w:w="75" w:type="dxa"/>
              <w:end w:w="75" w:type="dxa"/>
            </w:tcMar>
          </w:tcPr>
          <w:p>
            <w:r/>
            <w:r>
              <w:rPr>
                <w:rFonts w:ascii="Aptos" w:hAnsi="Aptos"/>
                <w:b w:val="0"/>
                <w:sz w:val="15"/>
              </w:rPr>
              <w:t>2,380</w:t>
            </w:r>
          </w:p>
        </w:tc>
        <w:tc>
          <w:tcPr>
            <w:tcW w:type="dxa" w:w="1666"/>
            <w:vAlign w:val="center"/>
            <w:tcMar>
              <w:top w:w="75" w:type="dxa"/>
              <w:start w:w="75" w:type="dxa"/>
              <w:bottom w:w="75" w:type="dxa"/>
              <w:end w:w="75" w:type="dxa"/>
            </w:tcMar>
          </w:tcPr>
          <w:p>
            <w:r/>
            <w:r>
              <w:rPr>
                <w:rFonts w:ascii="Aptos" w:hAnsi="Aptos"/>
                <w:b w:val="0"/>
                <w:sz w:val="15"/>
              </w:rPr>
              <w:t>0.42%</w:t>
            </w:r>
          </w:p>
        </w:tc>
        <w:tc>
          <w:tcPr>
            <w:tcW w:type="dxa" w:w="1666"/>
            <w:vAlign w:val="center"/>
            <w:tcMar>
              <w:top w:w="75" w:type="dxa"/>
              <w:start w:w="75" w:type="dxa"/>
              <w:bottom w:w="75" w:type="dxa"/>
              <w:end w:w="75" w:type="dxa"/>
            </w:tcMar>
          </w:tcPr>
          <w:p>
            <w:r/>
            <w:r>
              <w:rPr>
                <w:rFonts w:ascii="Aptos" w:hAnsi="Aptos"/>
                <w:b w:val="0"/>
                <w:sz w:val="15"/>
              </w:rPr>
              <w:t>11,850,858</w:t>
            </w:r>
          </w:p>
        </w:tc>
        <w:tc>
          <w:tcPr>
            <w:tcW w:type="dxa" w:w="1666"/>
            <w:vAlign w:val="center"/>
            <w:tcMar>
              <w:top w:w="75" w:type="dxa"/>
              <w:start w:w="75" w:type="dxa"/>
              <w:bottom w:w="75" w:type="dxa"/>
              <w:end w:w="75" w:type="dxa"/>
            </w:tcMar>
          </w:tcPr>
          <w:p>
            <w:r/>
            <w:r>
              <w:rPr>
                <w:rFonts w:ascii="Aptos" w:hAnsi="Aptos"/>
                <w:b w:val="0"/>
                <w:sz w:val="15"/>
              </w:rPr>
              <w:t>59.46%</w:t>
            </w:r>
          </w:p>
        </w:tc>
        <w:tc>
          <w:tcPr>
            <w:tcW w:type="dxa" w:w="1666"/>
            <w:vAlign w:val="center"/>
            <w:tcMar>
              <w:top w:w="75" w:type="dxa"/>
              <w:start w:w="75" w:type="dxa"/>
              <w:bottom w:w="75" w:type="dxa"/>
              <w:end w:w="75" w:type="dxa"/>
            </w:tcMar>
          </w:tcPr>
          <w:p>
            <w:r/>
            <w:r>
              <w:rPr>
                <w:rFonts w:ascii="Aptos" w:hAnsi="Aptos"/>
                <w:b w:val="0"/>
                <w:sz w:val="15"/>
              </w:rPr>
              <w:t>30</w:t>
            </w:r>
          </w:p>
        </w:tc>
      </w:tr>
    </w:tbl>
    <w:p>
      <w:r>
        <w:t>The 1 and 2–10 buckets together contain 82.8% of wallets but only about 6.4% of transactions. At the other end, the &gt;500 bucket contains 0.42% of wallets and 59.46% of transactions; including the 501–1,000 bucket raises that activity share to about 65.6% while covering only 0.73% of wallets. These figures describe concentration of observed activity and do not establish that the high-frequency tail consists of bots.</w:t>
      </w:r>
    </w:p>
    <w:p>
      <w:pPr>
        <w:pStyle w:val="Heading2"/>
      </w:pPr>
      <w:r>
        <w:t>3.3 Wallet concentration</w:t>
      </w:r>
    </w:p>
    <w:p>
      <w:r>
        <w:t>The concentration analysis ranks wallets by transaction count and then measures cumulative shares of transactions and adjusted USD volume. The resulting curve remains far from an equal-share distribution.</w:t>
      </w:r>
    </w:p>
    <w:p>
      <w:pPr>
        <w:jc w:val="center"/>
      </w:pPr>
      <w:r>
        <w:drawing>
          <wp:inline xmlns:a="http://schemas.openxmlformats.org/drawingml/2006/main" xmlns:pic="http://schemas.openxmlformats.org/drawingml/2006/picture">
            <wp:extent cx="6217920" cy="2851336"/>
            <wp:docPr id="2" name="Picture 2" descr="Concentration chart showing cumulative transaction and adjusted-volume shares held by the top 0.1%, 1%, 5%, 10%, and 50% of wallets, alongside an equal-share reference." title="Figure 2"/>
            <wp:cNvGraphicFramePr>
              <a:graphicFrameLocks noChangeAspect="1"/>
            </wp:cNvGraphicFramePr>
            <a:graphic>
              <a:graphicData uri="http://schemas.openxmlformats.org/drawingml/2006/picture">
                <pic:pic>
                  <pic:nvPicPr>
                    <pic:cNvPr id="0" name="concentration.png"/>
                    <pic:cNvPicPr/>
                  </pic:nvPicPr>
                  <pic:blipFill>
                    <a:blip r:embed="rId14"/>
                    <a:stretch>
                      <a:fillRect/>
                    </a:stretch>
                  </pic:blipFill>
                  <pic:spPr>
                    <a:xfrm>
                      <a:off x="0" y="0"/>
                      <a:ext cx="6217920" cy="2851336"/>
                    </a:xfrm>
                    <a:prstGeom prst="rect"/>
                  </pic:spPr>
                </pic:pic>
              </a:graphicData>
            </a:graphic>
          </wp:inline>
        </w:drawing>
      </w:r>
    </w:p>
    <w:p>
      <w:pPr>
        <w:pStyle w:val="CaptionSmall"/>
        <w:jc w:val="center"/>
      </w:pPr>
      <w:r>
        <w:t>Figure 2. Selected cumulative concentration points; equal-share reference shown for context.</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253746"/>
          </w:tcPr>
          <w:p>
            <w:r/>
            <w:r>
              <w:rPr>
                <w:rFonts w:ascii="Aptos" w:hAnsi="Aptos"/>
                <w:b/>
                <w:color w:val="FFFFFF"/>
                <w:sz w:val="16"/>
              </w:rPr>
              <w:t>Top wallet share</w:t>
            </w:r>
          </w:p>
        </w:tc>
        <w:tc>
          <w:tcPr>
            <w:tcW w:type="dxa" w:w="3331"/>
            <w:vAlign w:val="center"/>
            <w:tcMar>
              <w:top w:w="75" w:type="dxa"/>
              <w:start w:w="75" w:type="dxa"/>
              <w:bottom w:w="75" w:type="dxa"/>
              <w:end w:w="75" w:type="dxa"/>
            </w:tcMar>
            <w:shd w:fill="253746"/>
          </w:tcPr>
          <w:p>
            <w:r/>
            <w:r>
              <w:rPr>
                <w:rFonts w:ascii="Aptos" w:hAnsi="Aptos"/>
                <w:b/>
                <w:color w:val="FFFFFF"/>
                <w:sz w:val="16"/>
              </w:rPr>
              <w:t>% transactions</w:t>
            </w:r>
          </w:p>
        </w:tc>
        <w:tc>
          <w:tcPr>
            <w:tcW w:type="dxa" w:w="3331"/>
            <w:vAlign w:val="center"/>
            <w:tcMar>
              <w:top w:w="75" w:type="dxa"/>
              <w:start w:w="75" w:type="dxa"/>
              <w:bottom w:w="75" w:type="dxa"/>
              <w:end w:w="75" w:type="dxa"/>
            </w:tcMar>
            <w:shd w:fill="253746"/>
          </w:tcPr>
          <w:p>
            <w:r/>
            <w:r>
              <w:rPr>
                <w:rFonts w:ascii="Aptos" w:hAnsi="Aptos"/>
                <w:b/>
                <w:color w:val="FFFFFF"/>
                <w:sz w:val="16"/>
              </w:rPr>
              <w:t>% volume</w:t>
            </w:r>
          </w:p>
        </w:tc>
      </w:tr>
      <w:tr>
        <w:tc>
          <w:tcPr>
            <w:tcW w:type="dxa" w:w="3331"/>
            <w:vAlign w:val="center"/>
            <w:tcMar>
              <w:top w:w="75" w:type="dxa"/>
              <w:start w:w="75" w:type="dxa"/>
              <w:bottom w:w="75" w:type="dxa"/>
              <w:end w:w="75" w:type="dxa"/>
            </w:tcMar>
          </w:tcPr>
          <w:p>
            <w:r/>
            <w:r>
              <w:rPr>
                <w:rFonts w:ascii="Aptos" w:hAnsi="Aptos"/>
                <w:b w:val="0"/>
                <w:sz w:val="16"/>
              </w:rPr>
              <w:t>0.1%</w:t>
            </w:r>
          </w:p>
        </w:tc>
        <w:tc>
          <w:tcPr>
            <w:tcW w:type="dxa" w:w="3331"/>
            <w:vAlign w:val="center"/>
            <w:tcMar>
              <w:top w:w="75" w:type="dxa"/>
              <w:start w:w="75" w:type="dxa"/>
              <w:bottom w:w="75" w:type="dxa"/>
              <w:end w:w="75" w:type="dxa"/>
            </w:tcMar>
          </w:tcPr>
          <w:p>
            <w:r/>
            <w:r>
              <w:rPr>
                <w:rFonts w:ascii="Aptos" w:hAnsi="Aptos"/>
                <w:b w:val="0"/>
                <w:sz w:val="16"/>
              </w:rPr>
              <w:t>42.44%</w:t>
            </w:r>
          </w:p>
        </w:tc>
        <w:tc>
          <w:tcPr>
            <w:tcW w:type="dxa" w:w="3331"/>
            <w:vAlign w:val="center"/>
            <w:tcMar>
              <w:top w:w="75" w:type="dxa"/>
              <w:start w:w="75" w:type="dxa"/>
              <w:bottom w:w="75" w:type="dxa"/>
              <w:end w:w="75" w:type="dxa"/>
            </w:tcMar>
          </w:tcPr>
          <w:p>
            <w:r/>
            <w:r>
              <w:rPr>
                <w:rFonts w:ascii="Aptos" w:hAnsi="Aptos"/>
                <w:b w:val="0"/>
                <w:sz w:val="16"/>
              </w:rPr>
              <w:t>39.51%</w:t>
            </w:r>
          </w:p>
        </w:tc>
      </w:tr>
      <w:tr>
        <w:tc>
          <w:tcPr>
            <w:tcW w:type="dxa" w:w="3331"/>
            <w:vAlign w:val="center"/>
            <w:tcMar>
              <w:top w:w="75" w:type="dxa"/>
              <w:start w:w="75" w:type="dxa"/>
              <w:bottom w:w="75" w:type="dxa"/>
              <w:end w:w="75" w:type="dxa"/>
            </w:tcMar>
          </w:tcPr>
          <w:p>
            <w:r/>
            <w:r>
              <w:rPr>
                <w:rFonts w:ascii="Aptos" w:hAnsi="Aptos"/>
                <w:b w:val="0"/>
                <w:sz w:val="16"/>
              </w:rPr>
              <w:t>1%</w:t>
            </w:r>
          </w:p>
        </w:tc>
        <w:tc>
          <w:tcPr>
            <w:tcW w:type="dxa" w:w="3331"/>
            <w:vAlign w:val="center"/>
            <w:tcMar>
              <w:top w:w="75" w:type="dxa"/>
              <w:start w:w="75" w:type="dxa"/>
              <w:bottom w:w="75" w:type="dxa"/>
              <w:end w:w="75" w:type="dxa"/>
            </w:tcMar>
          </w:tcPr>
          <w:p>
            <w:r/>
            <w:r>
              <w:rPr>
                <w:rFonts w:ascii="Aptos" w:hAnsi="Aptos"/>
                <w:b w:val="0"/>
                <w:sz w:val="16"/>
              </w:rPr>
              <w:t>68.94%</w:t>
            </w:r>
          </w:p>
        </w:tc>
        <w:tc>
          <w:tcPr>
            <w:tcW w:type="dxa" w:w="3331"/>
            <w:vAlign w:val="center"/>
            <w:tcMar>
              <w:top w:w="75" w:type="dxa"/>
              <w:start w:w="75" w:type="dxa"/>
              <w:bottom w:w="75" w:type="dxa"/>
              <w:end w:w="75" w:type="dxa"/>
            </w:tcMar>
          </w:tcPr>
          <w:p>
            <w:r/>
            <w:r>
              <w:rPr>
                <w:rFonts w:ascii="Aptos" w:hAnsi="Aptos"/>
                <w:b w:val="0"/>
                <w:sz w:val="16"/>
              </w:rPr>
              <w:t>71.54%</w:t>
            </w:r>
          </w:p>
        </w:tc>
      </w:tr>
      <w:tr>
        <w:tc>
          <w:tcPr>
            <w:tcW w:type="dxa" w:w="3331"/>
            <w:vAlign w:val="center"/>
            <w:tcMar>
              <w:top w:w="75" w:type="dxa"/>
              <w:start w:w="75" w:type="dxa"/>
              <w:bottom w:w="75" w:type="dxa"/>
              <w:end w:w="75" w:type="dxa"/>
            </w:tcMar>
          </w:tcPr>
          <w:p>
            <w:r/>
            <w:r>
              <w:rPr>
                <w:rFonts w:ascii="Aptos" w:hAnsi="Aptos"/>
                <w:b w:val="0"/>
                <w:sz w:val="16"/>
              </w:rPr>
              <w:t>5%</w:t>
            </w:r>
          </w:p>
        </w:tc>
        <w:tc>
          <w:tcPr>
            <w:tcW w:type="dxa" w:w="3331"/>
            <w:vAlign w:val="center"/>
            <w:tcMar>
              <w:top w:w="75" w:type="dxa"/>
              <w:start w:w="75" w:type="dxa"/>
              <w:bottom w:w="75" w:type="dxa"/>
              <w:end w:w="75" w:type="dxa"/>
            </w:tcMar>
          </w:tcPr>
          <w:p>
            <w:r/>
            <w:r>
              <w:rPr>
                <w:rFonts w:ascii="Aptos" w:hAnsi="Aptos"/>
                <w:b w:val="0"/>
                <w:sz w:val="16"/>
              </w:rPr>
              <w:t>85.11%</w:t>
            </w:r>
          </w:p>
        </w:tc>
        <w:tc>
          <w:tcPr>
            <w:tcW w:type="dxa" w:w="3331"/>
            <w:vAlign w:val="center"/>
            <w:tcMar>
              <w:top w:w="75" w:type="dxa"/>
              <w:start w:w="75" w:type="dxa"/>
              <w:bottom w:w="75" w:type="dxa"/>
              <w:end w:w="75" w:type="dxa"/>
            </w:tcMar>
          </w:tcPr>
          <w:p>
            <w:r/>
            <w:r>
              <w:rPr>
                <w:rFonts w:ascii="Aptos" w:hAnsi="Aptos"/>
                <w:b w:val="0"/>
                <w:sz w:val="16"/>
              </w:rPr>
              <w:t>83.38%</w:t>
            </w:r>
          </w:p>
        </w:tc>
      </w:tr>
      <w:tr>
        <w:tc>
          <w:tcPr>
            <w:tcW w:type="dxa" w:w="3331"/>
            <w:vAlign w:val="center"/>
            <w:tcMar>
              <w:top w:w="75" w:type="dxa"/>
              <w:start w:w="75" w:type="dxa"/>
              <w:bottom w:w="75" w:type="dxa"/>
              <w:end w:w="75" w:type="dxa"/>
            </w:tcMar>
          </w:tcPr>
          <w:p>
            <w:r/>
            <w:r>
              <w:rPr>
                <w:rFonts w:ascii="Aptos" w:hAnsi="Aptos"/>
                <w:b w:val="0"/>
                <w:sz w:val="16"/>
              </w:rPr>
              <w:t>10%</w:t>
            </w:r>
          </w:p>
        </w:tc>
        <w:tc>
          <w:tcPr>
            <w:tcW w:type="dxa" w:w="3331"/>
            <w:vAlign w:val="center"/>
            <w:tcMar>
              <w:top w:w="75" w:type="dxa"/>
              <w:start w:w="75" w:type="dxa"/>
              <w:bottom w:w="75" w:type="dxa"/>
              <w:end w:w="75" w:type="dxa"/>
            </w:tcMar>
          </w:tcPr>
          <w:p>
            <w:r/>
            <w:r>
              <w:rPr>
                <w:rFonts w:ascii="Aptos" w:hAnsi="Aptos"/>
                <w:b w:val="0"/>
                <w:sz w:val="16"/>
              </w:rPr>
              <w:t>90.40%</w:t>
            </w:r>
          </w:p>
        </w:tc>
        <w:tc>
          <w:tcPr>
            <w:tcW w:type="dxa" w:w="3331"/>
            <w:vAlign w:val="center"/>
            <w:tcMar>
              <w:top w:w="75" w:type="dxa"/>
              <w:start w:w="75" w:type="dxa"/>
              <w:bottom w:w="75" w:type="dxa"/>
              <w:end w:w="75" w:type="dxa"/>
            </w:tcMar>
          </w:tcPr>
          <w:p>
            <w:r/>
            <w:r>
              <w:rPr>
                <w:rFonts w:ascii="Aptos" w:hAnsi="Aptos"/>
                <w:b w:val="0"/>
                <w:sz w:val="16"/>
              </w:rPr>
              <w:t>86.52%</w:t>
            </w:r>
          </w:p>
        </w:tc>
      </w:tr>
      <w:tr>
        <w:tc>
          <w:tcPr>
            <w:tcW w:type="dxa" w:w="3331"/>
            <w:vAlign w:val="center"/>
            <w:tcMar>
              <w:top w:w="75" w:type="dxa"/>
              <w:start w:w="75" w:type="dxa"/>
              <w:bottom w:w="75" w:type="dxa"/>
              <w:end w:w="75" w:type="dxa"/>
            </w:tcMar>
          </w:tcPr>
          <w:p>
            <w:r/>
            <w:r>
              <w:rPr>
                <w:rFonts w:ascii="Aptos" w:hAnsi="Aptos"/>
                <w:b w:val="0"/>
                <w:sz w:val="16"/>
              </w:rPr>
              <w:t>50%</w:t>
            </w:r>
          </w:p>
        </w:tc>
        <w:tc>
          <w:tcPr>
            <w:tcW w:type="dxa" w:w="3331"/>
            <w:vAlign w:val="center"/>
            <w:tcMar>
              <w:top w:w="75" w:type="dxa"/>
              <w:start w:w="75" w:type="dxa"/>
              <w:bottom w:w="75" w:type="dxa"/>
              <w:end w:w="75" w:type="dxa"/>
            </w:tcMar>
          </w:tcPr>
          <w:p>
            <w:r/>
            <w:r>
              <w:rPr>
                <w:rFonts w:ascii="Aptos" w:hAnsi="Aptos"/>
                <w:b w:val="0"/>
                <w:sz w:val="16"/>
              </w:rPr>
              <w:t>98.17%</w:t>
            </w:r>
          </w:p>
        </w:tc>
        <w:tc>
          <w:tcPr>
            <w:tcW w:type="dxa" w:w="3331"/>
            <w:vAlign w:val="center"/>
            <w:tcMar>
              <w:top w:w="75" w:type="dxa"/>
              <w:start w:w="75" w:type="dxa"/>
              <w:bottom w:w="75" w:type="dxa"/>
              <w:end w:w="75" w:type="dxa"/>
            </w:tcMar>
          </w:tcPr>
          <w:p>
            <w:r/>
            <w:r>
              <w:rPr>
                <w:rFonts w:ascii="Aptos" w:hAnsi="Aptos"/>
                <w:b w:val="0"/>
                <w:sz w:val="16"/>
              </w:rPr>
              <w:t>98.36%</w:t>
            </w:r>
          </w:p>
        </w:tc>
      </w:tr>
    </w:tbl>
    <w:p>
      <w:r>
        <w:t>At the 1% cutoff, the leading wallets account for 68.94% of transactions and 71.54% of adjusted volume. At 10%, the corresponding shares are 90.40% and 86.52%. Because the wallet unit is transaction signer, infrastructure such as bundlers and relayers can aggregate multiple end users into one observed signer.</w:t>
      </w:r>
    </w:p>
    <w:p>
      <w:pPr>
        <w:pStyle w:val="Heading2"/>
      </w:pPr>
      <w:r>
        <w:t>3.4 Observed return behavior</w:t>
      </w:r>
    </w:p>
    <w:p>
      <w:r>
        <w:t>Return is defined as activity on a later UTC calendar day after the wallet’s first active date within the window. This is not equivalent to lifetime user retention because wallets active before the window are included.</w:t>
      </w:r>
    </w:p>
    <w:p>
      <w:pPr>
        <w:jc w:val="center"/>
      </w:pPr>
      <w:r>
        <w:drawing>
          <wp:inline xmlns:a="http://schemas.openxmlformats.org/drawingml/2006/main" xmlns:pic="http://schemas.openxmlformats.org/drawingml/2006/picture">
            <wp:extent cx="6217920" cy="3002205"/>
            <wp:docPr id="3" name="Picture 3" descr="Grouped bar chart showing observed D2, D7, D14, and D30 return rates for Casual, Regular, and High-frequency activity segments." title="Figure 3"/>
            <wp:cNvGraphicFramePr>
              <a:graphicFrameLocks noChangeAspect="1"/>
            </wp:cNvGraphicFramePr>
            <a:graphic>
              <a:graphicData uri="http://schemas.openxmlformats.org/drawingml/2006/picture">
                <pic:pic>
                  <pic:nvPicPr>
                    <pic:cNvPr id="0" name="retention.png"/>
                    <pic:cNvPicPr/>
                  </pic:nvPicPr>
                  <pic:blipFill>
                    <a:blip r:embed="rId15"/>
                    <a:stretch>
                      <a:fillRect/>
                    </a:stretch>
                  </pic:blipFill>
                  <pic:spPr>
                    <a:xfrm>
                      <a:off x="0" y="0"/>
                      <a:ext cx="6217920" cy="3002205"/>
                    </a:xfrm>
                    <a:prstGeom prst="rect"/>
                  </pic:spPr>
                </pic:pic>
              </a:graphicData>
            </a:graphic>
          </wp:inline>
        </w:drawing>
      </w:r>
    </w:p>
    <w:p>
      <w:pPr>
        <w:pStyle w:val="CaptionSmall"/>
        <w:jc w:val="center"/>
      </w:pPr>
      <w:r>
        <w:t>Figure 3. Observed return behavior by full-window activity segment.</w:t>
      </w:r>
    </w:p>
    <w:tbl>
      <w:tblPr>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vAlign w:val="center"/>
            <w:tcMar>
              <w:top w:w="75" w:type="dxa"/>
              <w:start w:w="75" w:type="dxa"/>
              <w:bottom w:w="75" w:type="dxa"/>
              <w:end w:w="75" w:type="dxa"/>
            </w:tcMar>
            <w:shd w:fill="253746"/>
          </w:tcPr>
          <w:p>
            <w:r/>
            <w:r>
              <w:rPr>
                <w:rFonts w:ascii="Aptos" w:hAnsi="Aptos"/>
                <w:b/>
                <w:color w:val="FFFFFF"/>
                <w:sz w:val="15"/>
              </w:rPr>
              <w:t>Segment</w:t>
            </w:r>
          </w:p>
        </w:tc>
        <w:tc>
          <w:tcPr>
            <w:tcW w:type="dxa" w:w="1428"/>
            <w:vAlign w:val="center"/>
            <w:tcMar>
              <w:top w:w="75" w:type="dxa"/>
              <w:start w:w="75" w:type="dxa"/>
              <w:bottom w:w="75" w:type="dxa"/>
              <w:end w:w="75" w:type="dxa"/>
            </w:tcMar>
            <w:shd w:fill="253746"/>
          </w:tcPr>
          <w:p>
            <w:r/>
            <w:r>
              <w:rPr>
                <w:rFonts w:ascii="Aptos" w:hAnsi="Aptos"/>
                <w:b/>
                <w:color w:val="FFFFFF"/>
                <w:sz w:val="15"/>
              </w:rPr>
              <w:t>Wallets</w:t>
            </w:r>
          </w:p>
        </w:tc>
        <w:tc>
          <w:tcPr>
            <w:tcW w:type="dxa" w:w="1428"/>
            <w:vAlign w:val="center"/>
            <w:tcMar>
              <w:top w:w="75" w:type="dxa"/>
              <w:start w:w="75" w:type="dxa"/>
              <w:bottom w:w="75" w:type="dxa"/>
              <w:end w:w="75" w:type="dxa"/>
            </w:tcMar>
            <w:shd w:fill="253746"/>
          </w:tcPr>
          <w:p>
            <w:r/>
            <w:r>
              <w:rPr>
                <w:rFonts w:ascii="Aptos" w:hAnsi="Aptos"/>
                <w:b/>
                <w:color w:val="FFFFFF"/>
                <w:sz w:val="15"/>
              </w:rPr>
              <w:t>Median days</w:t>
            </w:r>
          </w:p>
        </w:tc>
        <w:tc>
          <w:tcPr>
            <w:tcW w:type="dxa" w:w="1428"/>
            <w:vAlign w:val="center"/>
            <w:tcMar>
              <w:top w:w="75" w:type="dxa"/>
              <w:start w:w="75" w:type="dxa"/>
              <w:bottom w:w="75" w:type="dxa"/>
              <w:end w:w="75" w:type="dxa"/>
            </w:tcMar>
            <w:shd w:fill="253746"/>
          </w:tcPr>
          <w:p>
            <w:r/>
            <w:r>
              <w:rPr>
                <w:rFonts w:ascii="Aptos" w:hAnsi="Aptos"/>
                <w:b/>
                <w:color w:val="FFFFFF"/>
                <w:sz w:val="15"/>
              </w:rPr>
              <w:t>D2</w:t>
            </w:r>
          </w:p>
        </w:tc>
        <w:tc>
          <w:tcPr>
            <w:tcW w:type="dxa" w:w="1428"/>
            <w:vAlign w:val="center"/>
            <w:tcMar>
              <w:top w:w="75" w:type="dxa"/>
              <w:start w:w="75" w:type="dxa"/>
              <w:bottom w:w="75" w:type="dxa"/>
              <w:end w:w="75" w:type="dxa"/>
            </w:tcMar>
            <w:shd w:fill="253746"/>
          </w:tcPr>
          <w:p>
            <w:r/>
            <w:r>
              <w:rPr>
                <w:rFonts w:ascii="Aptos" w:hAnsi="Aptos"/>
                <w:b/>
                <w:color w:val="FFFFFF"/>
                <w:sz w:val="15"/>
              </w:rPr>
              <w:t>D7</w:t>
            </w:r>
          </w:p>
        </w:tc>
        <w:tc>
          <w:tcPr>
            <w:tcW w:type="dxa" w:w="1428"/>
            <w:vAlign w:val="center"/>
            <w:tcMar>
              <w:top w:w="75" w:type="dxa"/>
              <w:start w:w="75" w:type="dxa"/>
              <w:bottom w:w="75" w:type="dxa"/>
              <w:end w:w="75" w:type="dxa"/>
            </w:tcMar>
            <w:shd w:fill="253746"/>
          </w:tcPr>
          <w:p>
            <w:r/>
            <w:r>
              <w:rPr>
                <w:rFonts w:ascii="Aptos" w:hAnsi="Aptos"/>
                <w:b/>
                <w:color w:val="FFFFFF"/>
                <w:sz w:val="15"/>
              </w:rPr>
              <w:t>D14</w:t>
            </w:r>
          </w:p>
        </w:tc>
        <w:tc>
          <w:tcPr>
            <w:tcW w:type="dxa" w:w="1428"/>
            <w:vAlign w:val="center"/>
            <w:tcMar>
              <w:top w:w="75" w:type="dxa"/>
              <w:start w:w="75" w:type="dxa"/>
              <w:bottom w:w="75" w:type="dxa"/>
              <w:end w:w="75" w:type="dxa"/>
            </w:tcMar>
            <w:shd w:fill="253746"/>
          </w:tcPr>
          <w:p>
            <w:r/>
            <w:r>
              <w:rPr>
                <w:rFonts w:ascii="Aptos" w:hAnsi="Aptos"/>
                <w:b/>
                <w:color w:val="FFFFFF"/>
                <w:sz w:val="15"/>
              </w:rPr>
              <w:t>D30</w:t>
            </w:r>
          </w:p>
        </w:tc>
      </w:tr>
      <w:tr>
        <w:tc>
          <w:tcPr>
            <w:tcW w:type="dxa" w:w="1428"/>
            <w:vAlign w:val="center"/>
            <w:tcMar>
              <w:top w:w="75" w:type="dxa"/>
              <w:start w:w="75" w:type="dxa"/>
              <w:bottom w:w="75" w:type="dxa"/>
              <w:end w:w="75" w:type="dxa"/>
            </w:tcMar>
          </w:tcPr>
          <w:p>
            <w:r/>
            <w:r>
              <w:rPr>
                <w:rFonts w:ascii="Aptos" w:hAnsi="Aptos"/>
                <w:b w:val="0"/>
                <w:sz w:val="15"/>
              </w:rPr>
              <w:t>Casual (1-10)</w:t>
            </w:r>
          </w:p>
        </w:tc>
        <w:tc>
          <w:tcPr>
            <w:tcW w:type="dxa" w:w="1428"/>
            <w:vAlign w:val="center"/>
            <w:tcMar>
              <w:top w:w="75" w:type="dxa"/>
              <w:start w:w="75" w:type="dxa"/>
              <w:bottom w:w="75" w:type="dxa"/>
              <w:end w:w="75" w:type="dxa"/>
            </w:tcMar>
          </w:tcPr>
          <w:p>
            <w:r/>
            <w:r>
              <w:rPr>
                <w:rFonts w:ascii="Aptos" w:hAnsi="Aptos"/>
                <w:b w:val="0"/>
                <w:sz w:val="15"/>
              </w:rPr>
              <w:t>471,807</w:t>
            </w:r>
          </w:p>
        </w:tc>
        <w:tc>
          <w:tcPr>
            <w:tcW w:type="dxa" w:w="1428"/>
            <w:vAlign w:val="center"/>
            <w:tcMar>
              <w:top w:w="75" w:type="dxa"/>
              <w:start w:w="75" w:type="dxa"/>
              <w:bottom w:w="75" w:type="dxa"/>
              <w:end w:w="75" w:type="dxa"/>
            </w:tcMar>
          </w:tcPr>
          <w:p>
            <w:r/>
            <w:r>
              <w:rPr>
                <w:rFonts w:ascii="Aptos" w:hAnsi="Aptos"/>
                <w:b w:val="0"/>
                <w:sz w:val="15"/>
              </w:rPr>
              <w:t>1</w:t>
            </w:r>
          </w:p>
        </w:tc>
        <w:tc>
          <w:tcPr>
            <w:tcW w:type="dxa" w:w="1428"/>
            <w:vAlign w:val="center"/>
            <w:tcMar>
              <w:top w:w="75" w:type="dxa"/>
              <w:start w:w="75" w:type="dxa"/>
              <w:bottom w:w="75" w:type="dxa"/>
              <w:end w:w="75" w:type="dxa"/>
            </w:tcMar>
          </w:tcPr>
          <w:p>
            <w:r/>
            <w:r>
              <w:rPr>
                <w:rFonts w:ascii="Aptos" w:hAnsi="Aptos"/>
                <w:b w:val="0"/>
                <w:sz w:val="15"/>
              </w:rPr>
              <w:t>27.13%</w:t>
            </w:r>
          </w:p>
        </w:tc>
        <w:tc>
          <w:tcPr>
            <w:tcW w:type="dxa" w:w="1428"/>
            <w:vAlign w:val="center"/>
            <w:tcMar>
              <w:top w:w="75" w:type="dxa"/>
              <w:start w:w="75" w:type="dxa"/>
              <w:bottom w:w="75" w:type="dxa"/>
              <w:end w:w="75" w:type="dxa"/>
            </w:tcMar>
          </w:tcPr>
          <w:p>
            <w:r/>
            <w:r>
              <w:rPr>
                <w:rFonts w:ascii="Aptos" w:hAnsi="Aptos"/>
                <w:b w:val="0"/>
                <w:sz w:val="15"/>
              </w:rPr>
              <w:t>22.92%</w:t>
            </w:r>
          </w:p>
        </w:tc>
        <w:tc>
          <w:tcPr>
            <w:tcW w:type="dxa" w:w="1428"/>
            <w:vAlign w:val="center"/>
            <w:tcMar>
              <w:top w:w="75" w:type="dxa"/>
              <w:start w:w="75" w:type="dxa"/>
              <w:bottom w:w="75" w:type="dxa"/>
              <w:end w:w="75" w:type="dxa"/>
            </w:tcMar>
          </w:tcPr>
          <w:p>
            <w:r/>
            <w:r>
              <w:rPr>
                <w:rFonts w:ascii="Aptos" w:hAnsi="Aptos"/>
                <w:b w:val="0"/>
                <w:sz w:val="15"/>
              </w:rPr>
              <w:t>30.00%</w:t>
            </w:r>
          </w:p>
        </w:tc>
        <w:tc>
          <w:tcPr>
            <w:tcW w:type="dxa" w:w="1428"/>
            <w:vAlign w:val="center"/>
            <w:tcMar>
              <w:top w:w="75" w:type="dxa"/>
              <w:start w:w="75" w:type="dxa"/>
              <w:bottom w:w="75" w:type="dxa"/>
              <w:end w:w="75" w:type="dxa"/>
            </w:tcMar>
          </w:tcPr>
          <w:p>
            <w:r/>
            <w:r>
              <w:rPr>
                <w:rFonts w:ascii="Aptos" w:hAnsi="Aptos"/>
                <w:b w:val="0"/>
                <w:sz w:val="15"/>
              </w:rPr>
              <w:t>51.66%</w:t>
            </w:r>
          </w:p>
        </w:tc>
      </w:tr>
      <w:tr>
        <w:tc>
          <w:tcPr>
            <w:tcW w:type="dxa" w:w="1428"/>
            <w:vAlign w:val="center"/>
            <w:tcMar>
              <w:top w:w="75" w:type="dxa"/>
              <w:start w:w="75" w:type="dxa"/>
              <w:bottom w:w="75" w:type="dxa"/>
              <w:end w:w="75" w:type="dxa"/>
            </w:tcMar>
          </w:tcPr>
          <w:p>
            <w:r/>
            <w:r>
              <w:rPr>
                <w:rFonts w:ascii="Aptos" w:hAnsi="Aptos"/>
                <w:b w:val="0"/>
                <w:sz w:val="15"/>
              </w:rPr>
              <w:t>Regular (11-500)</w:t>
            </w:r>
          </w:p>
        </w:tc>
        <w:tc>
          <w:tcPr>
            <w:tcW w:type="dxa" w:w="1428"/>
            <w:vAlign w:val="center"/>
            <w:tcMar>
              <w:top w:w="75" w:type="dxa"/>
              <w:start w:w="75" w:type="dxa"/>
              <w:bottom w:w="75" w:type="dxa"/>
              <w:end w:w="75" w:type="dxa"/>
            </w:tcMar>
          </w:tcPr>
          <w:p>
            <w:r/>
            <w:r>
              <w:rPr>
                <w:rFonts w:ascii="Aptos" w:hAnsi="Aptos"/>
                <w:b w:val="0"/>
                <w:sz w:val="15"/>
              </w:rPr>
              <w:t>93,896</w:t>
            </w:r>
          </w:p>
        </w:tc>
        <w:tc>
          <w:tcPr>
            <w:tcW w:type="dxa" w:w="1428"/>
            <w:vAlign w:val="center"/>
            <w:tcMar>
              <w:top w:w="75" w:type="dxa"/>
              <w:start w:w="75" w:type="dxa"/>
              <w:bottom w:w="75" w:type="dxa"/>
              <w:end w:w="75" w:type="dxa"/>
            </w:tcMar>
          </w:tcPr>
          <w:p>
            <w:r/>
            <w:r>
              <w:rPr>
                <w:rFonts w:ascii="Aptos" w:hAnsi="Aptos"/>
                <w:b w:val="0"/>
                <w:sz w:val="15"/>
              </w:rPr>
              <w:t>8</w:t>
            </w:r>
          </w:p>
        </w:tc>
        <w:tc>
          <w:tcPr>
            <w:tcW w:type="dxa" w:w="1428"/>
            <w:vAlign w:val="center"/>
            <w:tcMar>
              <w:top w:w="75" w:type="dxa"/>
              <w:start w:w="75" w:type="dxa"/>
              <w:bottom w:w="75" w:type="dxa"/>
              <w:end w:w="75" w:type="dxa"/>
            </w:tcMar>
          </w:tcPr>
          <w:p>
            <w:r/>
            <w:r>
              <w:rPr>
                <w:rFonts w:ascii="Aptos" w:hAnsi="Aptos"/>
                <w:b w:val="0"/>
                <w:sz w:val="15"/>
              </w:rPr>
              <w:t>89.93%</w:t>
            </w:r>
          </w:p>
        </w:tc>
        <w:tc>
          <w:tcPr>
            <w:tcW w:type="dxa" w:w="1428"/>
            <w:vAlign w:val="center"/>
            <w:tcMar>
              <w:top w:w="75" w:type="dxa"/>
              <w:start w:w="75" w:type="dxa"/>
              <w:bottom w:w="75" w:type="dxa"/>
              <w:end w:w="75" w:type="dxa"/>
            </w:tcMar>
          </w:tcPr>
          <w:p>
            <w:r/>
            <w:r>
              <w:rPr>
                <w:rFonts w:ascii="Aptos" w:hAnsi="Aptos"/>
                <w:b w:val="0"/>
                <w:sz w:val="15"/>
              </w:rPr>
              <w:t>92.70%</w:t>
            </w:r>
          </w:p>
        </w:tc>
        <w:tc>
          <w:tcPr>
            <w:tcW w:type="dxa" w:w="1428"/>
            <w:vAlign w:val="center"/>
            <w:tcMar>
              <w:top w:w="75" w:type="dxa"/>
              <w:start w:w="75" w:type="dxa"/>
              <w:bottom w:w="75" w:type="dxa"/>
              <w:end w:w="75" w:type="dxa"/>
            </w:tcMar>
          </w:tcPr>
          <w:p>
            <w:r/>
            <w:r>
              <w:rPr>
                <w:rFonts w:ascii="Aptos" w:hAnsi="Aptos"/>
                <w:b w:val="0"/>
                <w:sz w:val="15"/>
              </w:rPr>
              <w:t>96.35%</w:t>
            </w:r>
          </w:p>
        </w:tc>
        <w:tc>
          <w:tcPr>
            <w:tcW w:type="dxa" w:w="1428"/>
            <w:vAlign w:val="center"/>
            <w:tcMar>
              <w:top w:w="75" w:type="dxa"/>
              <w:start w:w="75" w:type="dxa"/>
              <w:bottom w:w="75" w:type="dxa"/>
              <w:end w:w="75" w:type="dxa"/>
            </w:tcMar>
          </w:tcPr>
          <w:p>
            <w:r/>
            <w:r>
              <w:rPr>
                <w:rFonts w:ascii="Aptos" w:hAnsi="Aptos"/>
                <w:b w:val="0"/>
                <w:sz w:val="15"/>
              </w:rPr>
              <w:t>99.27%</w:t>
            </w:r>
          </w:p>
        </w:tc>
      </w:tr>
      <w:tr>
        <w:tc>
          <w:tcPr>
            <w:tcW w:type="dxa" w:w="1428"/>
            <w:vAlign w:val="center"/>
            <w:tcMar>
              <w:top w:w="75" w:type="dxa"/>
              <w:start w:w="75" w:type="dxa"/>
              <w:bottom w:w="75" w:type="dxa"/>
              <w:end w:w="75" w:type="dxa"/>
            </w:tcMar>
          </w:tcPr>
          <w:p>
            <w:r/>
            <w:r>
              <w:rPr>
                <w:rFonts w:ascii="Aptos" w:hAnsi="Aptos"/>
                <w:b w:val="0"/>
                <w:sz w:val="15"/>
              </w:rPr>
              <w:t>High-frequency (&gt;500)</w:t>
            </w:r>
          </w:p>
        </w:tc>
        <w:tc>
          <w:tcPr>
            <w:tcW w:type="dxa" w:w="1428"/>
            <w:vAlign w:val="center"/>
            <w:tcMar>
              <w:top w:w="75" w:type="dxa"/>
              <w:start w:w="75" w:type="dxa"/>
              <w:bottom w:w="75" w:type="dxa"/>
              <w:end w:w="75" w:type="dxa"/>
            </w:tcMar>
          </w:tcPr>
          <w:p>
            <w:r/>
            <w:r>
              <w:rPr>
                <w:rFonts w:ascii="Aptos" w:hAnsi="Aptos"/>
                <w:b w:val="0"/>
                <w:sz w:val="15"/>
              </w:rPr>
              <w:t>4,161</w:t>
            </w:r>
          </w:p>
        </w:tc>
        <w:tc>
          <w:tcPr>
            <w:tcW w:type="dxa" w:w="1428"/>
            <w:vAlign w:val="center"/>
            <w:tcMar>
              <w:top w:w="75" w:type="dxa"/>
              <w:start w:w="75" w:type="dxa"/>
              <w:bottom w:w="75" w:type="dxa"/>
              <w:end w:w="75" w:type="dxa"/>
            </w:tcMar>
          </w:tcPr>
          <w:p>
            <w:r/>
            <w:r>
              <w:rPr>
                <w:rFonts w:ascii="Aptos" w:hAnsi="Aptos"/>
                <w:b w:val="0"/>
                <w:sz w:val="15"/>
              </w:rPr>
              <w:t>29</w:t>
            </w:r>
          </w:p>
        </w:tc>
        <w:tc>
          <w:tcPr>
            <w:tcW w:type="dxa" w:w="1428"/>
            <w:vAlign w:val="center"/>
            <w:tcMar>
              <w:top w:w="75" w:type="dxa"/>
              <w:start w:w="75" w:type="dxa"/>
              <w:bottom w:w="75" w:type="dxa"/>
              <w:end w:w="75" w:type="dxa"/>
            </w:tcMar>
          </w:tcPr>
          <w:p>
            <w:r/>
            <w:r>
              <w:rPr>
                <w:rFonts w:ascii="Aptos" w:hAnsi="Aptos"/>
                <w:b w:val="0"/>
                <w:sz w:val="15"/>
              </w:rPr>
              <w:t>99.93%</w:t>
            </w:r>
          </w:p>
        </w:tc>
        <w:tc>
          <w:tcPr>
            <w:tcW w:type="dxa" w:w="1428"/>
            <w:vAlign w:val="center"/>
            <w:tcMar>
              <w:top w:w="75" w:type="dxa"/>
              <w:start w:w="75" w:type="dxa"/>
              <w:bottom w:w="75" w:type="dxa"/>
              <w:end w:w="75" w:type="dxa"/>
            </w:tcMar>
          </w:tcPr>
          <w:p>
            <w:r/>
            <w:r>
              <w:rPr>
                <w:rFonts w:ascii="Aptos" w:hAnsi="Aptos"/>
                <w:b w:val="0"/>
                <w:sz w:val="15"/>
              </w:rPr>
              <w:t>99.46%</w:t>
            </w:r>
          </w:p>
        </w:tc>
        <w:tc>
          <w:tcPr>
            <w:tcW w:type="dxa" w:w="1428"/>
            <w:vAlign w:val="center"/>
            <w:tcMar>
              <w:top w:w="75" w:type="dxa"/>
              <w:start w:w="75" w:type="dxa"/>
              <w:bottom w:w="75" w:type="dxa"/>
              <w:end w:w="75" w:type="dxa"/>
            </w:tcMar>
          </w:tcPr>
          <w:p>
            <w:r/>
            <w:r>
              <w:rPr>
                <w:rFonts w:ascii="Aptos" w:hAnsi="Aptos"/>
                <w:b w:val="0"/>
                <w:sz w:val="15"/>
              </w:rPr>
              <w:t>99.79%</w:t>
            </w:r>
          </w:p>
        </w:tc>
        <w:tc>
          <w:tcPr>
            <w:tcW w:type="dxa" w:w="1428"/>
            <w:vAlign w:val="center"/>
            <w:tcMar>
              <w:top w:w="75" w:type="dxa"/>
              <w:start w:w="75" w:type="dxa"/>
              <w:bottom w:w="75" w:type="dxa"/>
              <w:end w:w="75" w:type="dxa"/>
            </w:tcMar>
          </w:tcPr>
          <w:p>
            <w:r/>
            <w:r>
              <w:rPr>
                <w:rFonts w:ascii="Aptos" w:hAnsi="Aptos"/>
                <w:b w:val="0"/>
                <w:sz w:val="15"/>
              </w:rPr>
              <w:t>99.97%</w:t>
            </w:r>
          </w:p>
        </w:tc>
      </w:tr>
      <w:tr>
        <w:tc>
          <w:tcPr>
            <w:tcW w:type="dxa" w:w="1428"/>
            <w:vAlign w:val="center"/>
            <w:tcMar>
              <w:top w:w="75" w:type="dxa"/>
              <w:start w:w="75" w:type="dxa"/>
              <w:bottom w:w="75" w:type="dxa"/>
              <w:end w:w="75" w:type="dxa"/>
            </w:tcMar>
          </w:tcPr>
          <w:p>
            <w:r/>
            <w:r>
              <w:rPr>
                <w:rFonts w:ascii="Aptos" w:hAnsi="Aptos"/>
                <w:b w:val="0"/>
                <w:sz w:val="15"/>
              </w:rPr>
              <w:t>All</w:t>
            </w:r>
          </w:p>
        </w:tc>
        <w:tc>
          <w:tcPr>
            <w:tcW w:type="dxa" w:w="1428"/>
            <w:vAlign w:val="center"/>
            <w:tcMar>
              <w:top w:w="75" w:type="dxa"/>
              <w:start w:w="75" w:type="dxa"/>
              <w:bottom w:w="75" w:type="dxa"/>
              <w:end w:w="75" w:type="dxa"/>
            </w:tcMar>
          </w:tcPr>
          <w:p>
            <w:r/>
            <w:r>
              <w:rPr>
                <w:rFonts w:ascii="Aptos" w:hAnsi="Aptos"/>
                <w:b w:val="0"/>
                <w:sz w:val="15"/>
              </w:rPr>
              <w:t>569,864</w:t>
            </w:r>
          </w:p>
        </w:tc>
        <w:tc>
          <w:tcPr>
            <w:tcW w:type="dxa" w:w="1428"/>
            <w:vAlign w:val="center"/>
            <w:tcMar>
              <w:top w:w="75" w:type="dxa"/>
              <w:start w:w="75" w:type="dxa"/>
              <w:bottom w:w="75" w:type="dxa"/>
              <w:end w:w="75" w:type="dxa"/>
            </w:tcMar>
          </w:tcPr>
          <w:p>
            <w:r/>
            <w:r>
              <w:rPr>
                <w:rFonts w:ascii="Aptos" w:hAnsi="Aptos"/>
                <w:b w:val="0"/>
                <w:sz w:val="15"/>
              </w:rPr>
              <w:t>1</w:t>
            </w:r>
          </w:p>
        </w:tc>
        <w:tc>
          <w:tcPr>
            <w:tcW w:type="dxa" w:w="1428"/>
            <w:vAlign w:val="center"/>
            <w:tcMar>
              <w:top w:w="75" w:type="dxa"/>
              <w:start w:w="75" w:type="dxa"/>
              <w:bottom w:w="75" w:type="dxa"/>
              <w:end w:w="75" w:type="dxa"/>
            </w:tcMar>
          </w:tcPr>
          <w:p>
            <w:r/>
            <w:r>
              <w:rPr>
                <w:rFonts w:ascii="Aptos" w:hAnsi="Aptos"/>
                <w:b w:val="0"/>
                <w:sz w:val="15"/>
              </w:rPr>
              <w:t>38.26%</w:t>
            </w:r>
          </w:p>
        </w:tc>
        <w:tc>
          <w:tcPr>
            <w:tcW w:type="dxa" w:w="1428"/>
            <w:vAlign w:val="center"/>
            <w:tcMar>
              <w:top w:w="75" w:type="dxa"/>
              <w:start w:w="75" w:type="dxa"/>
              <w:bottom w:w="75" w:type="dxa"/>
              <w:end w:w="75" w:type="dxa"/>
            </w:tcMar>
          </w:tcPr>
          <w:p>
            <w:r/>
            <w:r>
              <w:rPr>
                <w:rFonts w:ascii="Aptos" w:hAnsi="Aptos"/>
                <w:b w:val="0"/>
                <w:sz w:val="15"/>
              </w:rPr>
              <w:t>37.07%</w:t>
            </w:r>
          </w:p>
        </w:tc>
        <w:tc>
          <w:tcPr>
            <w:tcW w:type="dxa" w:w="1428"/>
            <w:vAlign w:val="center"/>
            <w:tcMar>
              <w:top w:w="75" w:type="dxa"/>
              <w:start w:w="75" w:type="dxa"/>
              <w:bottom w:w="75" w:type="dxa"/>
              <w:end w:w="75" w:type="dxa"/>
            </w:tcMar>
          </w:tcPr>
          <w:p>
            <w:r/>
            <w:r>
              <w:rPr>
                <w:rFonts w:ascii="Aptos" w:hAnsi="Aptos"/>
                <w:b w:val="0"/>
                <w:sz w:val="15"/>
              </w:rPr>
              <w:t>45.14%</w:t>
            </w:r>
          </w:p>
        </w:tc>
        <w:tc>
          <w:tcPr>
            <w:tcW w:type="dxa" w:w="1428"/>
            <w:vAlign w:val="center"/>
            <w:tcMar>
              <w:top w:w="75" w:type="dxa"/>
              <w:start w:w="75" w:type="dxa"/>
              <w:bottom w:w="75" w:type="dxa"/>
              <w:end w:w="75" w:type="dxa"/>
            </w:tcMar>
          </w:tcPr>
          <w:p>
            <w:r/>
            <w:r>
              <w:rPr>
                <w:rFonts w:ascii="Aptos" w:hAnsi="Aptos"/>
                <w:b w:val="0"/>
                <w:sz w:val="15"/>
              </w:rPr>
              <w:t>82.02%</w:t>
            </w:r>
          </w:p>
        </w:tc>
      </w:tr>
    </w:tbl>
    <w:p>
      <w:r>
        <w:t>Across all eligible wallets, D2 return is 38.26%, D7 is 37.07%, D14 is 45.14%, and D30 is 82.02%. The D30 value is based only on the 16 August cohort (37,975 eligible wallets) and is dominated by previously active wallets. Segment results also contain temporal leakage because the segment is defined using full-window transaction count.</w:t>
      </w:r>
    </w:p>
    <w:p>
      <w:r>
        <w:br w:type="page"/>
      </w:r>
    </w:p>
    <w:p>
      <w:pPr>
        <w:pStyle w:val="Heading1"/>
      </w:pPr>
      <w:r>
        <w:t>4. Data-quality investigation: 18 August 2026</w:t>
      </w:r>
    </w:p>
    <w:p>
      <w:r>
        <w:t>On 18 August, three Uniswap v4 transactions produced approximately $28.23B of reported volume, or 99.6% of the day. The three transactions were sent by one observed wallet and generated 1,276 trade rows. This was investigated at the raw event and token-settlement levels before deciding how to treat the volume.</w:t>
      </w:r>
    </w:p>
    <w:tbl>
      <w:tblPr>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tcMar>
              <w:top w:w="75" w:type="dxa"/>
              <w:start w:w="75" w:type="dxa"/>
              <w:bottom w:w="75" w:type="dxa"/>
              <w:end w:w="75" w:type="dxa"/>
            </w:tcMar>
            <w:shd w:fill="253746"/>
          </w:tcPr>
          <w:p>
            <w:r/>
            <w:r>
              <w:rPr>
                <w:rFonts w:ascii="Aptos" w:hAnsi="Aptos"/>
                <w:b/>
                <w:color w:val="FFFFFF"/>
                <w:sz w:val="14"/>
              </w:rPr>
              <w:t>Tx</w:t>
            </w:r>
          </w:p>
        </w:tc>
        <w:tc>
          <w:tcPr>
            <w:tcW w:type="dxa" w:w="1666"/>
            <w:vAlign w:val="center"/>
            <w:tcMar>
              <w:top w:w="75" w:type="dxa"/>
              <w:start w:w="75" w:type="dxa"/>
              <w:bottom w:w="75" w:type="dxa"/>
              <w:end w:w="75" w:type="dxa"/>
            </w:tcMar>
            <w:shd w:fill="253746"/>
          </w:tcPr>
          <w:p>
            <w:r/>
            <w:r>
              <w:rPr>
                <w:rFonts w:ascii="Aptos" w:hAnsi="Aptos"/>
                <w:b/>
                <w:color w:val="FFFFFF"/>
                <w:sz w:val="14"/>
              </w:rPr>
              <w:t>Swap events</w:t>
            </w:r>
          </w:p>
        </w:tc>
        <w:tc>
          <w:tcPr>
            <w:tcW w:type="dxa" w:w="1666"/>
            <w:vAlign w:val="center"/>
            <w:tcMar>
              <w:top w:w="75" w:type="dxa"/>
              <w:start w:w="75" w:type="dxa"/>
              <w:bottom w:w="75" w:type="dxa"/>
              <w:end w:w="75" w:type="dxa"/>
            </w:tcMar>
            <w:shd w:fill="253746"/>
          </w:tcPr>
          <w:p>
            <w:r/>
            <w:r>
              <w:rPr>
                <w:rFonts w:ascii="Aptos" w:hAnsi="Aptos"/>
                <w:b/>
                <w:color w:val="FFFFFF"/>
                <w:sz w:val="14"/>
              </w:rPr>
              <w:t>Reported vol.</w:t>
            </w:r>
          </w:p>
        </w:tc>
        <w:tc>
          <w:tcPr>
            <w:tcW w:type="dxa" w:w="1666"/>
            <w:vAlign w:val="center"/>
            <w:tcMar>
              <w:top w:w="75" w:type="dxa"/>
              <w:start w:w="75" w:type="dxa"/>
              <w:bottom w:w="75" w:type="dxa"/>
              <w:end w:w="75" w:type="dxa"/>
            </w:tcMar>
            <w:shd w:fill="253746"/>
          </w:tcPr>
          <w:p>
            <w:r/>
            <w:r>
              <w:rPr>
                <w:rFonts w:ascii="Aptos" w:hAnsi="Aptos"/>
                <w:b/>
                <w:color w:val="FFFFFF"/>
                <w:sz w:val="14"/>
              </w:rPr>
              <w:t>Pools</w:t>
            </w:r>
          </w:p>
        </w:tc>
        <w:tc>
          <w:tcPr>
            <w:tcW w:type="dxa" w:w="1666"/>
            <w:vAlign w:val="center"/>
            <w:tcMar>
              <w:top w:w="75" w:type="dxa"/>
              <w:start w:w="75" w:type="dxa"/>
              <w:bottom w:w="75" w:type="dxa"/>
              <w:end w:w="75" w:type="dxa"/>
            </w:tcMar>
            <w:shd w:fill="253746"/>
          </w:tcPr>
          <w:p>
            <w:r/>
            <w:r>
              <w:rPr>
                <w:rFonts w:ascii="Aptos" w:hAnsi="Aptos"/>
                <w:b/>
                <w:color w:val="FFFFFF"/>
                <w:sz w:val="14"/>
              </w:rPr>
              <w:t>Reported USDC swaps</w:t>
            </w:r>
          </w:p>
        </w:tc>
        <w:tc>
          <w:tcPr>
            <w:tcW w:type="dxa" w:w="1666"/>
            <w:vAlign w:val="center"/>
            <w:tcMar>
              <w:top w:w="75" w:type="dxa"/>
              <w:start w:w="75" w:type="dxa"/>
              <w:bottom w:w="75" w:type="dxa"/>
              <w:end w:w="75" w:type="dxa"/>
            </w:tcMar>
            <w:shd w:fill="253746"/>
          </w:tcPr>
          <w:p>
            <w:r/>
            <w:r>
              <w:rPr>
                <w:rFonts w:ascii="Aptos" w:hAnsi="Aptos"/>
                <w:b/>
                <w:color w:val="FFFFFF"/>
                <w:sz w:val="14"/>
              </w:rPr>
              <w:t>Actual USDC</w:t>
            </w:r>
          </w:p>
        </w:tc>
      </w:tr>
      <w:tr>
        <w:tc>
          <w:tcPr>
            <w:tcW w:type="dxa" w:w="1666"/>
            <w:vAlign w:val="center"/>
            <w:tcMar>
              <w:top w:w="75" w:type="dxa"/>
              <w:start w:w="75" w:type="dxa"/>
              <w:bottom w:w="75" w:type="dxa"/>
              <w:end w:w="75" w:type="dxa"/>
            </w:tcMar>
          </w:tcPr>
          <w:p>
            <w:r/>
            <w:r>
              <w:rPr>
                <w:rFonts w:ascii="Aptos" w:hAnsi="Aptos"/>
                <w:b w:val="0"/>
                <w:sz w:val="14"/>
              </w:rPr>
              <w:t>0x818c…1553</w:t>
            </w:r>
          </w:p>
        </w:tc>
        <w:tc>
          <w:tcPr>
            <w:tcW w:type="dxa" w:w="1666"/>
            <w:vAlign w:val="center"/>
            <w:tcMar>
              <w:top w:w="75" w:type="dxa"/>
              <w:start w:w="75" w:type="dxa"/>
              <w:bottom w:w="75" w:type="dxa"/>
              <w:end w:w="75" w:type="dxa"/>
            </w:tcMar>
          </w:tcPr>
          <w:p>
            <w:r/>
            <w:r>
              <w:rPr>
                <w:rFonts w:ascii="Aptos" w:hAnsi="Aptos"/>
                <w:b w:val="0"/>
                <w:sz w:val="14"/>
              </w:rPr>
              <w:t>510</w:t>
            </w:r>
          </w:p>
        </w:tc>
        <w:tc>
          <w:tcPr>
            <w:tcW w:type="dxa" w:w="1666"/>
            <w:vAlign w:val="center"/>
            <w:tcMar>
              <w:top w:w="75" w:type="dxa"/>
              <w:start w:w="75" w:type="dxa"/>
              <w:bottom w:w="75" w:type="dxa"/>
              <w:end w:w="75" w:type="dxa"/>
            </w:tcMar>
          </w:tcPr>
          <w:p>
            <w:r/>
            <w:r>
              <w:rPr>
                <w:rFonts w:ascii="Aptos" w:hAnsi="Aptos"/>
                <w:b w:val="0"/>
                <w:sz w:val="14"/>
              </w:rPr>
              <w:t>$13.47B</w:t>
            </w:r>
          </w:p>
        </w:tc>
        <w:tc>
          <w:tcPr>
            <w:tcW w:type="dxa" w:w="1666"/>
            <w:vAlign w:val="center"/>
            <w:tcMar>
              <w:top w:w="75" w:type="dxa"/>
              <w:start w:w="75" w:type="dxa"/>
              <w:bottom w:w="75" w:type="dxa"/>
              <w:end w:w="75" w:type="dxa"/>
            </w:tcMar>
          </w:tcPr>
          <w:p>
            <w:r/>
            <w:r>
              <w:rPr>
                <w:rFonts w:ascii="Aptos" w:hAnsi="Aptos"/>
                <w:b w:val="0"/>
                <w:sz w:val="14"/>
              </w:rPr>
              <w:t>8</w:t>
            </w:r>
          </w:p>
        </w:tc>
        <w:tc>
          <w:tcPr>
            <w:tcW w:type="dxa" w:w="1666"/>
            <w:vAlign w:val="center"/>
            <w:tcMar>
              <w:top w:w="75" w:type="dxa"/>
              <w:start w:w="75" w:type="dxa"/>
              <w:bottom w:w="75" w:type="dxa"/>
              <w:end w:w="75" w:type="dxa"/>
            </w:tcMar>
          </w:tcPr>
          <w:p>
            <w:r/>
            <w:r>
              <w:rPr>
                <w:rFonts w:ascii="Aptos" w:hAnsi="Aptos"/>
                <w:b w:val="0"/>
                <w:sz w:val="14"/>
              </w:rPr>
              <w:t>13.438B</w:t>
            </w:r>
          </w:p>
        </w:tc>
        <w:tc>
          <w:tcPr>
            <w:tcW w:type="dxa" w:w="1666"/>
            <w:vAlign w:val="center"/>
            <w:tcMar>
              <w:top w:w="75" w:type="dxa"/>
              <w:start w:w="75" w:type="dxa"/>
              <w:bottom w:w="75" w:type="dxa"/>
              <w:end w:w="75" w:type="dxa"/>
            </w:tcMar>
          </w:tcPr>
          <w:p>
            <w:r/>
            <w:r>
              <w:rPr>
                <w:rFonts w:ascii="Aptos" w:hAnsi="Aptos"/>
                <w:b w:val="0"/>
                <w:sz w:val="14"/>
              </w:rPr>
              <w:t>0.000096</w:t>
            </w:r>
          </w:p>
        </w:tc>
      </w:tr>
      <w:tr>
        <w:tc>
          <w:tcPr>
            <w:tcW w:type="dxa" w:w="1666"/>
            <w:vAlign w:val="center"/>
            <w:tcMar>
              <w:top w:w="75" w:type="dxa"/>
              <w:start w:w="75" w:type="dxa"/>
              <w:bottom w:w="75" w:type="dxa"/>
              <w:end w:w="75" w:type="dxa"/>
            </w:tcMar>
          </w:tcPr>
          <w:p>
            <w:r/>
            <w:r>
              <w:rPr>
                <w:rFonts w:ascii="Aptos" w:hAnsi="Aptos"/>
                <w:b w:val="0"/>
                <w:sz w:val="14"/>
              </w:rPr>
              <w:t>0x675e…0bbf</w:t>
            </w:r>
          </w:p>
        </w:tc>
        <w:tc>
          <w:tcPr>
            <w:tcW w:type="dxa" w:w="1666"/>
            <w:vAlign w:val="center"/>
            <w:tcMar>
              <w:top w:w="75" w:type="dxa"/>
              <w:start w:w="75" w:type="dxa"/>
              <w:bottom w:w="75" w:type="dxa"/>
              <w:end w:w="75" w:type="dxa"/>
            </w:tcMar>
          </w:tcPr>
          <w:p>
            <w:r/>
            <w:r>
              <w:rPr>
                <w:rFonts w:ascii="Aptos" w:hAnsi="Aptos"/>
                <w:b w:val="0"/>
                <w:sz w:val="14"/>
              </w:rPr>
              <w:t>510</w:t>
            </w:r>
          </w:p>
        </w:tc>
        <w:tc>
          <w:tcPr>
            <w:tcW w:type="dxa" w:w="1666"/>
            <w:vAlign w:val="center"/>
            <w:tcMar>
              <w:top w:w="75" w:type="dxa"/>
              <w:start w:w="75" w:type="dxa"/>
              <w:bottom w:w="75" w:type="dxa"/>
              <w:end w:w="75" w:type="dxa"/>
            </w:tcMar>
          </w:tcPr>
          <w:p>
            <w:r/>
            <w:r>
              <w:rPr>
                <w:rFonts w:ascii="Aptos" w:hAnsi="Aptos"/>
                <w:b w:val="0"/>
                <w:sz w:val="14"/>
              </w:rPr>
              <w:t>$9.58B</w:t>
            </w:r>
          </w:p>
        </w:tc>
        <w:tc>
          <w:tcPr>
            <w:tcW w:type="dxa" w:w="1666"/>
            <w:vAlign w:val="center"/>
            <w:tcMar>
              <w:top w:w="75" w:type="dxa"/>
              <w:start w:w="75" w:type="dxa"/>
              <w:bottom w:w="75" w:type="dxa"/>
              <w:end w:w="75" w:type="dxa"/>
            </w:tcMar>
          </w:tcPr>
          <w:p>
            <w:r/>
            <w:r>
              <w:rPr>
                <w:rFonts w:ascii="Aptos" w:hAnsi="Aptos"/>
                <w:b w:val="0"/>
                <w:sz w:val="14"/>
              </w:rPr>
              <w:t>8</w:t>
            </w:r>
          </w:p>
        </w:tc>
        <w:tc>
          <w:tcPr>
            <w:tcW w:type="dxa" w:w="1666"/>
            <w:vAlign w:val="center"/>
            <w:tcMar>
              <w:top w:w="75" w:type="dxa"/>
              <w:start w:w="75" w:type="dxa"/>
              <w:bottom w:w="75" w:type="dxa"/>
              <w:end w:w="75" w:type="dxa"/>
            </w:tcMar>
          </w:tcPr>
          <w:p>
            <w:r/>
            <w:r>
              <w:rPr>
                <w:rFonts w:ascii="Aptos" w:hAnsi="Aptos"/>
                <w:b w:val="0"/>
                <w:sz w:val="14"/>
              </w:rPr>
              <w:t>9.550B</w:t>
            </w:r>
          </w:p>
        </w:tc>
        <w:tc>
          <w:tcPr>
            <w:tcW w:type="dxa" w:w="1666"/>
            <w:vAlign w:val="center"/>
            <w:tcMar>
              <w:top w:w="75" w:type="dxa"/>
              <w:start w:w="75" w:type="dxa"/>
              <w:bottom w:w="75" w:type="dxa"/>
              <w:end w:w="75" w:type="dxa"/>
            </w:tcMar>
          </w:tcPr>
          <w:p>
            <w:r/>
            <w:r>
              <w:rPr>
                <w:rFonts w:ascii="Aptos" w:hAnsi="Aptos"/>
                <w:b w:val="0"/>
                <w:sz w:val="14"/>
              </w:rPr>
              <w:t>0.000101</w:t>
            </w:r>
          </w:p>
        </w:tc>
      </w:tr>
      <w:tr>
        <w:tc>
          <w:tcPr>
            <w:tcW w:type="dxa" w:w="1666"/>
            <w:vAlign w:val="center"/>
            <w:tcMar>
              <w:top w:w="75" w:type="dxa"/>
              <w:start w:w="75" w:type="dxa"/>
              <w:bottom w:w="75" w:type="dxa"/>
              <w:end w:w="75" w:type="dxa"/>
            </w:tcMar>
          </w:tcPr>
          <w:p>
            <w:r/>
            <w:r>
              <w:rPr>
                <w:rFonts w:ascii="Aptos" w:hAnsi="Aptos"/>
                <w:b w:val="0"/>
                <w:sz w:val="14"/>
              </w:rPr>
              <w:t>0x8294…5f47</w:t>
            </w:r>
          </w:p>
        </w:tc>
        <w:tc>
          <w:tcPr>
            <w:tcW w:type="dxa" w:w="1666"/>
            <w:vAlign w:val="center"/>
            <w:tcMar>
              <w:top w:w="75" w:type="dxa"/>
              <w:start w:w="75" w:type="dxa"/>
              <w:bottom w:w="75" w:type="dxa"/>
              <w:end w:w="75" w:type="dxa"/>
            </w:tcMar>
          </w:tcPr>
          <w:p>
            <w:r/>
            <w:r>
              <w:rPr>
                <w:rFonts w:ascii="Aptos" w:hAnsi="Aptos"/>
                <w:b w:val="0"/>
                <w:sz w:val="14"/>
              </w:rPr>
              <w:t>256</w:t>
            </w:r>
          </w:p>
        </w:tc>
        <w:tc>
          <w:tcPr>
            <w:tcW w:type="dxa" w:w="1666"/>
            <w:vAlign w:val="center"/>
            <w:tcMar>
              <w:top w:w="75" w:type="dxa"/>
              <w:start w:w="75" w:type="dxa"/>
              <w:bottom w:w="75" w:type="dxa"/>
              <w:end w:w="75" w:type="dxa"/>
            </w:tcMar>
          </w:tcPr>
          <w:p>
            <w:r/>
            <w:r>
              <w:rPr>
                <w:rFonts w:ascii="Aptos" w:hAnsi="Aptos"/>
                <w:b w:val="0"/>
                <w:sz w:val="14"/>
              </w:rPr>
              <w:t>$5.18B</w:t>
            </w:r>
          </w:p>
        </w:tc>
        <w:tc>
          <w:tcPr>
            <w:tcW w:type="dxa" w:w="1666"/>
            <w:vAlign w:val="center"/>
            <w:tcMar>
              <w:top w:w="75" w:type="dxa"/>
              <w:start w:w="75" w:type="dxa"/>
              <w:bottom w:w="75" w:type="dxa"/>
              <w:end w:w="75" w:type="dxa"/>
            </w:tcMar>
          </w:tcPr>
          <w:p>
            <w:r/>
            <w:r>
              <w:rPr>
                <w:rFonts w:ascii="Aptos" w:hAnsi="Aptos"/>
                <w:b w:val="0"/>
                <w:sz w:val="14"/>
              </w:rPr>
              <w:t>4</w:t>
            </w:r>
          </w:p>
        </w:tc>
        <w:tc>
          <w:tcPr>
            <w:tcW w:type="dxa" w:w="1666"/>
            <w:vAlign w:val="center"/>
            <w:tcMar>
              <w:top w:w="75" w:type="dxa"/>
              <w:start w:w="75" w:type="dxa"/>
              <w:bottom w:w="75" w:type="dxa"/>
              <w:end w:w="75" w:type="dxa"/>
            </w:tcMar>
          </w:tcPr>
          <w:p>
            <w:r/>
            <w:r>
              <w:rPr>
                <w:rFonts w:ascii="Aptos" w:hAnsi="Aptos"/>
                <w:b w:val="0"/>
                <w:sz w:val="14"/>
              </w:rPr>
              <w:t>5.158B</w:t>
            </w:r>
          </w:p>
        </w:tc>
        <w:tc>
          <w:tcPr>
            <w:tcW w:type="dxa" w:w="1666"/>
            <w:vAlign w:val="center"/>
            <w:tcMar>
              <w:top w:w="75" w:type="dxa"/>
              <w:start w:w="75" w:type="dxa"/>
              <w:bottom w:w="75" w:type="dxa"/>
              <w:end w:w="75" w:type="dxa"/>
            </w:tcMar>
          </w:tcPr>
          <w:p>
            <w:r/>
            <w:r>
              <w:rPr>
                <w:rFonts w:ascii="Aptos" w:hAnsi="Aptos"/>
                <w:b w:val="0"/>
                <w:sz w:val="14"/>
              </w:rPr>
              <w:t>0.000050</w:t>
            </w:r>
          </w:p>
        </w:tc>
      </w:tr>
    </w:tbl>
    <w:p>
      <w:r>
        <w:rPr>
          <w:b/>
        </w:rPr>
        <w:t xml:space="preserve">1. Event-level reconciliation. </w:t>
      </w:r>
      <w:r>
        <w:t>Raw `uniswap_v4_base.poolmanager_evt_swap` events and `dex.trades` rows matched one-for-one: 510/510, 510/510, and 256/256, with no unmatched events on either side.</w:t>
      </w:r>
    </w:p>
    <w:p>
      <w:r>
        <w:rPr>
          <w:b/>
        </w:rPr>
        <w:t xml:space="preserve">2. Liquidity condition. </w:t>
      </w:r>
      <w:r>
        <w:t>The largest nominal USDC rows came from pools with exactly zero liquidity. The raw events themselves therefore contained the very large nominal quantities that were later reflected in USD volume.</w:t>
      </w:r>
    </w:p>
    <w:p>
      <w:r>
        <w:rPr>
          <w:b/>
        </w:rPr>
        <w:t xml:space="preserve">3. Settlement check. </w:t>
      </w:r>
      <w:r>
        <w:t>Across the three transactions, `dex.trades` reported about 28.15B USDC of swap amounts, while ERC-20 transfer logs showed only 0.000247 USDC transferred into PoolManager and none leaving it.</w:t>
      </w:r>
    </w:p>
    <w:p>
      <w:r>
        <w:rPr>
          <w:b/>
        </w:rPr>
        <w:t xml:space="preserve">4. Characterization. </w:t>
      </w:r>
      <w:r>
        <w:t>The pattern is consistent with Uniswap v4 atomic/flash-accounting behavior: event-level amounts can be emitted while deltas net internally, and zero-liquidity pools can produce nominal amounts that do not represent conventional economically settled volume. The investigation does not establish malicious intent.</w:t>
      </w:r>
    </w:p>
    <w:p>
      <w:r>
        <w:rPr>
          <w:b/>
        </w:rPr>
        <w:t xml:space="preserve">5. Production treatment. </w:t>
      </w:r>
      <w:r>
        <w:t>The three identified transaction hashes are excluded from volume metrics only. Wallet counts, transaction counts, frequency distributions, and retention retain them. No generic `amount_usd` threshold was applied.</w:t>
      </w:r>
    </w:p>
    <w:p>
      <w:r>
        <w:rPr>
          <w:b/>
        </w:rPr>
        <w:t>Volume correction. In the final synchronized dashboard snapshot, the adjusted 31-day reported volume is $8,260,205,266 after excluding the three identified transactions from volume metrics. Aug 18 falls from $28.334B before exclusion to $101,023,498 after exclusion, which is comparable with neighboring days. The correction is localized and auditable.</w:t>
      </w:r>
      <w:r/>
    </w:p>
    <w:p>
      <w:pPr>
        <w:pStyle w:val="Heading1"/>
      </w:pPr>
      <w:r>
        <w:t>5. Limitations and interpretation boundaries</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6"/>
              </w:rPr>
              <w:t>Limitation</w:t>
            </w:r>
          </w:p>
        </w:tc>
        <w:tc>
          <w:tcPr>
            <w:tcW w:type="dxa" w:w="4997"/>
            <w:vAlign w:val="center"/>
            <w:tcMar>
              <w:top w:w="75" w:type="dxa"/>
              <w:start w:w="75" w:type="dxa"/>
              <w:bottom w:w="75" w:type="dxa"/>
              <w:end w:w="75" w:type="dxa"/>
            </w:tcMar>
            <w:shd w:fill="253746"/>
          </w:tcPr>
          <w:p>
            <w:r/>
            <w:r>
              <w:rPr>
                <w:rFonts w:ascii="Aptos" w:hAnsi="Aptos"/>
                <w:b/>
                <w:color w:val="FFFFFF"/>
                <w:sz w:val="16"/>
              </w:rPr>
              <w:t>Implication</w:t>
            </w:r>
          </w:p>
        </w:tc>
      </w:tr>
      <w:tr>
        <w:tc>
          <w:tcPr>
            <w:tcW w:type="dxa" w:w="4997"/>
            <w:vAlign w:val="center"/>
            <w:tcMar>
              <w:top w:w="75" w:type="dxa"/>
              <w:start w:w="75" w:type="dxa"/>
              <w:bottom w:w="75" w:type="dxa"/>
              <w:end w:w="75" w:type="dxa"/>
            </w:tcMar>
          </w:tcPr>
          <w:p>
            <w:r/>
            <w:r>
              <w:rPr>
                <w:rFonts w:ascii="Aptos" w:hAnsi="Aptos"/>
                <w:b/>
                <w:sz w:val="16"/>
              </w:rPr>
              <w:t>No bot classification</w:t>
            </w:r>
          </w:p>
        </w:tc>
        <w:tc>
          <w:tcPr>
            <w:tcW w:type="dxa" w:w="4997"/>
            <w:vAlign w:val="center"/>
            <w:tcMar>
              <w:top w:w="75" w:type="dxa"/>
              <w:start w:w="75" w:type="dxa"/>
              <w:bottom w:w="75" w:type="dxa"/>
              <w:end w:w="75" w:type="dxa"/>
            </w:tcMar>
          </w:tcPr>
          <w:p>
            <w:r/>
            <w:r>
              <w:rPr>
                <w:rFonts w:ascii="Aptos" w:hAnsi="Aptos"/>
                <w:b w:val="0"/>
                <w:sz w:val="16"/>
              </w:rPr>
              <w:t>No wallet is labeled or removed as a bot; high-frequency behavior is simply reported.</w:t>
            </w:r>
          </w:p>
        </w:tc>
      </w:tr>
      <w:tr>
        <w:tc>
          <w:tcPr>
            <w:tcW w:type="dxa" w:w="4997"/>
            <w:vAlign w:val="center"/>
            <w:tcMar>
              <w:top w:w="75" w:type="dxa"/>
              <w:start w:w="75" w:type="dxa"/>
              <w:bottom w:w="75" w:type="dxa"/>
              <w:end w:w="75" w:type="dxa"/>
            </w:tcMar>
          </w:tcPr>
          <w:p>
            <w:r/>
            <w:r>
              <w:rPr>
                <w:rFonts w:ascii="Aptos" w:hAnsi="Aptos"/>
                <w:b/>
                <w:sz w:val="16"/>
              </w:rPr>
              <w:t>Smart-account aggregation</w:t>
            </w:r>
          </w:p>
        </w:tc>
        <w:tc>
          <w:tcPr>
            <w:tcW w:type="dxa" w:w="4997"/>
            <w:vAlign w:val="center"/>
            <w:tcMar>
              <w:top w:w="75" w:type="dxa"/>
              <w:start w:w="75" w:type="dxa"/>
              <w:bottom w:w="75" w:type="dxa"/>
              <w:end w:w="75" w:type="dxa"/>
            </w:tcMar>
          </w:tcPr>
          <w:p>
            <w:r/>
            <w:r>
              <w:rPr>
                <w:rFonts w:ascii="Aptos" w:hAnsi="Aptos"/>
                <w:b w:val="0"/>
                <w:sz w:val="16"/>
              </w:rPr>
              <w:t>ERC-4337 bundlers and relayers can appear as one `tx_from` while representing many end users; EIP-7702 delegated EOAs appear as ordinary wallets.</w:t>
            </w:r>
          </w:p>
        </w:tc>
      </w:tr>
      <w:tr>
        <w:tc>
          <w:tcPr>
            <w:tcW w:type="dxa" w:w="4997"/>
            <w:vAlign w:val="center"/>
            <w:tcMar>
              <w:top w:w="75" w:type="dxa"/>
              <w:start w:w="75" w:type="dxa"/>
              <w:bottom w:w="75" w:type="dxa"/>
              <w:end w:w="75" w:type="dxa"/>
            </w:tcMar>
          </w:tcPr>
          <w:p>
            <w:r/>
            <w:r>
              <w:rPr>
                <w:rFonts w:ascii="Aptos" w:hAnsi="Aptos"/>
                <w:b/>
                <w:sz w:val="16"/>
              </w:rPr>
              <w:t>Window-relative cohorts</w:t>
            </w:r>
          </w:p>
        </w:tc>
        <w:tc>
          <w:tcPr>
            <w:tcW w:type="dxa" w:w="4997"/>
            <w:vAlign w:val="center"/>
            <w:tcMar>
              <w:top w:w="75" w:type="dxa"/>
              <w:start w:w="75" w:type="dxa"/>
              <w:bottom w:w="75" w:type="dxa"/>
              <w:end w:w="75" w:type="dxa"/>
            </w:tcMar>
          </w:tcPr>
          <w:p>
            <w:r/>
            <w:r>
              <w:rPr>
                <w:rFonts w:ascii="Aptos" w:hAnsi="Aptos"/>
                <w:b w:val="0"/>
                <w:sz w:val="16"/>
              </w:rPr>
              <w:t>First active date is the earliest date inside the window, not lifetime first trade.</w:t>
            </w:r>
          </w:p>
        </w:tc>
      </w:tr>
      <w:tr>
        <w:tc>
          <w:tcPr>
            <w:tcW w:type="dxa" w:w="4997"/>
            <w:vAlign w:val="center"/>
            <w:tcMar>
              <w:top w:w="75" w:type="dxa"/>
              <w:start w:w="75" w:type="dxa"/>
              <w:bottom w:w="75" w:type="dxa"/>
              <w:end w:w="75" w:type="dxa"/>
            </w:tcMar>
          </w:tcPr>
          <w:p>
            <w:r/>
            <w:r>
              <w:rPr>
                <w:rFonts w:ascii="Aptos" w:hAnsi="Aptos"/>
                <w:b/>
                <w:sz w:val="16"/>
              </w:rPr>
              <w:t>Segment leakage</w:t>
            </w:r>
          </w:p>
        </w:tc>
        <w:tc>
          <w:tcPr>
            <w:tcW w:type="dxa" w:w="4997"/>
            <w:vAlign w:val="center"/>
            <w:tcMar>
              <w:top w:w="75" w:type="dxa"/>
              <w:start w:w="75" w:type="dxa"/>
              <w:bottom w:w="75" w:type="dxa"/>
              <w:end w:w="75" w:type="dxa"/>
            </w:tcMar>
          </w:tcPr>
          <w:p>
            <w:r/>
            <w:r>
              <w:rPr>
                <w:rFonts w:ascii="Aptos" w:hAnsi="Aptos"/>
                <w:b w:val="0"/>
                <w:sz w:val="16"/>
              </w:rPr>
              <w:t>Full-window frequency is used to define segments during the same period in which return is measured.</w:t>
            </w:r>
          </w:p>
        </w:tc>
      </w:tr>
      <w:tr>
        <w:tc>
          <w:tcPr>
            <w:tcW w:type="dxa" w:w="4997"/>
            <w:vAlign w:val="center"/>
            <w:tcMar>
              <w:top w:w="75" w:type="dxa"/>
              <w:start w:w="75" w:type="dxa"/>
              <w:bottom w:w="75" w:type="dxa"/>
              <w:end w:w="75" w:type="dxa"/>
            </w:tcMar>
          </w:tcPr>
          <w:p>
            <w:r/>
            <w:r>
              <w:rPr>
                <w:rFonts w:ascii="Aptos" w:hAnsi="Aptos"/>
                <w:b/>
                <w:sz w:val="16"/>
              </w:rPr>
              <w:t>D30 scope</w:t>
            </w:r>
          </w:p>
        </w:tc>
        <w:tc>
          <w:tcPr>
            <w:tcW w:type="dxa" w:w="4997"/>
            <w:vAlign w:val="center"/>
            <w:tcMar>
              <w:top w:w="75" w:type="dxa"/>
              <w:start w:w="75" w:type="dxa"/>
              <w:bottom w:w="75" w:type="dxa"/>
              <w:end w:w="75" w:type="dxa"/>
            </w:tcMar>
          </w:tcPr>
          <w:p>
            <w:r/>
            <w:r>
              <w:rPr>
                <w:rFonts w:ascii="Aptos" w:hAnsi="Aptos"/>
                <w:b w:val="0"/>
                <w:sz w:val="16"/>
              </w:rPr>
              <w:t>Only the 16 Aug cohort has a full 30-day horizon; it is dominated by previously active wallets.</w:t>
            </w:r>
          </w:p>
        </w:tc>
      </w:tr>
      <w:tr>
        <w:tc>
          <w:tcPr>
            <w:tcW w:type="dxa" w:w="4997"/>
            <w:vAlign w:val="center"/>
            <w:tcMar>
              <w:top w:w="75" w:type="dxa"/>
              <w:start w:w="75" w:type="dxa"/>
              <w:bottom w:w="75" w:type="dxa"/>
              <w:end w:w="75" w:type="dxa"/>
            </w:tcMar>
          </w:tcPr>
          <w:p>
            <w:r/>
            <w:r>
              <w:rPr>
                <w:rFonts w:ascii="Aptos" w:hAnsi="Aptos"/>
                <w:b/>
                <w:sz w:val="16"/>
              </w:rPr>
              <w:t>Volume coverage</w:t>
            </w:r>
          </w:p>
        </w:tc>
        <w:tc>
          <w:tcPr>
            <w:tcW w:type="dxa" w:w="4997"/>
            <w:vAlign w:val="center"/>
            <w:tcMar>
              <w:top w:w="75" w:type="dxa"/>
              <w:start w:w="75" w:type="dxa"/>
              <w:bottom w:w="75" w:type="dxa"/>
              <w:end w:w="75" w:type="dxa"/>
            </w:tcMar>
          </w:tcPr>
          <w:p>
            <w:r/>
            <w:r>
              <w:rPr>
                <w:rFonts w:ascii="Aptos" w:hAnsi="Aptos"/>
                <w:b w:val="0"/>
                <w:sz w:val="16"/>
              </w:rPr>
              <w:t>About 10% of trade rows lack USD pricing and do not contribute to volume; multi-hop swaps count each hop.</w:t>
            </w:r>
          </w:p>
        </w:tc>
      </w:tr>
      <w:tr>
        <w:tc>
          <w:tcPr>
            <w:tcW w:type="dxa" w:w="4997"/>
            <w:vAlign w:val="center"/>
            <w:tcMar>
              <w:top w:w="75" w:type="dxa"/>
              <w:start w:w="75" w:type="dxa"/>
              <w:bottom w:w="75" w:type="dxa"/>
              <w:end w:w="75" w:type="dxa"/>
            </w:tcMar>
          </w:tcPr>
          <w:p>
            <w:r/>
            <w:r>
              <w:rPr>
                <w:rFonts w:ascii="Aptos" w:hAnsi="Aptos"/>
                <w:b/>
                <w:sz w:val="16"/>
              </w:rPr>
              <w:t>Snapshot dependence</w:t>
            </w:r>
          </w:p>
        </w:tc>
        <w:tc>
          <w:tcPr>
            <w:tcW w:type="dxa" w:w="4997"/>
            <w:vAlign w:val="center"/>
            <w:tcMar>
              <w:top w:w="75" w:type="dxa"/>
              <w:start w:w="75" w:type="dxa"/>
              <w:bottom w:w="75" w:type="dxa"/>
              <w:end w:w="75" w:type="dxa"/>
            </w:tcMar>
          </w:tcPr>
          <w:p>
            <w:r/>
            <w:r>
              <w:rPr>
                <w:rFonts w:ascii="Aptos" w:hAnsi="Aptos"/>
                <w:b w:val="0"/>
                <w:sz w:val="16"/>
              </w:rPr>
              <w:t>The underlying Dune dataset can receive late-arriving data, so counts can move modestly between runs.</w:t>
            </w:r>
          </w:p>
        </w:tc>
      </w:tr>
      <w:tr>
        <w:tc>
          <w:tcPr>
            <w:tcW w:type="dxa" w:w="4997"/>
            <w:vAlign w:val="center"/>
            <w:tcMar>
              <w:top w:w="75" w:type="dxa"/>
              <w:start w:w="75" w:type="dxa"/>
              <w:bottom w:w="75" w:type="dxa"/>
              <w:end w:w="75" w:type="dxa"/>
            </w:tcMar>
          </w:tcPr>
          <w:p>
            <w:r/>
            <w:r>
              <w:rPr>
                <w:rFonts w:ascii="Aptos" w:hAnsi="Aptos"/>
                <w:b/>
                <w:sz w:val="16"/>
              </w:rPr>
              <w:t>Anomaly scope</w:t>
            </w:r>
          </w:p>
        </w:tc>
        <w:tc>
          <w:tcPr>
            <w:tcW w:type="dxa" w:w="4997"/>
            <w:vAlign w:val="center"/>
            <w:tcMar>
              <w:top w:w="75" w:type="dxa"/>
              <w:start w:w="75" w:type="dxa"/>
              <w:bottom w:w="75" w:type="dxa"/>
              <w:end w:w="75" w:type="dxa"/>
            </w:tcMar>
          </w:tcPr>
          <w:p>
            <w:r/>
            <w:r>
              <w:rPr>
                <w:rFonts w:ascii="Aptos" w:hAnsi="Aptos"/>
                <w:b w:val="0"/>
                <w:sz w:val="16"/>
              </w:rPr>
              <w:t>The correction addresses the three identified large unbacked transactions; smaller anomalies outside this investigation would not necessarily be caught.</w:t>
            </w:r>
          </w:p>
        </w:tc>
      </w:tr>
    </w:tbl>
    <w:p>
      <w:pPr>
        <w:pStyle w:val="Heading1"/>
      </w:pPr>
      <w:r>
        <w:t>6. Reproducibility and query inventory</w:t>
      </w:r>
    </w:p>
    <w:p>
      <w:r>
        <w:t>The dashboard is implemented as six production queries. Query 8733980 is a static methodology reference and does not scan the underlying trade table. The anomaly investigation uses separate diagnostic queries for raw V4 event reconciliation and ERC-20 settlement.</w:t>
      </w:r>
    </w:p>
    <w:tbl>
      <w:tblPr>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tcMar>
              <w:top w:w="75" w:type="dxa"/>
              <w:start w:w="75" w:type="dxa"/>
              <w:bottom w:w="75" w:type="dxa"/>
              <w:end w:w="75" w:type="dxa"/>
            </w:tcMar>
            <w:shd w:fill="253746"/>
          </w:tcPr>
          <w:p>
            <w:r/>
            <w:r>
              <w:rPr>
                <w:rFonts w:ascii="Aptos" w:hAnsi="Aptos"/>
                <w:b/>
                <w:color w:val="FFFFFF"/>
                <w:sz w:val="16"/>
              </w:rPr>
              <w:t>Query</w:t>
            </w:r>
          </w:p>
        </w:tc>
        <w:tc>
          <w:tcPr>
            <w:tcW w:type="dxa" w:w="3331"/>
            <w:vAlign w:val="center"/>
            <w:tcMar>
              <w:top w:w="75" w:type="dxa"/>
              <w:start w:w="75" w:type="dxa"/>
              <w:bottom w:w="75" w:type="dxa"/>
              <w:end w:w="75" w:type="dxa"/>
            </w:tcMar>
            <w:shd w:fill="253746"/>
          </w:tcPr>
          <w:p>
            <w:r/>
            <w:r>
              <w:rPr>
                <w:rFonts w:ascii="Aptos" w:hAnsi="Aptos"/>
                <w:b/>
                <w:color w:val="FFFFFF"/>
                <w:sz w:val="16"/>
              </w:rPr>
              <w:t>Role</w:t>
            </w:r>
          </w:p>
        </w:tc>
        <w:tc>
          <w:tcPr>
            <w:tcW w:type="dxa" w:w="3331"/>
            <w:vAlign w:val="center"/>
            <w:tcMar>
              <w:top w:w="75" w:type="dxa"/>
              <w:start w:w="75" w:type="dxa"/>
              <w:bottom w:w="75" w:type="dxa"/>
              <w:end w:w="75" w:type="dxa"/>
            </w:tcMar>
            <w:shd w:fill="253746"/>
          </w:tcPr>
          <w:p>
            <w:r/>
            <w:r>
              <w:rPr>
                <w:rFonts w:ascii="Aptos" w:hAnsi="Aptos"/>
                <w:b/>
                <w:color w:val="FFFFFF"/>
                <w:sz w:val="16"/>
              </w:rPr>
              <w:t>Output</w:t>
            </w:r>
          </w:p>
        </w:tc>
      </w:tr>
      <w:tr>
        <w:tc>
          <w:tcPr>
            <w:tcW w:type="dxa" w:w="3331"/>
            <w:vAlign w:val="center"/>
            <w:tcMar>
              <w:top w:w="75" w:type="dxa"/>
              <w:start w:w="75" w:type="dxa"/>
              <w:bottom w:w="75" w:type="dxa"/>
              <w:end w:w="75" w:type="dxa"/>
            </w:tcMar>
          </w:tcPr>
          <w:p>
            <w:r/>
            <w:r>
              <w:rPr>
                <w:rFonts w:ascii="Aptos" w:hAnsi="Aptos"/>
                <w:b w:val="0"/>
                <w:sz w:val="16"/>
              </w:rPr>
              <w:t>8733968</w:t>
            </w:r>
          </w:p>
        </w:tc>
        <w:tc>
          <w:tcPr>
            <w:tcW w:type="dxa" w:w="3331"/>
            <w:vAlign w:val="center"/>
            <w:tcMar>
              <w:top w:w="75" w:type="dxa"/>
              <w:start w:w="75" w:type="dxa"/>
              <w:bottom w:w="75" w:type="dxa"/>
              <w:end w:w="75" w:type="dxa"/>
            </w:tcMar>
          </w:tcPr>
          <w:p>
            <w:r/>
            <w:r>
              <w:rPr>
                <w:rFonts w:ascii="Aptos" w:hAnsi="Aptos"/>
                <w:b w:val="0"/>
                <w:sz w:val="16"/>
              </w:rPr>
              <w:t>Overview KPIs</w:t>
            </w:r>
          </w:p>
        </w:tc>
        <w:tc>
          <w:tcPr>
            <w:tcW w:type="dxa" w:w="3331"/>
            <w:vAlign w:val="center"/>
            <w:tcMar>
              <w:top w:w="75" w:type="dxa"/>
              <w:start w:w="75" w:type="dxa"/>
              <w:bottom w:w="75" w:type="dxa"/>
              <w:end w:w="75" w:type="dxa"/>
            </w:tcMar>
          </w:tcPr>
          <w:p>
            <w:r/>
            <w:r>
              <w:rPr>
                <w:rFonts w:ascii="Aptos" w:hAnsi="Aptos"/>
                <w:b w:val="0"/>
                <w:sz w:val="16"/>
              </w:rPr>
              <w:t>Scale, wallet counts, transactions, adjusted volume and daily activity.</w:t>
            </w:r>
          </w:p>
        </w:tc>
      </w:tr>
      <w:tr>
        <w:tc>
          <w:tcPr>
            <w:tcW w:type="dxa" w:w="3331"/>
            <w:vAlign w:val="center"/>
            <w:tcMar>
              <w:top w:w="75" w:type="dxa"/>
              <w:start w:w="75" w:type="dxa"/>
              <w:bottom w:w="75" w:type="dxa"/>
              <w:end w:w="75" w:type="dxa"/>
            </w:tcMar>
          </w:tcPr>
          <w:p>
            <w:r/>
            <w:r>
              <w:rPr>
                <w:rFonts w:ascii="Aptos" w:hAnsi="Aptos"/>
                <w:b w:val="0"/>
                <w:sz w:val="16"/>
              </w:rPr>
              <w:t>8733972</w:t>
            </w:r>
          </w:p>
        </w:tc>
        <w:tc>
          <w:tcPr>
            <w:tcW w:type="dxa" w:w="3331"/>
            <w:vAlign w:val="center"/>
            <w:tcMar>
              <w:top w:w="75" w:type="dxa"/>
              <w:start w:w="75" w:type="dxa"/>
              <w:bottom w:w="75" w:type="dxa"/>
              <w:end w:w="75" w:type="dxa"/>
            </w:tcMar>
          </w:tcPr>
          <w:p>
            <w:r/>
            <w:r>
              <w:rPr>
                <w:rFonts w:ascii="Aptos" w:hAnsi="Aptos"/>
                <w:b w:val="0"/>
                <w:sz w:val="16"/>
              </w:rPr>
              <w:t>Daily Activity</w:t>
            </w:r>
          </w:p>
        </w:tc>
        <w:tc>
          <w:tcPr>
            <w:tcW w:type="dxa" w:w="3331"/>
            <w:vAlign w:val="center"/>
            <w:tcMar>
              <w:top w:w="75" w:type="dxa"/>
              <w:start w:w="75" w:type="dxa"/>
              <w:bottom w:w="75" w:type="dxa"/>
              <w:end w:w="75" w:type="dxa"/>
            </w:tcMar>
          </w:tcPr>
          <w:p>
            <w:r/>
            <w:r>
              <w:rPr>
                <w:rFonts w:ascii="Aptos" w:hAnsi="Aptos"/>
                <w:b w:val="0"/>
                <w:sz w:val="16"/>
              </w:rPr>
              <w:t>Daily active wallets, transactions and adjusted volume by date.</w:t>
            </w:r>
          </w:p>
        </w:tc>
      </w:tr>
      <w:tr>
        <w:tc>
          <w:tcPr>
            <w:tcW w:type="dxa" w:w="3331"/>
            <w:vAlign w:val="center"/>
            <w:tcMar>
              <w:top w:w="75" w:type="dxa"/>
              <w:start w:w="75" w:type="dxa"/>
              <w:bottom w:w="75" w:type="dxa"/>
              <w:end w:w="75" w:type="dxa"/>
            </w:tcMar>
          </w:tcPr>
          <w:p>
            <w:r/>
            <w:r>
              <w:rPr>
                <w:rFonts w:ascii="Aptos" w:hAnsi="Aptos"/>
                <w:b w:val="0"/>
                <w:sz w:val="16"/>
              </w:rPr>
              <w:t>8731863</w:t>
            </w:r>
          </w:p>
        </w:tc>
        <w:tc>
          <w:tcPr>
            <w:tcW w:type="dxa" w:w="3331"/>
            <w:vAlign w:val="center"/>
            <w:tcMar>
              <w:top w:w="75" w:type="dxa"/>
              <w:start w:w="75" w:type="dxa"/>
              <w:bottom w:w="75" w:type="dxa"/>
              <w:end w:w="75" w:type="dxa"/>
            </w:tcMar>
          </w:tcPr>
          <w:p>
            <w:r/>
            <w:r>
              <w:rPr>
                <w:rFonts w:ascii="Aptos" w:hAnsi="Aptos"/>
                <w:b w:val="0"/>
                <w:sz w:val="16"/>
              </w:rPr>
              <w:t>Transaction Frequency</w:t>
            </w:r>
          </w:p>
        </w:tc>
        <w:tc>
          <w:tcPr>
            <w:tcW w:type="dxa" w:w="3331"/>
            <w:vAlign w:val="center"/>
            <w:tcMar>
              <w:top w:w="75" w:type="dxa"/>
              <w:start w:w="75" w:type="dxa"/>
              <w:bottom w:w="75" w:type="dxa"/>
              <w:end w:w="75" w:type="dxa"/>
            </w:tcMar>
          </w:tcPr>
          <w:p>
            <w:r/>
            <w:r>
              <w:rPr>
                <w:rFonts w:ascii="Aptos" w:hAnsi="Aptos"/>
                <w:b w:val="0"/>
                <w:sz w:val="16"/>
              </w:rPr>
              <w:t>Wallet frequency buckets and transaction-share distribution.</w:t>
            </w:r>
          </w:p>
        </w:tc>
      </w:tr>
      <w:tr>
        <w:tc>
          <w:tcPr>
            <w:tcW w:type="dxa" w:w="3331"/>
            <w:vAlign w:val="center"/>
            <w:tcMar>
              <w:top w:w="75" w:type="dxa"/>
              <w:start w:w="75" w:type="dxa"/>
              <w:bottom w:w="75" w:type="dxa"/>
              <w:end w:w="75" w:type="dxa"/>
            </w:tcMar>
          </w:tcPr>
          <w:p>
            <w:r/>
            <w:r>
              <w:rPr>
                <w:rFonts w:ascii="Aptos" w:hAnsi="Aptos"/>
                <w:b w:val="0"/>
                <w:sz w:val="16"/>
              </w:rPr>
              <w:t>8733974</w:t>
            </w:r>
          </w:p>
        </w:tc>
        <w:tc>
          <w:tcPr>
            <w:tcW w:type="dxa" w:w="3331"/>
            <w:vAlign w:val="center"/>
            <w:tcMar>
              <w:top w:w="75" w:type="dxa"/>
              <w:start w:w="75" w:type="dxa"/>
              <w:bottom w:w="75" w:type="dxa"/>
              <w:end w:w="75" w:type="dxa"/>
            </w:tcMar>
          </w:tcPr>
          <w:p>
            <w:r/>
            <w:r>
              <w:rPr>
                <w:rFonts w:ascii="Aptos" w:hAnsi="Aptos"/>
                <w:b w:val="0"/>
                <w:sz w:val="16"/>
              </w:rPr>
              <w:t>Wallet/Transaction Concentration</w:t>
            </w:r>
          </w:p>
        </w:tc>
        <w:tc>
          <w:tcPr>
            <w:tcW w:type="dxa" w:w="3331"/>
            <w:vAlign w:val="center"/>
            <w:tcMar>
              <w:top w:w="75" w:type="dxa"/>
              <w:start w:w="75" w:type="dxa"/>
              <w:bottom w:w="75" w:type="dxa"/>
              <w:end w:w="75" w:type="dxa"/>
            </w:tcMar>
          </w:tcPr>
          <w:p>
            <w:r/>
            <w:r>
              <w:rPr>
                <w:rFonts w:ascii="Aptos" w:hAnsi="Aptos"/>
                <w:b w:val="0"/>
                <w:sz w:val="16"/>
              </w:rPr>
              <w:t>Cumulative concentration of transactions and adjusted volume.</w:t>
            </w:r>
          </w:p>
        </w:tc>
      </w:tr>
      <w:tr>
        <w:tc>
          <w:tcPr>
            <w:tcW w:type="dxa" w:w="3331"/>
            <w:vAlign w:val="center"/>
            <w:tcMar>
              <w:top w:w="75" w:type="dxa"/>
              <w:start w:w="75" w:type="dxa"/>
              <w:bottom w:w="75" w:type="dxa"/>
              <w:end w:w="75" w:type="dxa"/>
            </w:tcMar>
          </w:tcPr>
          <w:p>
            <w:r/>
            <w:r>
              <w:rPr>
                <w:rFonts w:ascii="Aptos" w:hAnsi="Aptos"/>
                <w:b w:val="0"/>
                <w:sz w:val="16"/>
              </w:rPr>
              <w:t>8733441</w:t>
            </w:r>
          </w:p>
        </w:tc>
        <w:tc>
          <w:tcPr>
            <w:tcW w:type="dxa" w:w="3331"/>
            <w:vAlign w:val="center"/>
            <w:tcMar>
              <w:top w:w="75" w:type="dxa"/>
              <w:start w:w="75" w:type="dxa"/>
              <w:bottom w:w="75" w:type="dxa"/>
              <w:end w:w="75" w:type="dxa"/>
            </w:tcMar>
          </w:tcPr>
          <w:p>
            <w:r/>
            <w:r>
              <w:rPr>
                <w:rFonts w:ascii="Aptos" w:hAnsi="Aptos"/>
                <w:b w:val="0"/>
                <w:sz w:val="16"/>
              </w:rPr>
              <w:t>Retention</w:t>
            </w:r>
          </w:p>
        </w:tc>
        <w:tc>
          <w:tcPr>
            <w:tcW w:type="dxa" w:w="3331"/>
            <w:vAlign w:val="center"/>
            <w:tcMar>
              <w:top w:w="75" w:type="dxa"/>
              <w:start w:w="75" w:type="dxa"/>
              <w:bottom w:w="75" w:type="dxa"/>
              <w:end w:w="75" w:type="dxa"/>
            </w:tcMar>
          </w:tcPr>
          <w:p>
            <w:r/>
            <w:r>
              <w:rPr>
                <w:rFonts w:ascii="Aptos" w:hAnsi="Aptos"/>
                <w:b w:val="0"/>
                <w:sz w:val="16"/>
              </w:rPr>
              <w:t>Observed return behavior and cohort eligibility.</w:t>
            </w:r>
          </w:p>
        </w:tc>
      </w:tr>
      <w:tr>
        <w:tc>
          <w:tcPr>
            <w:tcW w:type="dxa" w:w="3331"/>
            <w:vAlign w:val="center"/>
            <w:tcMar>
              <w:top w:w="75" w:type="dxa"/>
              <w:start w:w="75" w:type="dxa"/>
              <w:bottom w:w="75" w:type="dxa"/>
              <w:end w:w="75" w:type="dxa"/>
            </w:tcMar>
          </w:tcPr>
          <w:p>
            <w:r/>
            <w:r>
              <w:rPr>
                <w:rFonts w:ascii="Aptos" w:hAnsi="Aptos"/>
                <w:b w:val="0"/>
                <w:sz w:val="16"/>
              </w:rPr>
              <w:t>8733980</w:t>
            </w:r>
          </w:p>
        </w:tc>
        <w:tc>
          <w:tcPr>
            <w:tcW w:type="dxa" w:w="3331"/>
            <w:vAlign w:val="center"/>
            <w:tcMar>
              <w:top w:w="75" w:type="dxa"/>
              <w:start w:w="75" w:type="dxa"/>
              <w:bottom w:w="75" w:type="dxa"/>
              <w:end w:w="75" w:type="dxa"/>
            </w:tcMar>
          </w:tcPr>
          <w:p>
            <w:r/>
            <w:r>
              <w:rPr>
                <w:rFonts w:ascii="Aptos" w:hAnsi="Aptos"/>
                <w:b w:val="0"/>
                <w:sz w:val="16"/>
              </w:rPr>
              <w:t>Methodology &amp; definitions</w:t>
            </w:r>
          </w:p>
        </w:tc>
        <w:tc>
          <w:tcPr>
            <w:tcW w:type="dxa" w:w="3331"/>
            <w:vAlign w:val="center"/>
            <w:tcMar>
              <w:top w:w="75" w:type="dxa"/>
              <w:start w:w="75" w:type="dxa"/>
              <w:bottom w:w="75" w:type="dxa"/>
              <w:end w:w="75" w:type="dxa"/>
            </w:tcMar>
          </w:tcPr>
          <w:p>
            <w:r/>
            <w:r>
              <w:rPr>
                <w:rFonts w:ascii="Aptos" w:hAnsi="Aptos"/>
                <w:b w:val="0"/>
                <w:sz w:val="16"/>
              </w:rPr>
              <w:t>Scope, definitions, exclusions and limitations.</w:t>
            </w:r>
          </w:p>
        </w:tc>
      </w:tr>
    </w:tbl>
    <w:p>
      <w:r>
        <w:rPr>
          <w:b/>
        </w:rPr>
        <w:t xml:space="preserve">Diagnostic checks. </w:t>
      </w:r>
      <w:r>
        <w:t>Query 8740049 reconciles raw V4 Swap events to `dex.trades`; query 8740085 compares Dune-reported token amounts with ERC-20 transfers and PoolManager settlement.</w:t>
      </w:r>
    </w:p>
    <w:p>
      <w:r>
        <w:rPr>
          <w:b/>
        </w:rPr>
        <w:t xml:space="preserve">Public dashboard: </w:t>
      </w:r>
      <w:hyperlink r:id="rId11">
        <w:r>
          <w:rPr>
            <w:color w:val="1F5A94"/>
            <w:u w:val="single"/>
          </w:rPr>
          <w:t>Uniswap on Base — User Quality &amp; Activity (V1)</w:t>
        </w:r>
      </w:hyperlink>
    </w:p>
    <w:p>
      <w:pPr>
        <w:pStyle w:val="Heading1"/>
      </w:pPr>
      <w:r>
        <w:t>7. Conclusion</w:t>
      </w:r>
    </w:p>
    <w:p>
      <w:r>
        <w:t>V1 describes a Uniswap-on-Base population with broad wallet participation but strongly concentrated transaction throughput. Most wallets are low-frequency participants, while a small high-frequency tail generates a majority of transactions. Transaction and adjusted USD volume are similarly concentrated among the leading wallets.</w:t>
      </w:r>
    </w:p>
    <w:p>
      <w:r>
        <w:t>The return analysis shows materially different observed behavior across activity segments, but the segment construction and window-relative cohorts mean these figures should be interpreted as descriptive observations rather than predictive retention estimates.</w:t>
      </w:r>
    </w:p>
    <w:p>
      <w:r>
        <w:t>The strongest methodological result is the anomaly investigation. The analysis did not treat an extreme `amount_usd` value as automatically genuine or automatically erroneous. It traced the value from `dex.trades` to raw V4 events and then to ERC-20 settlement, establishing that the transformation was internally consistent while the underlying event amounts were not representative of conventional economically settled USDC volume. The three transactions were therefore excluded from volume only, with the decision documented in the methodology.</w:t>
      </w:r>
    </w:p>
    <w:p>
      <w:r>
        <w:br w:type="page"/>
      </w:r>
    </w:p>
    <w:p>
      <w:pPr>
        <w:pStyle w:val="Heading1"/>
      </w:pPr>
      <w:r>
        <w:t>Appendix A — Excluded transaction hashes</w:t>
      </w:r>
    </w:p>
    <w:p>
      <w:r>
        <w:rPr>
          <w:rFonts w:ascii="Consolas" w:hAnsi="Consolas"/>
          <w:sz w:val="17"/>
        </w:rPr>
        <w:t>0x818c97aad39b84bd6502bf8fe56559648a0218dce1f2e94d5aff2a16e1691553</w:t>
      </w:r>
    </w:p>
    <w:p>
      <w:r>
        <w:rPr>
          <w:rFonts w:ascii="Consolas" w:hAnsi="Consolas"/>
          <w:sz w:val="17"/>
        </w:rPr>
        <w:t>0x675ee1d70de1437ebb21e68a7d87740b57006ff38e42ba08be50452078690bbf</w:t>
      </w:r>
    </w:p>
    <w:p>
      <w:r>
        <w:rPr>
          <w:rFonts w:ascii="Consolas" w:hAnsi="Consolas"/>
          <w:sz w:val="17"/>
        </w:rPr>
        <w:t>0x82946e71476288c9a8dc58b3d5f03f0ab98280fb9d281bcc7d60ba9f996e5f47</w:t>
      </w:r>
    </w:p>
    <w:p>
      <w:r>
        <w:t>These transactions remain included in wallet counts, transaction counts, frequency analysis and retention. They are excluded only where USD volume is summed.</w:t>
      </w:r>
    </w:p>
    <w:p>
      <w:pPr>
        <w:pStyle w:val="Heading1"/>
      </w:pPr>
      <w:r>
        <w:t>Appendix B — Key result reference</w:t>
      </w:r>
    </w:p>
    <w:tbl>
      <w:tblPr>
        <w:tblW w:type="auto" w:w="0"/>
        <w:jc w:val="center"/>
        <w:tblLook w:firstColumn="1" w:firstRow="1" w:lastColumn="0" w:lastRow="0" w:noHBand="0" w:noVBand="1" w:val="04A0"/>
      </w:tblPr>
      <w:tblGrid>
        <w:gridCol w:w="4997"/>
        <w:gridCol w:w="4997"/>
      </w:tblGrid>
      <w:tr>
        <w:trPr>
          <w:tblHeader w:val="true"/>
        </w:trPr>
        <w:tc>
          <w:tcPr>
            <w:tcW w:type="dxa" w:w="4997"/>
            <w:vAlign w:val="center"/>
            <w:tcMar>
              <w:top w:w="75" w:type="dxa"/>
              <w:start w:w="75" w:type="dxa"/>
              <w:bottom w:w="75" w:type="dxa"/>
              <w:end w:w="75" w:type="dxa"/>
            </w:tcMar>
            <w:shd w:fill="253746"/>
          </w:tcPr>
          <w:p>
            <w:r/>
            <w:r>
              <w:rPr>
                <w:rFonts w:ascii="Aptos" w:hAnsi="Aptos"/>
                <w:b/>
                <w:color w:val="FFFFFF"/>
                <w:sz w:val="17"/>
              </w:rPr>
              <w:t>Metric</w:t>
            </w:r>
          </w:p>
        </w:tc>
        <w:tc>
          <w:tcPr>
            <w:tcW w:type="dxa" w:w="4997"/>
            <w:vAlign w:val="center"/>
            <w:tcMar>
              <w:top w:w="75" w:type="dxa"/>
              <w:start w:w="75" w:type="dxa"/>
              <w:bottom w:w="75" w:type="dxa"/>
              <w:end w:w="75" w:type="dxa"/>
            </w:tcMar>
            <w:shd w:fill="253746"/>
          </w:tcPr>
          <w:p>
            <w:r/>
            <w:r>
              <w:rPr>
                <w:rFonts w:ascii="Aptos" w:hAnsi="Aptos"/>
                <w:b/>
                <w:color w:val="FFFFFF"/>
                <w:sz w:val="17"/>
              </w:rPr>
              <w:t>Value</w:t>
            </w:r>
          </w:p>
        </w:tc>
      </w:tr>
      <w:tr>
        <w:tc>
          <w:tcPr>
            <w:tcW w:type="dxa" w:w="4997"/>
            <w:vAlign w:val="center"/>
            <w:tcMar>
              <w:top w:w="75" w:type="dxa"/>
              <w:start w:w="75" w:type="dxa"/>
              <w:bottom w:w="75" w:type="dxa"/>
              <w:end w:w="75" w:type="dxa"/>
            </w:tcMar>
          </w:tcPr>
          <w:p>
            <w:r/>
            <w:r>
              <w:rPr>
                <w:rFonts w:ascii="Aptos" w:hAnsi="Aptos"/>
                <w:b w:val="0"/>
                <w:sz w:val="17"/>
              </w:rPr>
              <w:t>Unique wallets</w:t>
            </w:r>
          </w:p>
        </w:tc>
        <w:tc>
          <w:tcPr>
            <w:tcW w:type="dxa" w:w="4997"/>
            <w:vAlign w:val="center"/>
            <w:tcMar>
              <w:top w:w="75" w:type="dxa"/>
              <w:start w:w="75" w:type="dxa"/>
              <w:bottom w:w="75" w:type="dxa"/>
              <w:end w:w="75" w:type="dxa"/>
            </w:tcMar>
          </w:tcPr>
          <w:p>
            <w:r/>
            <w:r>
              <w:rPr>
                <w:rFonts w:ascii="Aptos" w:hAnsi="Aptos"/>
                <w:b/>
                <w:sz w:val="17"/>
              </w:rPr>
              <w:t>569,864</w:t>
            </w:r>
          </w:p>
        </w:tc>
      </w:tr>
      <w:tr>
        <w:tc>
          <w:tcPr>
            <w:tcW w:type="dxa" w:w="4997"/>
            <w:vAlign w:val="center"/>
            <w:tcMar>
              <w:top w:w="75" w:type="dxa"/>
              <w:start w:w="75" w:type="dxa"/>
              <w:bottom w:w="75" w:type="dxa"/>
              <w:end w:w="75" w:type="dxa"/>
            </w:tcMar>
          </w:tcPr>
          <w:p>
            <w:r/>
            <w:r>
              <w:rPr>
                <w:rFonts w:ascii="Aptos" w:hAnsi="Aptos"/>
                <w:b w:val="0"/>
                <w:sz w:val="17"/>
              </w:rPr>
              <w:t>Transactions</w:t>
            </w:r>
          </w:p>
        </w:tc>
        <w:tc>
          <w:tcPr>
            <w:tcW w:type="dxa" w:w="4997"/>
            <w:vAlign w:val="center"/>
            <w:tcMar>
              <w:top w:w="75" w:type="dxa"/>
              <w:start w:w="75" w:type="dxa"/>
              <w:bottom w:w="75" w:type="dxa"/>
              <w:end w:w="75" w:type="dxa"/>
            </w:tcMar>
          </w:tcPr>
          <w:p>
            <w:r/>
            <w:r>
              <w:rPr>
                <w:rFonts w:ascii="Aptos" w:hAnsi="Aptos"/>
                <w:b/>
                <w:sz w:val="17"/>
              </w:rPr>
              <w:t>19,932,002</w:t>
            </w:r>
          </w:p>
        </w:tc>
      </w:tr>
      <w:tr>
        <w:tc>
          <w:tcPr>
            <w:tcW w:type="dxa" w:w="4997"/>
            <w:vAlign w:val="center"/>
            <w:tcMar>
              <w:top w:w="75" w:type="dxa"/>
              <w:start w:w="75" w:type="dxa"/>
              <w:bottom w:w="75" w:type="dxa"/>
              <w:end w:w="75" w:type="dxa"/>
            </w:tcMar>
          </w:tcPr>
          <w:p>
            <w:r/>
            <w:r>
              <w:rPr>
                <w:rFonts w:ascii="Aptos" w:hAnsi="Aptos"/>
                <w:b w:val="0"/>
                <w:sz w:val="17"/>
              </w:rPr>
              <w:t>Adjusted volume</w:t>
            </w:r>
          </w:p>
        </w:tc>
        <w:tc>
          <w:tcPr>
            <w:tcW w:type="dxa" w:w="4997"/>
            <w:vAlign w:val="center"/>
            <w:tcMar>
              <w:top w:w="75" w:type="dxa"/>
              <w:start w:w="75" w:type="dxa"/>
              <w:bottom w:w="75" w:type="dxa"/>
              <w:end w:w="75" w:type="dxa"/>
            </w:tcMar>
          </w:tcPr>
          <w:p>
            <w:r/>
            <w:r>
              <w:rPr>
                <w:rFonts w:ascii="Aptos" w:hAnsi="Aptos"/>
                <w:b/>
                <w:sz w:val="17"/>
              </w:rPr>
              <w:t>$8,260,205,266</w:t>
            </w:r>
          </w:p>
        </w:tc>
      </w:tr>
      <w:tr>
        <w:tc>
          <w:tcPr>
            <w:tcW w:type="dxa" w:w="4997"/>
            <w:vAlign w:val="center"/>
            <w:tcMar>
              <w:top w:w="75" w:type="dxa"/>
              <w:start w:w="75" w:type="dxa"/>
              <w:bottom w:w="75" w:type="dxa"/>
              <w:end w:w="75" w:type="dxa"/>
            </w:tcMar>
          </w:tcPr>
          <w:p>
            <w:r/>
            <w:r>
              <w:rPr>
                <w:rFonts w:ascii="Aptos" w:hAnsi="Aptos"/>
                <w:b w:val="0"/>
                <w:sz w:val="17"/>
              </w:rPr>
              <w:t>Avg. daily active wallets</w:t>
            </w:r>
          </w:p>
        </w:tc>
        <w:tc>
          <w:tcPr>
            <w:tcW w:type="dxa" w:w="4997"/>
            <w:vAlign w:val="center"/>
            <w:tcMar>
              <w:top w:w="75" w:type="dxa"/>
              <w:start w:w="75" w:type="dxa"/>
              <w:bottom w:w="75" w:type="dxa"/>
              <w:end w:w="75" w:type="dxa"/>
            </w:tcMar>
          </w:tcPr>
          <w:p>
            <w:r/>
            <w:r>
              <w:rPr>
                <w:rFonts w:ascii="Aptos" w:hAnsi="Aptos"/>
                <w:b/>
                <w:sz w:val="17"/>
              </w:rPr>
              <w:t>58,579</w:t>
            </w:r>
          </w:p>
        </w:tc>
      </w:tr>
      <w:tr>
        <w:tc>
          <w:tcPr>
            <w:tcW w:type="dxa" w:w="4997"/>
            <w:vAlign w:val="center"/>
            <w:tcMar>
              <w:top w:w="75" w:type="dxa"/>
              <w:start w:w="75" w:type="dxa"/>
              <w:bottom w:w="75" w:type="dxa"/>
              <w:end w:w="75" w:type="dxa"/>
            </w:tcMar>
          </w:tcPr>
          <w:p>
            <w:r/>
            <w:r>
              <w:rPr>
                <w:rFonts w:ascii="Aptos" w:hAnsi="Aptos"/>
                <w:b w:val="0"/>
                <w:sz w:val="17"/>
              </w:rPr>
              <w:t>Median transactions / wallet</w:t>
            </w:r>
          </w:p>
        </w:tc>
        <w:tc>
          <w:tcPr>
            <w:tcW w:type="dxa" w:w="4997"/>
            <w:vAlign w:val="center"/>
            <w:tcMar>
              <w:top w:w="75" w:type="dxa"/>
              <w:start w:w="75" w:type="dxa"/>
              <w:bottom w:w="75" w:type="dxa"/>
              <w:end w:w="75" w:type="dxa"/>
            </w:tcMar>
          </w:tcPr>
          <w:p>
            <w:r/>
            <w:r>
              <w:rPr>
                <w:rFonts w:ascii="Aptos" w:hAnsi="Aptos"/>
                <w:b/>
                <w:sz w:val="17"/>
              </w:rPr>
              <w:t>2</w:t>
            </w:r>
          </w:p>
        </w:tc>
      </w:tr>
      <w:tr>
        <w:tc>
          <w:tcPr>
            <w:tcW w:type="dxa" w:w="4997"/>
            <w:vAlign w:val="center"/>
            <w:tcMar>
              <w:top w:w="75" w:type="dxa"/>
              <w:start w:w="75" w:type="dxa"/>
              <w:bottom w:w="75" w:type="dxa"/>
              <w:end w:w="75" w:type="dxa"/>
            </w:tcMar>
          </w:tcPr>
          <w:p>
            <w:r/>
            <w:r>
              <w:rPr>
                <w:rFonts w:ascii="Aptos" w:hAnsi="Aptos"/>
                <w:b w:val="0"/>
                <w:sz w:val="17"/>
              </w:rPr>
              <w:t>Median active days / wallet</w:t>
            </w:r>
          </w:p>
        </w:tc>
        <w:tc>
          <w:tcPr>
            <w:tcW w:type="dxa" w:w="4997"/>
            <w:vAlign w:val="center"/>
            <w:tcMar>
              <w:top w:w="75" w:type="dxa"/>
              <w:start w:w="75" w:type="dxa"/>
              <w:bottom w:w="75" w:type="dxa"/>
              <w:end w:w="75" w:type="dxa"/>
            </w:tcMar>
          </w:tcPr>
          <w:p>
            <w:r/>
            <w:r>
              <w:rPr>
                <w:rFonts w:ascii="Aptos" w:hAnsi="Aptos"/>
                <w:b/>
                <w:sz w:val="17"/>
              </w:rPr>
              <w:t>1</w:t>
            </w:r>
          </w:p>
        </w:tc>
      </w:tr>
      <w:tr>
        <w:tc>
          <w:tcPr>
            <w:tcW w:type="dxa" w:w="4997"/>
            <w:vAlign w:val="center"/>
            <w:tcMar>
              <w:top w:w="75" w:type="dxa"/>
              <w:start w:w="75" w:type="dxa"/>
              <w:bottom w:w="75" w:type="dxa"/>
              <w:end w:w="75" w:type="dxa"/>
            </w:tcMar>
          </w:tcPr>
          <w:p>
            <w:r/>
            <w:r>
              <w:rPr>
                <w:rFonts w:ascii="Aptos" w:hAnsi="Aptos"/>
                <w:b w:val="0"/>
                <w:sz w:val="17"/>
              </w:rPr>
              <w:t>Active on 2+ days</w:t>
            </w:r>
          </w:p>
        </w:tc>
        <w:tc>
          <w:tcPr>
            <w:tcW w:type="dxa" w:w="4997"/>
            <w:vAlign w:val="center"/>
            <w:tcMar>
              <w:top w:w="75" w:type="dxa"/>
              <w:start w:w="75" w:type="dxa"/>
              <w:bottom w:w="75" w:type="dxa"/>
              <w:end w:w="75" w:type="dxa"/>
            </w:tcMar>
          </w:tcPr>
          <w:p>
            <w:r/>
            <w:r>
              <w:rPr>
                <w:rFonts w:ascii="Aptos" w:hAnsi="Aptos"/>
                <w:b/>
                <w:sz w:val="17"/>
              </w:rPr>
              <w:t>37.08%</w:t>
            </w:r>
          </w:p>
        </w:tc>
      </w:tr>
      <w:tr>
        <w:tc>
          <w:tcPr>
            <w:tcW w:type="dxa" w:w="4997"/>
            <w:vAlign w:val="center"/>
            <w:tcMar>
              <w:top w:w="75" w:type="dxa"/>
              <w:start w:w="75" w:type="dxa"/>
              <w:bottom w:w="75" w:type="dxa"/>
              <w:end w:w="75" w:type="dxa"/>
            </w:tcMar>
          </w:tcPr>
          <w:p>
            <w:r/>
            <w:r>
              <w:rPr>
                <w:rFonts w:ascii="Aptos" w:hAnsi="Aptos"/>
                <w:b w:val="0"/>
                <w:sz w:val="17"/>
              </w:rPr>
              <w:t>Top 0.1% tx share</w:t>
            </w:r>
          </w:p>
        </w:tc>
        <w:tc>
          <w:tcPr>
            <w:tcW w:type="dxa" w:w="4997"/>
            <w:vAlign w:val="center"/>
            <w:tcMar>
              <w:top w:w="75" w:type="dxa"/>
              <w:start w:w="75" w:type="dxa"/>
              <w:bottom w:w="75" w:type="dxa"/>
              <w:end w:w="75" w:type="dxa"/>
            </w:tcMar>
          </w:tcPr>
          <w:p>
            <w:r/>
            <w:r>
              <w:rPr>
                <w:rFonts w:ascii="Aptos" w:hAnsi="Aptos"/>
                <w:b/>
                <w:sz w:val="17"/>
              </w:rPr>
              <w:t>42.44%</w:t>
            </w:r>
          </w:p>
        </w:tc>
      </w:tr>
      <w:tr>
        <w:tc>
          <w:tcPr>
            <w:tcW w:type="dxa" w:w="4997"/>
            <w:vAlign w:val="center"/>
            <w:tcMar>
              <w:top w:w="75" w:type="dxa"/>
              <w:start w:w="75" w:type="dxa"/>
              <w:bottom w:w="75" w:type="dxa"/>
              <w:end w:w="75" w:type="dxa"/>
            </w:tcMar>
          </w:tcPr>
          <w:p>
            <w:r/>
            <w:r>
              <w:rPr>
                <w:rFonts w:ascii="Aptos" w:hAnsi="Aptos"/>
                <w:b w:val="0"/>
                <w:sz w:val="17"/>
              </w:rPr>
              <w:t>Top 0.1% volume share</w:t>
            </w:r>
          </w:p>
        </w:tc>
        <w:tc>
          <w:tcPr>
            <w:tcW w:type="dxa" w:w="4997"/>
            <w:vAlign w:val="center"/>
            <w:tcMar>
              <w:top w:w="75" w:type="dxa"/>
              <w:start w:w="75" w:type="dxa"/>
              <w:bottom w:w="75" w:type="dxa"/>
              <w:end w:w="75" w:type="dxa"/>
            </w:tcMar>
          </w:tcPr>
          <w:p>
            <w:r/>
            <w:r>
              <w:rPr>
                <w:rFonts w:ascii="Aptos" w:hAnsi="Aptos"/>
                <w:b/>
                <w:sz w:val="17"/>
              </w:rPr>
              <w:t>39.51%</w:t>
            </w:r>
          </w:p>
        </w:tc>
      </w:tr>
      <w:tr>
        <w:tc>
          <w:tcPr>
            <w:tcW w:type="dxa" w:w="4997"/>
            <w:vAlign w:val="center"/>
            <w:tcMar>
              <w:top w:w="75" w:type="dxa"/>
              <w:start w:w="75" w:type="dxa"/>
              <w:bottom w:w="75" w:type="dxa"/>
              <w:end w:w="75" w:type="dxa"/>
            </w:tcMar>
          </w:tcPr>
          <w:p>
            <w:r/>
            <w:r>
              <w:rPr>
                <w:rFonts w:ascii="Aptos" w:hAnsi="Aptos"/>
                <w:b w:val="0"/>
                <w:sz w:val="17"/>
              </w:rPr>
              <w:t>Top 1% tx share</w:t>
            </w:r>
          </w:p>
        </w:tc>
        <w:tc>
          <w:tcPr>
            <w:tcW w:type="dxa" w:w="4997"/>
            <w:vAlign w:val="center"/>
            <w:tcMar>
              <w:top w:w="75" w:type="dxa"/>
              <w:start w:w="75" w:type="dxa"/>
              <w:bottom w:w="75" w:type="dxa"/>
              <w:end w:w="75" w:type="dxa"/>
            </w:tcMar>
          </w:tcPr>
          <w:p>
            <w:r/>
            <w:r>
              <w:rPr>
                <w:rFonts w:ascii="Aptos" w:hAnsi="Aptos"/>
                <w:b/>
                <w:sz w:val="17"/>
              </w:rPr>
              <w:t>68.94%</w:t>
            </w:r>
          </w:p>
        </w:tc>
      </w:tr>
      <w:tr>
        <w:tc>
          <w:tcPr>
            <w:tcW w:type="dxa" w:w="4997"/>
            <w:vAlign w:val="center"/>
            <w:tcMar>
              <w:top w:w="75" w:type="dxa"/>
              <w:start w:w="75" w:type="dxa"/>
              <w:bottom w:w="75" w:type="dxa"/>
              <w:end w:w="75" w:type="dxa"/>
            </w:tcMar>
          </w:tcPr>
          <w:p>
            <w:r/>
            <w:r>
              <w:rPr>
                <w:rFonts w:ascii="Aptos" w:hAnsi="Aptos"/>
                <w:b w:val="0"/>
                <w:sz w:val="17"/>
              </w:rPr>
              <w:t>Top 1% volume share</w:t>
            </w:r>
          </w:p>
        </w:tc>
        <w:tc>
          <w:tcPr>
            <w:tcW w:type="dxa" w:w="4997"/>
            <w:vAlign w:val="center"/>
            <w:tcMar>
              <w:top w:w="75" w:type="dxa"/>
              <w:start w:w="75" w:type="dxa"/>
              <w:bottom w:w="75" w:type="dxa"/>
              <w:end w:w="75" w:type="dxa"/>
            </w:tcMar>
          </w:tcPr>
          <w:p>
            <w:r/>
            <w:r>
              <w:rPr>
                <w:rFonts w:ascii="Aptos" w:hAnsi="Aptos"/>
                <w:b/>
                <w:sz w:val="17"/>
              </w:rPr>
              <w:t>71.54%</w:t>
            </w:r>
          </w:p>
        </w:tc>
      </w:tr>
      <w:tr>
        <w:tc>
          <w:tcPr>
            <w:tcW w:type="dxa" w:w="4997"/>
            <w:vAlign w:val="center"/>
            <w:tcMar>
              <w:top w:w="75" w:type="dxa"/>
              <w:start w:w="75" w:type="dxa"/>
              <w:bottom w:w="75" w:type="dxa"/>
              <w:end w:w="75" w:type="dxa"/>
            </w:tcMar>
          </w:tcPr>
          <w:p>
            <w:r/>
            <w:r>
              <w:rPr>
                <w:rFonts w:ascii="Aptos" w:hAnsi="Aptos"/>
                <w:b w:val="0"/>
                <w:sz w:val="17"/>
              </w:rPr>
              <w:t>All-wallet D2</w:t>
            </w:r>
          </w:p>
        </w:tc>
        <w:tc>
          <w:tcPr>
            <w:tcW w:type="dxa" w:w="4997"/>
            <w:vAlign w:val="center"/>
            <w:tcMar>
              <w:top w:w="75" w:type="dxa"/>
              <w:start w:w="75" w:type="dxa"/>
              <w:bottom w:w="75" w:type="dxa"/>
              <w:end w:w="75" w:type="dxa"/>
            </w:tcMar>
          </w:tcPr>
          <w:p>
            <w:r/>
            <w:r>
              <w:rPr>
                <w:rFonts w:ascii="Aptos" w:hAnsi="Aptos"/>
                <w:b/>
                <w:sz w:val="17"/>
              </w:rPr>
              <w:t>38.26%</w:t>
            </w:r>
          </w:p>
        </w:tc>
      </w:tr>
      <w:tr>
        <w:tc>
          <w:tcPr>
            <w:tcW w:type="dxa" w:w="4997"/>
            <w:vAlign w:val="center"/>
            <w:tcMar>
              <w:top w:w="75" w:type="dxa"/>
              <w:start w:w="75" w:type="dxa"/>
              <w:bottom w:w="75" w:type="dxa"/>
              <w:end w:w="75" w:type="dxa"/>
            </w:tcMar>
          </w:tcPr>
          <w:p>
            <w:r/>
            <w:r>
              <w:rPr>
                <w:rFonts w:ascii="Aptos" w:hAnsi="Aptos"/>
                <w:b w:val="0"/>
                <w:sz w:val="17"/>
              </w:rPr>
              <w:t>All-wallet D7</w:t>
            </w:r>
          </w:p>
        </w:tc>
        <w:tc>
          <w:tcPr>
            <w:tcW w:type="dxa" w:w="4997"/>
            <w:vAlign w:val="center"/>
            <w:tcMar>
              <w:top w:w="75" w:type="dxa"/>
              <w:start w:w="75" w:type="dxa"/>
              <w:bottom w:w="75" w:type="dxa"/>
              <w:end w:w="75" w:type="dxa"/>
            </w:tcMar>
          </w:tcPr>
          <w:p>
            <w:r/>
            <w:r>
              <w:rPr>
                <w:rFonts w:ascii="Aptos" w:hAnsi="Aptos"/>
                <w:b/>
                <w:sz w:val="17"/>
              </w:rPr>
              <w:t>37.07%</w:t>
            </w:r>
          </w:p>
        </w:tc>
      </w:tr>
      <w:tr>
        <w:tc>
          <w:tcPr>
            <w:tcW w:type="dxa" w:w="4997"/>
            <w:vAlign w:val="center"/>
            <w:tcMar>
              <w:top w:w="75" w:type="dxa"/>
              <w:start w:w="75" w:type="dxa"/>
              <w:bottom w:w="75" w:type="dxa"/>
              <w:end w:w="75" w:type="dxa"/>
            </w:tcMar>
          </w:tcPr>
          <w:p>
            <w:r/>
            <w:r>
              <w:rPr>
                <w:rFonts w:ascii="Aptos" w:hAnsi="Aptos"/>
                <w:b w:val="0"/>
                <w:sz w:val="17"/>
              </w:rPr>
              <w:t>All-wallet D14</w:t>
            </w:r>
          </w:p>
        </w:tc>
        <w:tc>
          <w:tcPr>
            <w:tcW w:type="dxa" w:w="4997"/>
            <w:vAlign w:val="center"/>
            <w:tcMar>
              <w:top w:w="75" w:type="dxa"/>
              <w:start w:w="75" w:type="dxa"/>
              <w:bottom w:w="75" w:type="dxa"/>
              <w:end w:w="75" w:type="dxa"/>
            </w:tcMar>
          </w:tcPr>
          <w:p>
            <w:r/>
            <w:r>
              <w:rPr>
                <w:rFonts w:ascii="Aptos" w:hAnsi="Aptos"/>
                <w:b/>
                <w:sz w:val="17"/>
              </w:rPr>
              <w:t>45.14%</w:t>
            </w:r>
          </w:p>
        </w:tc>
      </w:tr>
      <w:tr>
        <w:tc>
          <w:tcPr>
            <w:tcW w:type="dxa" w:w="4997"/>
            <w:vAlign w:val="center"/>
            <w:tcMar>
              <w:top w:w="75" w:type="dxa"/>
              <w:start w:w="75" w:type="dxa"/>
              <w:bottom w:w="75" w:type="dxa"/>
              <w:end w:w="75" w:type="dxa"/>
            </w:tcMar>
          </w:tcPr>
          <w:p>
            <w:r/>
            <w:r>
              <w:rPr>
                <w:rFonts w:ascii="Aptos" w:hAnsi="Aptos"/>
                <w:b w:val="0"/>
                <w:sz w:val="17"/>
              </w:rPr>
              <w:t>All-wallet D30</w:t>
            </w:r>
          </w:p>
        </w:tc>
        <w:tc>
          <w:tcPr>
            <w:tcW w:type="dxa" w:w="4997"/>
            <w:vAlign w:val="center"/>
            <w:tcMar>
              <w:top w:w="75" w:type="dxa"/>
              <w:start w:w="75" w:type="dxa"/>
              <w:bottom w:w="75" w:type="dxa"/>
              <w:end w:w="75" w:type="dxa"/>
            </w:tcMar>
          </w:tcPr>
          <w:p>
            <w:r/>
            <w:r>
              <w:rPr>
                <w:rFonts w:ascii="Aptos" w:hAnsi="Aptos"/>
                <w:b/>
                <w:sz w:val="17"/>
              </w:rPr>
              <w:t>82.02%</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 xml:space="preserve">Project report  •  16 September 2026  •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E6E6E"/>
        <w:sz w:val="16"/>
      </w:rPr>
      <w:t>UNISWAP ON BASE — USER QUALITY &amp; ACTIVITY | V1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8232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43F4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650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8232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ptos" w:hAnsi="Aptos"/>
      <w:i/>
      <w:color w:val="5F5F5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une.com/13seeker/uniswap-on-base-user-quality-activity-v1" TargetMode="External"/><Relationship Id="rId12" Type="http://schemas.openxmlformats.org/officeDocument/2006/relationships/hyperlink" Target="https://dune.com/queries/8733980/12767015"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Uniswap on Base — User Quality &amp; Activity V1: Research Report</dc:title>
  <dc:subject>On-chain analytics report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