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141924</wp:posOffset>
            </wp:positionH>
            <wp:positionV relativeFrom="page">
              <wp:posOffset>768350</wp:posOffset>
            </wp:positionV>
            <wp:extent cx="7491711" cy="90963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1711" cy="909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center"/>
      <w:rPr>
        <w:rFonts w:ascii="Calibri" w:cs="Calibri" w:eastAsia="Calibri" w:hAnsi="Calibri"/>
        <w:sz w:val="34"/>
        <w:szCs w:val="34"/>
      </w:rPr>
    </w:pPr>
    <w:r w:rsidDel="00000000" w:rsidR="00000000" w:rsidRPr="00000000">
      <w:rPr>
        <w:rFonts w:ascii="Calibri" w:cs="Calibri" w:eastAsia="Calibri" w:hAnsi="Calibri"/>
        <w:sz w:val="34"/>
        <w:szCs w:val="34"/>
        <w:rtl w:val="0"/>
      </w:rPr>
      <w:t xml:space="preserve">Unit 6 Grammar practice: First Conditional sentences                      3B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