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Rule="auto"/>
        <w:jc w:val="center"/>
        <w:rPr>
          <w:rFonts w:ascii="Georgia" w:cs="Georgia" w:eastAsia="Georgia" w:hAnsi="Georgia"/>
          <w:b w:val="1"/>
          <w:sz w:val="26"/>
          <w:szCs w:val="26"/>
        </w:rPr>
      </w:pPr>
      <w:r w:rsidDel="00000000" w:rsidR="00000000" w:rsidRPr="00000000">
        <w:rPr>
          <w:rFonts w:ascii="Georgia" w:cs="Georgia" w:eastAsia="Georgia" w:hAnsi="Georgia"/>
          <w:b w:val="1"/>
          <w:sz w:val="26"/>
          <w:szCs w:val="26"/>
          <w:rtl w:val="0"/>
        </w:rPr>
        <w:t xml:space="preserve">Transhumanismus Textauszüge 2: Max More – Das Proaktionäre Prinzip</w:t>
      </w:r>
    </w:p>
    <w:p w:rsidR="00000000" w:rsidDel="00000000" w:rsidP="00000000" w:rsidRDefault="00000000" w:rsidRPr="00000000" w14:paraId="00000002">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[1] Fortschritt und Angst</w:t>
        <w:br w:type="textWrapping"/>
      </w:r>
      <w:r w:rsidDel="00000000" w:rsidR="00000000" w:rsidRPr="00000000">
        <w:rPr>
          <w:rFonts w:ascii="Georgia" w:cs="Georgia" w:eastAsia="Georgia" w:hAnsi="Georgia"/>
          <w:rtl w:val="0"/>
        </w:rPr>
        <w:t xml:space="preserve">Das Proaktionäre Prinzip ist ein inklusiver, strukturierter Prozess zur Maximierung des technologischen Fortschritts zum Wohl der Menschheit, während gleichzeitig das Bewusstsein für potenzielle Nebenwirkungen und Risiken geschärft wird. In seiner kürzesten Form lautet es: </w:t>
      </w:r>
      <w:r w:rsidDel="00000000" w:rsidR="00000000" w:rsidRPr="00000000">
        <w:rPr>
          <w:rFonts w:ascii="Georgia" w:cs="Georgia" w:eastAsia="Georgia" w:hAnsi="Georgia"/>
          <w:b w:val="1"/>
          <w:rtl w:val="0"/>
        </w:rPr>
        <w:t xml:space="preserve">Der Fortschritt sollte sich nicht der Angst beugen, sondern mit weit offenen Augen voranschreiten.</w:t>
      </w:r>
      <w:r w:rsidDel="00000000" w:rsidR="00000000" w:rsidRPr="00000000">
        <w:rPr>
          <w:rFonts w:ascii="Georgia" w:cs="Georgia" w:eastAsia="Georgia" w:hAnsi="Georgia"/>
          <w:rtl w:val="0"/>
        </w:rPr>
        <w:t xml:space="preserve"> Klarer ausgedrückt: Schütze die Freiheit zu innovieren und Fortschritte zu machen, während intelligent über Nebenwirkungen nachgedacht und geplant wird.</w:t>
        <w:br w:type="textWrapping"/>
      </w:r>
      <w:r w:rsidDel="00000000" w:rsidR="00000000" w:rsidRPr="00000000">
        <w:rPr>
          <w:rFonts w:ascii="Georgia" w:cs="Georgia" w:eastAsia="Georgia" w:hAnsi="Georgia"/>
          <w:b w:val="1"/>
          <w:rtl w:val="0"/>
        </w:rPr>
        <w:t xml:space="preserve">[2] Die Umkehrung der Beweislast</w:t>
        <w:br w:type="textWrapping"/>
      </w:r>
      <w:r w:rsidDel="00000000" w:rsidR="00000000" w:rsidRPr="00000000">
        <w:rPr>
          <w:rFonts w:ascii="Georgia" w:cs="Georgia" w:eastAsia="Georgia" w:hAnsi="Georgia"/>
          <w:rtl w:val="0"/>
        </w:rPr>
        <w:t xml:space="preserve">Die Freiheit, technologisch zu innovieren und sich in neuen Formen produktiver Aktivität zu engagieren, ist wertvoll für die Menschheit und wesentlich für unsere Zukunft. </w:t>
      </w:r>
      <w:r w:rsidDel="00000000" w:rsidR="00000000" w:rsidRPr="00000000">
        <w:rPr>
          <w:rFonts w:ascii="Georgia" w:cs="Georgia" w:eastAsia="Georgia" w:hAnsi="Georgia"/>
          <w:b w:val="1"/>
          <w:rtl w:val="0"/>
        </w:rPr>
        <w:t xml:space="preserve">Die Beweislast liegt daher bei denjenigen, die Maßnahmen zur Einschränkung neuer Technologien vorschlagen.</w:t>
      </w:r>
      <w:r w:rsidDel="00000000" w:rsidR="00000000" w:rsidRPr="00000000">
        <w:rPr>
          <w:rFonts w:ascii="Georgia" w:cs="Georgia" w:eastAsia="Georgia" w:hAnsi="Georgia"/>
          <w:rtl w:val="0"/>
        </w:rPr>
        <w:t xml:space="preserve"> Alle vorgeschlagenen Maßnahmen sollten genau geprüft werden. Anstatt zögerlich voranzugehen, bedeutet dies, mutig voranzuschreiten, während man darauf achtet, wohin man seine Füße setzt. Ich kann nicht anders, als mich verwundert zu fühlen, dass dieser Imperativ – Vorwärts! Fortschritt! Verbesserung! – nicht weithin als unumstritten akzeptiert wird.</w:t>
        <w:br w:type="textWrapping"/>
      </w:r>
      <w:r w:rsidDel="00000000" w:rsidR="00000000" w:rsidRPr="00000000">
        <w:rPr>
          <w:rFonts w:ascii="Georgia" w:cs="Georgia" w:eastAsia="Georgia" w:hAnsi="Georgia"/>
          <w:b w:val="1"/>
          <w:rtl w:val="0"/>
        </w:rPr>
        <w:t xml:space="preserve">[3] Die Kritik am Vorsorgeprinzip</w:t>
        <w:br w:type="textWrapping"/>
      </w:r>
      <w:r w:rsidDel="00000000" w:rsidR="00000000" w:rsidRPr="00000000">
        <w:rPr>
          <w:rFonts w:ascii="Georgia" w:cs="Georgia" w:eastAsia="Georgia" w:hAnsi="Georgia"/>
          <w:rtl w:val="0"/>
        </w:rPr>
        <w:t xml:space="preserve">Das Vorsorgeprinzip ist von fatalen Schwächen durchzogen. Nicht zuletzt zeigt es eine starke Voreingenommenheit für den Status quo und gegen den technologischen Fortschritt, der für das fortgesetzte Überleben und Wohlergehen der Menschheit so wichtig ist. Wir müssen neue Technologien entwickeln und einsetzen, um in den kommenden Jahrzehnten Milliarden mehr Menschen zu ernähren, um natürlichen Bedrohungen zu begegnen – von Krankheitserregern bis hin zu Umweltveränderungen –, und um menschliches Leiden durch Krankheit, Schädigung und die Verwüstungen des Alterns zu lindern.</w:t>
        <w:br w:type="textWrapping"/>
      </w:r>
      <w:r w:rsidDel="00000000" w:rsidR="00000000" w:rsidRPr="00000000">
        <w:rPr>
          <w:rFonts w:ascii="Georgia" w:cs="Georgia" w:eastAsia="Georgia" w:hAnsi="Georgia"/>
          <w:b w:val="1"/>
          <w:rtl w:val="0"/>
        </w:rPr>
        <w:t xml:space="preserve">[4] Untätigkeit als Risiko</w:t>
        <w:br w:type="textWrapping"/>
      </w:r>
      <w:r w:rsidDel="00000000" w:rsidR="00000000" w:rsidRPr="00000000">
        <w:rPr>
          <w:rFonts w:ascii="Georgia" w:cs="Georgia" w:eastAsia="Georgia" w:hAnsi="Georgia"/>
          <w:rtl w:val="0"/>
        </w:rPr>
        <w:t xml:space="preserve">Alle Risiken zu vermeiden ist nicht möglich. Sie müssen bewertet und verglichen werden. Die Tatsache, dass ein Risiko oder eine Bedrohung „natürlich" ist, sollte ihr keinen besonderen Status geben. Behandle technologische Risiken auf die gleiche Weise wie natürliche Risiken. Vermeide es, natürliche Risiken zu untergewichten und menschlich-technologische Risiken zu übergewichten. </w:t>
      </w:r>
      <w:r w:rsidDel="00000000" w:rsidR="00000000" w:rsidRPr="00000000">
        <w:rPr>
          <w:rFonts w:ascii="Georgia" w:cs="Georgia" w:eastAsia="Georgia" w:hAnsi="Georgia"/>
          <w:b w:val="1"/>
          <w:rtl w:val="0"/>
        </w:rPr>
        <w:t xml:space="preserve">Untätigkeit kann ebenso Schaden anrichten wie Handeln.</w:t>
      </w:r>
      <w:r w:rsidDel="00000000" w:rsidR="00000000" w:rsidRPr="00000000">
        <w:rPr>
          <w:rFonts w:ascii="Georgia" w:cs="Georgia" w:eastAsia="Georgia" w:hAnsi="Georgia"/>
          <w:rtl w:val="0"/>
        </w:rPr>
        <w:t xml:space="preserve"> Handlungen zur Verringerung von Risiken verursachen immer Kosten und gehen auf Kosten der Bewältigung anderer Risiken. Berücksichtige alle vernünftigen alternativen Handlungen, einschließlich keiner Handlung. Schätze die durch Aufgabe einer Technologie verlorenen Gelegenheiten ab.</w:t>
        <w:br w:type="textWrapping"/>
      </w:r>
      <w:r w:rsidDel="00000000" w:rsidR="00000000" w:rsidRPr="00000000">
        <w:rPr>
          <w:rFonts w:ascii="Georgia" w:cs="Georgia" w:eastAsia="Georgia" w:hAnsi="Georgia"/>
          <w:b w:val="1"/>
          <w:rtl w:val="0"/>
        </w:rPr>
        <w:t xml:space="preserve">[5] Gegen die Ideologie der Technikfeindlichkeit</w:t>
        <w:br w:type="textWrapping"/>
      </w:r>
      <w:r w:rsidDel="00000000" w:rsidR="00000000" w:rsidRPr="00000000">
        <w:rPr>
          <w:rFonts w:ascii="Georgia" w:cs="Georgia" w:eastAsia="Georgia" w:hAnsi="Georgia"/>
          <w:rtl w:val="0"/>
        </w:rPr>
        <w:t xml:space="preserve">Das Zurückhalten der Entwicklung dieser Technologien wird nicht nur die Macht in die Hände der Unverantwortlichen und Bösartigen verlagern, es wird auch eine unverzeihliche Trägheit und Mittäterschaft angesichts von Entropie und Tod bedeuten. Eines Tages, nicht allzu weit in der Zukunft, werden die Menschen mit Entsetzen zurückblicken und sich fragen, warum Menschen sich in Massen versammelten, um gegen genetische Modifikation von Nutzpflanzen zu protestieren, aber niemals zugunsten der Beschleunigung der Anti-Aging-Forschung demonstrierten. Natürlich müssen wir vorsichtig sein, wie wir diese Technologien entwickeln. Aber wir müssen auch anerkennen, wie sie Krebs, Herzkrankheiten, Geburtsfehler, lähmende Unfälle, Parkinson, Schizophrenie, Depression, chronische Schmerzen, Altern und Tod angehen können, ganz zu schweigen von verschiedenen Umweltherausforderungen einschließlich Verschmutzung und Artensterben. </w:t>
        <w:br w:type="textWrapping"/>
      </w:r>
      <w:r w:rsidDel="00000000" w:rsidR="00000000" w:rsidRPr="00000000">
        <w:rPr>
          <w:rFonts w:ascii="Georgia" w:cs="Georgia" w:eastAsia="Georgia" w:hAnsi="Georgia"/>
          <w:b w:val="1"/>
          <w:rtl w:val="0"/>
        </w:rPr>
        <w:t xml:space="preserve">[6] Humanismus und Fortschritt</w:t>
        <w:br w:type="textWrapping"/>
      </w:r>
      <w:r w:rsidDel="00000000" w:rsidR="00000000" w:rsidRPr="00000000">
        <w:rPr>
          <w:rFonts w:ascii="Georgia" w:cs="Georgia" w:eastAsia="Georgia" w:hAnsi="Georgia"/>
          <w:rtl w:val="0"/>
        </w:rPr>
        <w:t xml:space="preserve">Humanismus und sein Erbe, der Transhumanismus, verkörpern ein Bekenntnis zum Fortschritt und zur Linderung menschlicher Übel und Leiden und zu unserer allgemeinen Verbesserung. Eine große Tugend dieser Lebensphilosophien ist, dass sie in eine Richtung drängen, die unserer natürlichen Abneigung gegen Veränderung entgegengesetzt ist. Fortschritt ist alles andere als automatisch. Er kommt nur, wenn wir Ressourcen aufwenden – wenn wir den Prozess mit Anstrengung, Weitsicht und Entschlossenheit füttern.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right="600"/>
        <w:rPr>
          <w:rFonts w:ascii="Georgia" w:cs="Georgia" w:eastAsia="Georgia" w:hAnsi="Georgia"/>
          <w:b w:val="1"/>
          <w:sz w:val="34"/>
          <w:szCs w:val="34"/>
        </w:rPr>
      </w:pPr>
      <w:bookmarkStart w:colFirst="0" w:colLast="0" w:name="_8jx3o4dgtqrz" w:id="0"/>
      <w:bookmarkEnd w:id="0"/>
      <w:r w:rsidDel="00000000" w:rsidR="00000000" w:rsidRPr="00000000">
        <w:rPr>
          <w:rFonts w:ascii="Georgia" w:cs="Georgia" w:eastAsia="Georgia" w:hAnsi="Georgia"/>
          <w:b w:val="1"/>
          <w:sz w:val="34"/>
          <w:szCs w:val="34"/>
          <w:rtl w:val="0"/>
        </w:rPr>
        <w:t xml:space="preserve">Zusammenfassung und Leitfragen</w:t>
      </w:r>
    </w:p>
    <w:p w:rsidR="00000000" w:rsidDel="00000000" w:rsidP="00000000" w:rsidRDefault="00000000" w:rsidRPr="00000000" w14:paraId="000000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Erstellt eine kurze Zusammenfassung von eurem Text für eure Mitschüler und Mitschülerinnen. Beantwortet dafür folgende Fragen:</w:t>
      </w:r>
    </w:p>
    <w:p w:rsidR="00000000" w:rsidDel="00000000" w:rsidP="00000000" w:rsidRDefault="00000000" w:rsidRPr="00000000" w14:paraId="00000005">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1. </w:t>
      </w:r>
      <w:r w:rsidDel="00000000" w:rsidR="00000000" w:rsidRPr="00000000">
        <w:rPr>
          <w:rFonts w:ascii="Georgia" w:cs="Georgia" w:eastAsia="Georgia" w:hAnsi="Georgia"/>
          <w:rtl w:val="0"/>
        </w:rPr>
        <w:t xml:space="preserve">More sagt: „Der Fortschritt sollte sich nicht der Angst beugen.” Was kritisiert er damit am Vorsorgeprinzip, und welche alternative Haltung fordert er ein?</w:t>
      </w:r>
    </w:p>
    <w:p w:rsidR="00000000" w:rsidDel="00000000" w:rsidP="00000000" w:rsidRDefault="00000000" w:rsidRPr="00000000" w14:paraId="00000006">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2. </w:t>
      </w:r>
      <w:r w:rsidDel="00000000" w:rsidR="00000000" w:rsidRPr="00000000">
        <w:rPr>
          <w:rFonts w:ascii="Georgia" w:cs="Georgia" w:eastAsia="Georgia" w:hAnsi="Georgia"/>
          <w:rtl w:val="0"/>
        </w:rPr>
        <w:t xml:space="preserve">„Die Beweislast liegt bei denjenigen, die Maßnahmen zur Einschränkung neuer Technologien vorschlagen.” Erklärt diese Umkehrung der Beweislast und ihre philosophische Bedeutung.</w:t>
      </w:r>
    </w:p>
    <w:p w:rsidR="00000000" w:rsidDel="00000000" w:rsidP="00000000" w:rsidRDefault="00000000" w:rsidRPr="00000000" w14:paraId="00000007">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3. </w:t>
      </w:r>
      <w:r w:rsidDel="00000000" w:rsidR="00000000" w:rsidRPr="00000000">
        <w:rPr>
          <w:rFonts w:ascii="Georgia" w:cs="Georgia" w:eastAsia="Georgia" w:hAnsi="Georgia"/>
          <w:rtl w:val="0"/>
        </w:rPr>
        <w:t xml:space="preserve">„Untätigkeit kann ebenso Schaden anrichten wie Handeln.” Was meint More damit? Überlegt euch ein konkretes Beispiel.</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4. </w:t>
      </w:r>
      <w:r w:rsidDel="00000000" w:rsidR="00000000" w:rsidRPr="00000000">
        <w:rPr>
          <w:rFonts w:ascii="Georgia" w:cs="Georgia" w:eastAsia="Georgia" w:hAnsi="Georgia"/>
          <w:rtl w:val="0"/>
        </w:rPr>
        <w:t xml:space="preserve">More kritisiert das Vorsorgeprinzip, weil es den „Status quo” bevorzugt. Gehlen sagt: Es gibt beim Menschen keinen natürlichen Status quo – er muss sich immer schon durch Technik gestalten. Inwiefern unterstützt Gehlens Anthropologie Mores Kritik?</w:t>
      </w:r>
    </w:p>
    <w:p w:rsidR="00000000" w:rsidDel="00000000" w:rsidP="00000000" w:rsidRDefault="00000000" w:rsidRPr="00000000" w14:paraId="00000009">
      <w:pPr>
        <w:rPr>
          <w:rFonts w:ascii="Georgia" w:cs="Georgia" w:eastAsia="Georgia" w:hAnsi="Georgia"/>
        </w:rPr>
      </w:pPr>
      <w:r w:rsidDel="00000000" w:rsidR="00000000" w:rsidRPr="00000000">
        <w:rPr>
          <w:rtl w:val="0"/>
        </w:rPr>
      </w:r>
    </w:p>
    <w:sectPr>
      <w:foot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sz w:val="16"/>
        <w:szCs w:val="16"/>
      </w:rPr>
    </w:pPr>
    <w:r w:rsidDel="00000000" w:rsidR="00000000" w:rsidRPr="00000000">
      <w:rPr>
        <w:rFonts w:ascii="Georgia" w:cs="Georgia" w:eastAsia="Georgia" w:hAnsi="Georgia"/>
        <w:sz w:val="16"/>
        <w:szCs w:val="16"/>
        <w:rtl w:val="0"/>
      </w:rPr>
      <w:t xml:space="preserve">More, Max (2009/2010). "The Proactionary Principle", publiziert auf</w:t>
    </w:r>
    <w:hyperlink r:id="rId1">
      <w:r w:rsidDel="00000000" w:rsidR="00000000" w:rsidRPr="00000000">
        <w:rPr>
          <w:rFonts w:ascii="Georgia" w:cs="Georgia" w:eastAsia="Georgia" w:hAnsi="Georgia"/>
          <w:sz w:val="16"/>
          <w:szCs w:val="16"/>
          <w:rtl w:val="0"/>
        </w:rPr>
        <w:t xml:space="preserve"> </w:t>
      </w:r>
    </w:hyperlink>
    <w:hyperlink r:id="rId2">
      <w:r w:rsidDel="00000000" w:rsidR="00000000" w:rsidRPr="00000000">
        <w:rPr>
          <w:rFonts w:ascii="Georgia" w:cs="Georgia" w:eastAsia="Georgia" w:hAnsi="Georgia"/>
          <w:color w:val="1155cc"/>
          <w:sz w:val="16"/>
          <w:szCs w:val="16"/>
          <w:u w:val="single"/>
          <w:rtl w:val="0"/>
        </w:rPr>
        <w:t xml:space="preserve">https://maxmore.substack.com/p/the-proactionary-principle</w:t>
      </w:r>
    </w:hyperlink>
    <w:r w:rsidDel="00000000" w:rsidR="00000000" w:rsidRPr="00000000">
      <w:rPr>
        <w:rFonts w:ascii="Georgia" w:cs="Georgia" w:eastAsia="Georgia" w:hAnsi="Georgia"/>
        <w:sz w:val="16"/>
        <w:szCs w:val="16"/>
        <w:rtl w:val="0"/>
      </w:rPr>
      <w:t xml:space="preserve"> (2023). Gekürzte Version in: More, M. &amp; Vita-More, N. (Eds.) (2013). </w:t>
    </w:r>
    <w:r w:rsidDel="00000000" w:rsidR="00000000" w:rsidRPr="00000000">
      <w:rPr>
        <w:rFonts w:ascii="Georgia" w:cs="Georgia" w:eastAsia="Georgia" w:hAnsi="Georgia"/>
        <w:i w:val="1"/>
        <w:sz w:val="16"/>
        <w:szCs w:val="16"/>
        <w:rtl w:val="0"/>
      </w:rPr>
      <w:t xml:space="preserve">The Transhumanist Reader</w:t>
    </w:r>
    <w:r w:rsidDel="00000000" w:rsidR="00000000" w:rsidRPr="00000000">
      <w:rPr>
        <w:rFonts w:ascii="Georgia" w:cs="Georgia" w:eastAsia="Georgia" w:hAnsi="Georgia"/>
        <w:sz w:val="16"/>
        <w:szCs w:val="16"/>
        <w:rtl w:val="0"/>
      </w:rPr>
      <w:t xml:space="preserve">. Wiley-Blackwell, S. 258-267.</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maxmore.substack.com/p/the-proactionary-principle" TargetMode="External"/><Relationship Id="rId2" Type="http://schemas.openxmlformats.org/officeDocument/2006/relationships/hyperlink" Target="https://maxmore.substack.com/p/the-proactionary-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