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de acceso aprobado.</w:t>
      </w:r>
    </w:p>
    <w:p>
      <w:r>
        <w:t>Revisión trimestral sin excepción.</w:t>
      </w:r>
    </w:p>
    <w:p>
      <w:del>
        <w:r>
          <w:t>Texto eliminado confidencial</w:t>
        </w:r>
      </w:del>
      <w:r>
        <w:t>Responsable: Ana.</w:t>
      </w:r>
    </w:p>
  </w:body>
</w:document>
</file>