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7A"/>
          <w:sz w:val="34"/>
          <w:szCs w:val="34"/>
        </w:rPr>
        <w:t xml:space="preserve">Vermont Drinking Water &amp; Fire District Boundaries</w:t>
      </w:r>
    </w:p>
    <w:p>
      <w:pPr>
        <w:spacing w:after="40"/>
      </w:pPr>
      <w:r>
        <w:rPr>
          <w:color w:val="444444"/>
          <w:sz w:val="26"/>
          <w:szCs w:val="26"/>
        </w:rPr>
        <w:t xml:space="preserve">Data Caveats &amp; Limitations for Review</w:t>
      </w:r>
    </w:p>
    <w:p>
      <w:pPr>
        <w:spacing w:after="60"/>
      </w:pPr>
      <w:r>
        <w:rPr>
          <w:color w:val="444444"/>
          <w:sz w:val="19"/>
          <w:szCs w:val="19"/>
        </w:rPr>
        <w:t xml:space="preserve">Prepared for the Vermont Bond Bank boundaries project  ·  </w:t>
      </w:r>
      <w:r>
        <w:rPr>
          <w:i/>
          <w:iCs/>
          <w:color w:val="444444"/>
          <w:sz w:val="19"/>
          <w:szCs w:val="19"/>
        </w:rPr>
        <w:t xml:space="preserve">VERSO / UVM</w:t>
      </w:r>
    </w:p>
    <w:p>
      <w:pPr>
        <w:spacing w:after="160"/>
      </w:pPr>
      <w:r>
        <w:rPr>
          <w:i/>
          <w:iCs/>
          <w:color w:val="444444"/>
          <w:sz w:val="19"/>
          <w:szCs w:val="19"/>
        </w:rPr>
        <w:t xml:space="preserve">Draft for review — August 2026</w:t>
      </w:r>
    </w:p>
    <w:p>
      <w:pPr>
        <w:pBdr>
          <w:bottom w:val="single" w:color="BBBBBB" w:sz="6"/>
        </w:pBdr>
        <w:spacing w:after="120" w:before="60"/>
      </w:pPr>
      <w:r>
        <w:t xml:space="preserve"/>
      </w:r>
    </w:p>
    <w:p>
      <w:pPr>
        <w:spacing w:after="120" w:line="276"/>
      </w:pPr>
      <w:r>
        <w:rPr>
          <w:sz w:val="21"/>
          <w:szCs w:val="21"/>
        </w:rPr>
        <w:t xml:space="preserve">This document consolidates every known limitation in the district-boundary dataset assembled to date. It is meant to travel with the data: anyone using the crosswalk, the service-area polygons, or the district inventory should read this first. The single most important point is stated up front and then explained.</w:t>
      </w:r>
    </w:p>
    <w:p>
      <w:pPr>
        <w:pBdr>
          <w:top w:val="single" w:color="E0A85C" w:sz="4"/>
          <w:bottom w:val="single" w:color="E0A85C" w:sz="4"/>
          <w:left w:val="single" w:color="E0A85C" w:sz="4"/>
          <w:right w:val="single" w:color="E0A85C" w:sz="4"/>
        </w:pBdr>
        <w:shd w:fill="FDF3E7" w:val="clear"/>
        <w:spacing w:after="120" w:before="120"/>
      </w:pPr>
      <w:r>
        <w:rPr>
          <w:b/>
          <w:bCs/>
          <w:sz w:val="22"/>
          <w:szCs w:val="22"/>
        </w:rPr>
        <w:t xml:space="preserve">Headline caveat: </w:t>
      </w:r>
      <w:r>
        <w:rPr>
          <w:sz w:val="22"/>
          <w:szCs w:val="22"/>
        </w:rPr>
        <w:t xml:space="preserve">The political boundaries the project set out to deliver — the corporate/taxing boundaries of Vermont's water and fire districts — do not exist as a statewide dataset anywhere. They were never centrally collected. Everything assembled so far is either a </w:t>
      </w:r>
      <w:r>
        <w:rPr>
          <w:i/>
          <w:iCs/>
          <w:sz w:val="22"/>
          <w:szCs w:val="22"/>
        </w:rPr>
        <w:t xml:space="preserve">service</w:t>
      </w:r>
      <w:r>
        <w:rPr>
          <w:sz w:val="22"/>
          <w:szCs w:val="22"/>
        </w:rPr>
        <w:t xml:space="preserve"> boundary (where water flows) or an </w:t>
      </w:r>
      <w:r>
        <w:rPr>
          <w:i/>
          <w:iCs/>
          <w:sz w:val="22"/>
          <w:szCs w:val="22"/>
        </w:rPr>
        <w:t xml:space="preserve">enumeration</w:t>
      </w:r>
      <w:r>
        <w:rPr>
          <w:sz w:val="22"/>
          <w:szCs w:val="22"/>
        </w:rPr>
        <w:t xml:space="preserve"> (which districts exist), which are useful proxies and inputs but are not the political boundaries themselves.</w:t>
      </w:r>
    </w:p>
    <w:p>
      <w:pPr>
        <w:pStyle w:val="Heading2"/>
        <w:spacing w:after="100" w:before="220"/>
      </w:pPr>
      <w:r>
        <w:rPr>
          <w:b/>
          <w:bCs/>
          <w:color w:val="444444"/>
          <w:sz w:val="24"/>
          <w:szCs w:val="24"/>
        </w:rPr>
        <w:t xml:space="preserve">At-a-glance: what each data layer is, and is not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100"/>
        <w:gridCol w:w="1740"/>
      </w:tblGrid>
      <w:tr>
        <w:trPr>
          <w:tblHeader/>
        </w:trPr>
        <w:tc>
          <w:tcPr>
            <w:tcW w:type="dxa" w:w="2600"/>
            <w:shd w:fill="1F5C7A" w:val="clear"/>
            <w:tcMar>
              <w:top w:type="dxa" w:w="60"/>
              <w:left w:type="dxa" w:w="90"/>
              <w:bottom w:type="dxa" w:w="60"/>
              <w:right w:type="dxa" w:w="90"/>
            </w:tcMar>
          </w:tcPr>
          <w:p>
            <w:r>
              <w:rPr>
                <w:b/>
                <w:bCs/>
                <w:color w:val="FFFFFF"/>
                <w:sz w:val="19"/>
                <w:szCs w:val="19"/>
              </w:rPr>
              <w:t xml:space="preserve">Source layer</w:t>
            </w:r>
          </w:p>
        </w:tc>
        <w:tc>
          <w:tcPr>
            <w:tcW w:type="dxa" w:w="3200"/>
            <w:shd w:fill="1F5C7A" w:val="clear"/>
            <w:tcMar>
              <w:top w:type="dxa" w:w="60"/>
              <w:left w:type="dxa" w:w="90"/>
              <w:bottom w:type="dxa" w:w="60"/>
              <w:right w:type="dxa" w:w="90"/>
            </w:tcMar>
          </w:tcPr>
          <w:p>
            <w:r>
              <w:rPr>
                <w:b/>
                <w:bCs/>
                <w:color w:val="FFFFFF"/>
                <w:sz w:val="19"/>
                <w:szCs w:val="19"/>
              </w:rPr>
              <w:t xml:space="preserve">What it is</w:t>
            </w:r>
          </w:p>
        </w:tc>
        <w:tc>
          <w:tcPr>
            <w:tcW w:type="dxa" w:w="2100"/>
            <w:shd w:fill="1F5C7A" w:val="clear"/>
            <w:tcMar>
              <w:top w:type="dxa" w:w="60"/>
              <w:left w:type="dxa" w:w="90"/>
              <w:bottom w:type="dxa" w:w="60"/>
              <w:right w:type="dxa" w:w="90"/>
            </w:tcMar>
          </w:tcPr>
          <w:p>
            <w:r>
              <w:rPr>
                <w:b/>
                <w:bCs/>
                <w:color w:val="FFFFFF"/>
                <w:sz w:val="19"/>
                <w:szCs w:val="19"/>
              </w:rPr>
              <w:t xml:space="preserve">Authoritative?</w:t>
            </w:r>
          </w:p>
        </w:tc>
        <w:tc>
          <w:tcPr>
            <w:tcW w:type="dxa" w:w="1740"/>
            <w:shd w:fill="1F5C7A" w:val="clear"/>
            <w:tcMar>
              <w:top w:type="dxa" w:w="60"/>
              <w:left w:type="dxa" w:w="90"/>
              <w:bottom w:type="dxa" w:w="60"/>
              <w:right w:type="dxa" w:w="90"/>
            </w:tcMar>
          </w:tcPr>
          <w:p>
            <w:r>
              <w:rPr>
                <w:b/>
                <w:bCs/>
                <w:color w:val="FFFFFF"/>
                <w:sz w:val="19"/>
                <w:szCs w:val="19"/>
              </w:rPr>
              <w:t xml:space="preserve">Ready to use?</w:t>
            </w:r>
          </w:p>
        </w:tc>
      </w:tr>
      <w:tr>
        <w:tc>
          <w:tcPr>
            <w:tcW w:type="dxa" w:w="2600"/>
            <w:tcMar>
              <w:top w:type="dxa" w:w="60"/>
              <w:left w:type="dxa" w:w="90"/>
              <w:bottom w:type="dxa" w:w="60"/>
              <w:right w:type="dxa" w:w="90"/>
            </w:tcMar>
          </w:tcPr>
          <w:p>
            <w:r>
              <w:rPr>
                <w:b w:val="false"/>
                <w:bCs w:val="false"/>
                <w:color w:val="222222"/>
                <w:sz w:val="19"/>
                <w:szCs w:val="19"/>
              </w:rPr>
              <w:t xml:space="preserve">EPA service-area polygons (392 VT systems)</w:t>
            </w:r>
          </w:p>
        </w:tc>
        <w:tc>
          <w:tcPr>
            <w:tcW w:type="dxa" w:w="3200"/>
            <w:tcMar>
              <w:top w:type="dxa" w:w="60"/>
              <w:left w:type="dxa" w:w="90"/>
              <w:bottom w:type="dxa" w:w="60"/>
              <w:right w:type="dxa" w:w="90"/>
            </w:tcMar>
          </w:tcPr>
          <w:p>
            <w:r>
              <w:rPr>
                <w:b w:val="false"/>
                <w:bCs w:val="false"/>
                <w:color w:val="222222"/>
                <w:sz w:val="19"/>
                <w:szCs w:val="19"/>
              </w:rPr>
              <w:t xml:space="preserve">Where each public water system delivers water, keyed on PWSID</w:t>
            </w:r>
          </w:p>
        </w:tc>
        <w:tc>
          <w:tcPr>
            <w:tcW w:type="dxa" w:w="2100"/>
            <w:tcMar>
              <w:top w:type="dxa" w:w="60"/>
              <w:left w:type="dxa" w:w="90"/>
              <w:bottom w:type="dxa" w:w="60"/>
              <w:right w:type="dxa" w:w="90"/>
            </w:tcMar>
          </w:tcPr>
          <w:p>
            <w:r>
              <w:rPr>
                <w:b w:val="false"/>
                <w:bCs w:val="false"/>
                <w:color w:val="222222"/>
                <w:sz w:val="19"/>
                <w:szCs w:val="19"/>
              </w:rPr>
              <w:t xml:space="preserve">~89% VT-sourced; ~11% EPA-modeled</w:t>
            </w:r>
          </w:p>
        </w:tc>
        <w:tc>
          <w:tcPr>
            <w:tcW w:type="dxa" w:w="1740"/>
            <w:tcMar>
              <w:top w:type="dxa" w:w="60"/>
              <w:left w:type="dxa" w:w="90"/>
              <w:bottom w:type="dxa" w:w="60"/>
              <w:right w:type="dxa" w:w="90"/>
            </w:tcMar>
          </w:tcPr>
          <w:p>
            <w:r>
              <w:rPr>
                <w:b w:val="false"/>
                <w:bCs w:val="false"/>
                <w:color w:val="222222"/>
                <w:sz w:val="19"/>
                <w:szCs w:val="19"/>
              </w:rPr>
              <w:t xml:space="preserve">As service areas, yes; as political boundaries, no</w:t>
            </w:r>
          </w:p>
        </w:tc>
      </w:tr>
      <w:tr>
        <w:tc>
          <w:tcPr>
            <w:tcW w:type="dxa" w:w="2600"/>
            <w:tcMar>
              <w:top w:type="dxa" w:w="60"/>
              <w:left w:type="dxa" w:w="90"/>
              <w:bottom w:type="dxa" w:w="60"/>
              <w:right w:type="dxa" w:w="90"/>
            </w:tcMar>
          </w:tcPr>
          <w:p>
            <w:r>
              <w:rPr>
                <w:b w:val="false"/>
                <w:bCs w:val="false"/>
                <w:color w:val="222222"/>
                <w:sz w:val="19"/>
                <w:szCs w:val="19"/>
              </w:rPr>
              <w:t xml:space="preserve">VRWA district roster (80 districts)</w:t>
            </w:r>
          </w:p>
        </w:tc>
        <w:tc>
          <w:tcPr>
            <w:tcW w:type="dxa" w:w="3200"/>
            <w:tcMar>
              <w:top w:type="dxa" w:w="60"/>
              <w:left w:type="dxa" w:w="90"/>
              <w:bottom w:type="dxa" w:w="60"/>
              <w:right w:type="dxa" w:w="90"/>
            </w:tcMar>
          </w:tcPr>
          <w:p>
            <w:r>
              <w:rPr>
                <w:b w:val="false"/>
                <w:bCs w:val="false"/>
                <w:color w:val="222222"/>
                <w:sz w:val="19"/>
                <w:szCs w:val="19"/>
              </w:rPr>
              <w:t xml:space="preserve">Named + town-tagged list of fire/water districts providing water</w:t>
            </w:r>
          </w:p>
        </w:tc>
        <w:tc>
          <w:tcPr>
            <w:tcW w:type="dxa" w:w="2100"/>
            <w:tcMar>
              <w:top w:type="dxa" w:w="60"/>
              <w:left w:type="dxa" w:w="90"/>
              <w:bottom w:type="dxa" w:w="60"/>
              <w:right w:type="dxa" w:w="90"/>
            </w:tcMar>
          </w:tcPr>
          <w:p>
            <w:r>
              <w:rPr>
                <w:b w:val="false"/>
                <w:bCs w:val="false"/>
                <w:color w:val="222222"/>
                <w:sz w:val="19"/>
                <w:szCs w:val="19"/>
              </w:rPr>
              <w:t xml:space="preserve">Best available; nonprofit compilation, not a legal registry</w:t>
            </w:r>
          </w:p>
        </w:tc>
        <w:tc>
          <w:tcPr>
            <w:tcW w:type="dxa" w:w="1740"/>
            <w:tcMar>
              <w:top w:type="dxa" w:w="60"/>
              <w:left w:type="dxa" w:w="90"/>
              <w:bottom w:type="dxa" w:w="60"/>
              <w:right w:type="dxa" w:w="90"/>
            </w:tcMar>
          </w:tcPr>
          <w:p>
            <w:r>
              <w:rPr>
                <w:b w:val="false"/>
                <w:bCs w:val="false"/>
                <w:color w:val="222222"/>
                <w:sz w:val="19"/>
                <w:szCs w:val="19"/>
              </w:rPr>
              <w:t xml:space="preserve">As an enumeration, yes</w:t>
            </w:r>
          </w:p>
        </w:tc>
      </w:tr>
      <w:tr>
        <w:tc>
          <w:tcPr>
            <w:tcW w:type="dxa" w:w="2600"/>
            <w:tcMar>
              <w:top w:type="dxa" w:w="60"/>
              <w:left w:type="dxa" w:w="90"/>
              <w:bottom w:type="dxa" w:w="60"/>
              <w:right w:type="dxa" w:w="90"/>
            </w:tcMar>
          </w:tcPr>
          <w:p>
            <w:r>
              <w:rPr>
                <w:b w:val="false"/>
                <w:bCs w:val="false"/>
                <w:color w:val="222222"/>
                <w:sz w:val="19"/>
                <w:szCs w:val="19"/>
              </w:rPr>
              <w:t xml:space="preserve">Title 24 Appendix charters (10 districts)</w:t>
            </w:r>
          </w:p>
        </w:tc>
        <w:tc>
          <w:tcPr>
            <w:tcW w:type="dxa" w:w="3200"/>
            <w:tcMar>
              <w:top w:type="dxa" w:w="60"/>
              <w:left w:type="dxa" w:w="90"/>
              <w:bottom w:type="dxa" w:w="60"/>
              <w:right w:type="dxa" w:w="90"/>
            </w:tcMar>
          </w:tcPr>
          <w:p>
            <w:r>
              <w:rPr>
                <w:b w:val="false"/>
                <w:bCs w:val="false"/>
                <w:color w:val="222222"/>
                <w:sz w:val="19"/>
                <w:szCs w:val="19"/>
              </w:rPr>
              <w:t xml:space="preserve">Legislatively chartered districts; boundary sections in statute</w:t>
            </w:r>
          </w:p>
        </w:tc>
        <w:tc>
          <w:tcPr>
            <w:tcW w:type="dxa" w:w="2100"/>
            <w:tcMar>
              <w:top w:type="dxa" w:w="60"/>
              <w:left w:type="dxa" w:w="90"/>
              <w:bottom w:type="dxa" w:w="60"/>
              <w:right w:type="dxa" w:w="90"/>
            </w:tcMar>
          </w:tcPr>
          <w:p>
            <w:r>
              <w:rPr>
                <w:b w:val="false"/>
                <w:bCs w:val="false"/>
                <w:color w:val="222222"/>
                <w:sz w:val="19"/>
                <w:szCs w:val="19"/>
              </w:rPr>
              <w:t xml:space="preserve">Legally authoritative for those 10 only</w:t>
            </w:r>
          </w:p>
        </w:tc>
        <w:tc>
          <w:tcPr>
            <w:tcW w:type="dxa" w:w="1740"/>
            <w:tcMar>
              <w:top w:type="dxa" w:w="60"/>
              <w:left w:type="dxa" w:w="90"/>
              <w:bottom w:type="dxa" w:w="60"/>
              <w:right w:type="dxa" w:w="90"/>
            </w:tcMar>
          </w:tcPr>
          <w:p>
            <w:r>
              <w:rPr>
                <w:b w:val="false"/>
                <w:bCs w:val="false"/>
                <w:color w:val="222222"/>
                <w:sz w:val="19"/>
                <w:szCs w:val="19"/>
              </w:rPr>
              <w:t xml:space="preserve">Mostly point to town land records, not geometry</w:t>
            </w:r>
          </w:p>
        </w:tc>
      </w:tr>
      <w:tr>
        <w:tc>
          <w:tcPr>
            <w:tcW w:type="dxa" w:w="2600"/>
            <w:tcMar>
              <w:top w:type="dxa" w:w="60"/>
              <w:left w:type="dxa" w:w="90"/>
              <w:bottom w:type="dxa" w:w="60"/>
              <w:right w:type="dxa" w:w="90"/>
            </w:tcMar>
          </w:tcPr>
          <w:p>
            <w:r>
              <w:rPr>
                <w:b w:val="false"/>
                <w:bCs w:val="false"/>
                <w:color w:val="222222"/>
                <w:sz w:val="19"/>
                <w:szCs w:val="19"/>
              </w:rPr>
              <w:t xml:space="preserve">Political district boundaries (all 80)</w:t>
            </w:r>
          </w:p>
        </w:tc>
        <w:tc>
          <w:tcPr>
            <w:tcW w:type="dxa" w:w="3200"/>
            <w:tcMar>
              <w:top w:type="dxa" w:w="60"/>
              <w:left w:type="dxa" w:w="90"/>
              <w:bottom w:type="dxa" w:w="60"/>
              <w:right w:type="dxa" w:w="90"/>
            </w:tcMar>
          </w:tcPr>
          <w:p>
            <w:r>
              <w:rPr>
                <w:b w:val="false"/>
                <w:bCs w:val="false"/>
                <w:color w:val="222222"/>
                <w:sz w:val="19"/>
                <w:szCs w:val="19"/>
              </w:rPr>
              <w:t xml:space="preserve">The taxing/corporate boundary the Bond Bank asked for</w:t>
            </w:r>
          </w:p>
        </w:tc>
        <w:tc>
          <w:tcPr>
            <w:tcW w:type="dxa" w:w="2100"/>
            <w:tcMar>
              <w:top w:type="dxa" w:w="60"/>
              <w:left w:type="dxa" w:w="90"/>
              <w:bottom w:type="dxa" w:w="60"/>
              <w:right w:type="dxa" w:w="90"/>
            </w:tcMar>
          </w:tcPr>
          <w:p>
            <w:r>
              <w:rPr>
                <w:b w:val="false"/>
                <w:bCs w:val="false"/>
                <w:color w:val="222222"/>
                <w:sz w:val="19"/>
                <w:szCs w:val="19"/>
              </w:rPr>
              <w:t xml:space="preserve">Does not exist as a statewide GIS layer</w:t>
            </w:r>
          </w:p>
        </w:tc>
        <w:tc>
          <w:tcPr>
            <w:tcW w:type="dxa" w:w="1740"/>
            <w:tcMar>
              <w:top w:type="dxa" w:w="60"/>
              <w:left w:type="dxa" w:w="90"/>
              <w:bottom w:type="dxa" w:w="60"/>
              <w:right w:type="dxa" w:w="90"/>
            </w:tcMar>
          </w:tcPr>
          <w:p>
            <w:r>
              <w:rPr>
                <w:b w:val="false"/>
                <w:bCs w:val="false"/>
                <w:color w:val="222222"/>
                <w:sz w:val="19"/>
                <w:szCs w:val="19"/>
              </w:rPr>
              <w:t xml:space="preserve">No — must be assembled district by district</w:t>
            </w:r>
          </w:p>
        </w:tc>
      </w:tr>
    </w:tbl>
    <w:p>
      <w:pPr>
        <w:spacing w:after="120" w:line="276"/>
      </w:pPr>
      <w:r>
        <w:rPr>
          <w:sz w:val="21"/>
          <w:szCs w:val="21"/>
        </w:rPr>
        <w:t xml:space="preserve"/>
      </w:r>
    </w:p>
    <w:p>
      <w:r>
        <w:br w:type="page"/>
      </w:r>
    </w:p>
    <w:p>
      <w:pPr>
        <w:pStyle w:val="Heading1"/>
        <w:spacing w:after="140" w:before="320"/>
      </w:pPr>
      <w:r>
        <w:rPr>
          <w:b/>
          <w:bCs/>
          <w:color w:val="1F5C7A"/>
          <w:sz w:val="28"/>
          <w:szCs w:val="28"/>
        </w:rPr>
        <w:t xml:space="preserve">Detailed caveats</w:t>
      </w:r>
    </w:p>
    <w:p>
      <w:pPr>
        <w:spacing w:after="120" w:line="276"/>
      </w:pPr>
      <w:r>
        <w:rPr>
          <w:b/>
          <w:bCs/>
          <w:sz w:val="21"/>
          <w:szCs w:val="21"/>
        </w:rPr>
        <w:t xml:space="preserve">Severity tags: </w:t>
      </w:r>
      <w:r>
        <w:rPr>
          <w:b/>
          <w:bCs/>
          <w:color w:val="FFFFFF"/>
          <w:sz w:val="18"/>
          <w:szCs w:val="18"/>
          <w:shd w:fill="B03A2E" w:val="clear"/>
        </w:rPr>
        <w:t xml:space="preserve">  CRITICAL  </w:t>
      </w:r>
      <w:r>
        <w:rPr>
          <w:sz w:val="21"/>
          <w:szCs w:val="21"/>
        </w:rPr>
        <w:t xml:space="preserve">  affects whether the deliverable is valid  ·  </w:t>
      </w:r>
      <w:r>
        <w:rPr>
          <w:b/>
          <w:bCs/>
          <w:color w:val="FFFFFF"/>
          <w:sz w:val="18"/>
          <w:szCs w:val="18"/>
          <w:shd w:fill="CA6F1E" w:val="clear"/>
        </w:rPr>
        <w:t xml:space="preserve">  MAJOR  </w:t>
      </w:r>
      <w:r>
        <w:rPr>
          <w:sz w:val="21"/>
          <w:szCs w:val="21"/>
        </w:rPr>
        <w:t xml:space="preserve">  affects accuracy of a subset  ·  </w:t>
      </w:r>
      <w:r>
        <w:rPr>
          <w:b/>
          <w:bCs/>
          <w:color w:val="FFFFFF"/>
          <w:sz w:val="18"/>
          <w:szCs w:val="18"/>
          <w:shd w:fill="7D6608" w:val="clear"/>
        </w:rPr>
        <w:t xml:space="preserve">  MINOR  </w:t>
      </w:r>
      <w:r>
        <w:rPr>
          <w:sz w:val="21"/>
          <w:szCs w:val="21"/>
        </w:rPr>
        <w:t xml:space="preserve">  worth noting, limited impact</w:t>
      </w:r>
    </w:p>
    <w:p>
      <w:pPr>
        <w:spacing w:after="80" w:before="200"/>
      </w:pPr>
      <w:r>
        <w:rPr>
          <w:b/>
          <w:bCs/>
          <w:color w:val="222222"/>
          <w:sz w:val="23"/>
          <w:szCs w:val="23"/>
        </w:rPr>
        <w:t xml:space="preserve">1. Service area ≠ political boundary</w:t>
      </w:r>
      <w:r>
        <w:t xml:space="preserve">   </w:t>
      </w:r>
      <w:r>
        <w:rPr>
          <w:b/>
          <w:bCs/>
          <w:color w:val="FFFFFF"/>
          <w:sz w:val="18"/>
          <w:szCs w:val="18"/>
          <w:shd w:fill="B03A2E" w:val="clear"/>
        </w:rPr>
        <w:t xml:space="preserve">  CRITICAL  </w:t>
      </w:r>
    </w:p>
    <w:p>
      <w:pPr>
        <w:spacing w:after="120" w:line="276"/>
      </w:pPr>
      <w:r>
        <w:rPr>
          <w:sz w:val="21"/>
          <w:szCs w:val="21"/>
        </w:rPr>
        <w:t xml:space="preserve">The EPA dataset is, by definition, service areas: the geographic extent where a public water system delivers water, keyed on PWSID. A district's political boundary is its legal/taxing extent, which can differ from where pipes actually run. For the Bond Bank's stated ask — political boundaries — the EPA polygons are a reference and a proxy, not the answer. They are treated as a defensible proxy only where a single district serves an entire town (see caveat 4).</w:t>
      </w:r>
    </w:p>
    <w:p>
      <w:pPr>
        <w:spacing w:after="80" w:before="200"/>
      </w:pPr>
      <w:r>
        <w:rPr>
          <w:b/>
          <w:bCs/>
          <w:color w:val="222222"/>
          <w:sz w:val="23"/>
          <w:szCs w:val="23"/>
        </w:rPr>
        <w:t xml:space="preserve">2. No authoritative statewide district registry exists</w:t>
      </w:r>
      <w:r>
        <w:t xml:space="preserve">   </w:t>
      </w:r>
      <w:r>
        <w:rPr>
          <w:b/>
          <w:bCs/>
          <w:color w:val="FFFFFF"/>
          <w:sz w:val="18"/>
          <w:szCs w:val="18"/>
          <w:shd w:fill="B03A2E" w:val="clear"/>
        </w:rPr>
        <w:t xml:space="preserve">  CRITICAL  </w:t>
      </w:r>
    </w:p>
    <w:p>
      <w:pPr>
        <w:spacing w:after="120" w:line="276"/>
      </w:pPr>
      <w:r>
        <w:rPr>
          <w:sz w:val="21"/>
          <w:szCs w:val="21"/>
        </w:rPr>
        <w:t xml:space="preserve">Vermont fire districts are not required to file articles of incorporation with the Secretary of State or any state agency. VLCT and VRWA have both said, in writing, that the true count is uncertain and had to be reconstructed from indirect sources (Fire Academy rolls, VLCT membership, DEC permits). There is no master list to validate against. The 80-district roster used here is the best available compilation, not a legal census.</w:t>
      </w:r>
    </w:p>
    <w:p>
      <w:pPr>
        <w:spacing w:after="80" w:before="200"/>
      </w:pPr>
      <w:r>
        <w:rPr>
          <w:b/>
          <w:bCs/>
          <w:color w:val="222222"/>
          <w:sz w:val="23"/>
          <w:szCs w:val="23"/>
        </w:rPr>
        <w:t xml:space="preserve">3. The district roster is a nonprofit compilation dated Sept 2025</w:t>
      </w:r>
      <w:r>
        <w:t xml:space="preserve">   </w:t>
      </w:r>
      <w:r>
        <w:rPr>
          <w:b/>
          <w:bCs/>
          <w:color w:val="FFFFFF"/>
          <w:sz w:val="18"/>
          <w:szCs w:val="18"/>
          <w:shd w:fill="CA6F1E" w:val="clear"/>
        </w:rPr>
        <w:t xml:space="preserve">  MAJOR  </w:t>
      </w:r>
    </w:p>
    <w:p>
      <w:pPr>
        <w:spacing w:after="120" w:line="276"/>
      </w:pPr>
      <w:r>
        <w:rPr>
          <w:sz w:val="21"/>
          <w:szCs w:val="21"/>
        </w:rPr>
        <w:t xml:space="preserve">The 80-district spine comes from the Vermont Rural Water Association's "Fire Districts and Special Use Districts" document (Sept 2025). It is the best enumeration in existence and is water-system-specific, but it is one nonprofit's working list. It may omit districts, may include districts that have since dissolved or merged, and its population figures are self-reported. State this provenance plainly rather than presenting the roster as authoritative.</w:t>
      </w:r>
    </w:p>
    <w:p>
      <w:pPr>
        <w:spacing w:after="80" w:before="200"/>
      </w:pPr>
      <w:r>
        <w:rPr>
          <w:b/>
          <w:bCs/>
          <w:color w:val="222222"/>
          <w:sz w:val="23"/>
          <w:szCs w:val="23"/>
        </w:rPr>
        <w:t xml:space="preserve">4. The service-area-as-proxy shortcut only holds for single-district towns</w:t>
      </w:r>
      <w:r>
        <w:t xml:space="preserve">   </w:t>
      </w:r>
      <w:r>
        <w:rPr>
          <w:b/>
          <w:bCs/>
          <w:color w:val="FFFFFF"/>
          <w:sz w:val="18"/>
          <w:szCs w:val="18"/>
          <w:shd w:fill="CA6F1E" w:val="clear"/>
        </w:rPr>
        <w:t xml:space="preserve">  MAJOR  </w:t>
      </w:r>
    </w:p>
    <w:p>
      <w:pPr>
        <w:spacing w:after="120" w:line="276"/>
      </w:pPr>
      <w:r>
        <w:rPr>
          <w:sz w:val="21"/>
          <w:szCs w:val="21"/>
        </w:rPr>
        <w:t xml:space="preserve">VRWA notes that roughly two-thirds to three-quarters of fire districts are the primary water provider for their town or village. Where one district serves a whole town, the service-area polygon is a reasonable stand-in for the political boundary (~46 of 80 districts). Where a town contains multiple districts (~34 districts across 15 towns — Rutland Town alone has 5), the service areas carve the town up and the political boundaries genuinely differ; the proxy is invalid there and those boundaries must be drawn from other sources.</w:t>
      </w:r>
    </w:p>
    <w:p>
      <w:pPr>
        <w:spacing w:after="80" w:before="200"/>
      </w:pPr>
      <w:r>
        <w:rPr>
          <w:b/>
          <w:bCs/>
          <w:color w:val="222222"/>
          <w:sz w:val="23"/>
          <w:szCs w:val="23"/>
        </w:rPr>
        <w:t xml:space="preserve">5. Name-based matching is unreliable and produced known errors</w:t>
      </w:r>
      <w:r>
        <w:t xml:space="preserve">   </w:t>
      </w:r>
      <w:r>
        <w:rPr>
          <w:b/>
          <w:bCs/>
          <w:color w:val="FFFFFF"/>
          <w:sz w:val="18"/>
          <w:szCs w:val="18"/>
          <w:shd w:fill="CA6F1E" w:val="clear"/>
        </w:rPr>
        <w:t xml:space="preserve">  MAJOR  </w:t>
      </w:r>
    </w:p>
    <w:p>
      <w:pPr>
        <w:spacing w:after="120" w:line="276"/>
      </w:pPr>
      <w:r>
        <w:rPr>
          <w:sz w:val="21"/>
          <w:szCs w:val="21"/>
        </w:rPr>
        <w:t xml:space="preserve">The first crosswalk matched each district to its closest-named EPA system. Because same-town districts have near-identical names ("Rutland Town Fire District 1/4/5/6/11"), and because of cross-town string collisions, at least four matches were visibly wrong (e.g. Sherburne Fire District → "Shelburne Farms"; North Branch → "Brandon"; Highgate → "Huntington"). Do not trust any match with a score below ~85, and do not read the "has_service_polygon: Y" flag as confirmation of a correct match. The spatial matcher was written to replace this; its output supersedes the name match.</w:t>
      </w:r>
    </w:p>
    <w:p>
      <w:pPr>
        <w:spacing w:after="80" w:before="200"/>
      </w:pPr>
      <w:r>
        <w:rPr>
          <w:b/>
          <w:bCs/>
          <w:color w:val="222222"/>
          <w:sz w:val="23"/>
          <w:szCs w:val="23"/>
        </w:rPr>
        <w:t xml:space="preserve">6. Even the 10 chartered districts don't yield digitizable geometry</w:t>
      </w:r>
      <w:r>
        <w:t xml:space="preserve">   </w:t>
      </w:r>
      <w:r>
        <w:rPr>
          <w:b/>
          <w:bCs/>
          <w:color w:val="FFFFFF"/>
          <w:sz w:val="18"/>
          <w:szCs w:val="18"/>
          <w:shd w:fill="CA6F1E" w:val="clear"/>
        </w:rPr>
        <w:t xml:space="preserve">  MAJOR  </w:t>
      </w:r>
    </w:p>
    <w:p>
      <w:pPr>
        <w:spacing w:after="120" w:line="276"/>
      </w:pPr>
      <w:r>
        <w:rPr>
          <w:sz w:val="21"/>
          <w:szCs w:val="21"/>
        </w:rPr>
        <w:t xml:space="preserve">The Title 24 Appendix charters were expected to carry authoritative boundary descriptions. In practice most charters' "Boundaries" sections point to a recorded plat in town land records rather than describing the boundary (e.g. Cold Brook: "as recorded in Book 111, page 184 … Town of Wilmington"). This is a citation to a document in a town clerk's office, not geometry. The handful that do carry a full survey description use 19th/20th-century metes-and-bounds prose that requires manual GIS reconstruction. "Chartered" means "boundary is findable in a named record," not "boundary in hand."</w:t>
      </w:r>
    </w:p>
    <w:p>
      <w:pPr>
        <w:spacing w:after="80" w:before="200"/>
      </w:pPr>
      <w:r>
        <w:rPr>
          <w:b/>
          <w:bCs/>
          <w:color w:val="222222"/>
          <w:sz w:val="23"/>
          <w:szCs w:val="23"/>
        </w:rPr>
        <w:t xml:space="preserve">7. About 11% of the EPA polygons are machine-modeled, not real</w:t>
      </w:r>
      <w:r>
        <w:t xml:space="preserve">   </w:t>
      </w:r>
      <w:r>
        <w:rPr>
          <w:b/>
          <w:bCs/>
          <w:color w:val="FFFFFF"/>
          <w:sz w:val="18"/>
          <w:szCs w:val="18"/>
          <w:shd w:fill="CA6F1E" w:val="clear"/>
        </w:rPr>
        <w:t xml:space="preserve">  MAJOR  </w:t>
      </w:r>
    </w:p>
    <w:p>
      <w:pPr>
        <w:spacing w:after="120" w:line="276"/>
      </w:pPr>
      <w:r>
        <w:rPr>
          <w:sz w:val="21"/>
          <w:szCs w:val="21"/>
        </w:rPr>
        <w:t xml:space="preserve">Of the 392 Vermont EPA polygons, ~44 are EPA-modeled (Random Forest / parcel / decision-tree estimates), not authoritative boundaries — mostly small systems and mobile-home parks the state didn't map. The dataset is tagged so these can be isolated (boundary_source = EPA-modeled). Vermont's authoritative share (~89%) is far better than the national average (~60%), but modeled polygons should not be handed over as real boundaries without that flag visible.</w:t>
      </w:r>
    </w:p>
    <w:p>
      <w:pPr>
        <w:spacing w:after="80" w:before="200"/>
      </w:pPr>
      <w:r>
        <w:rPr>
          <w:b/>
          <w:bCs/>
          <w:color w:val="222222"/>
          <w:sz w:val="23"/>
          <w:szCs w:val="23"/>
        </w:rPr>
        <w:t xml:space="preserve">8. "Water systems" is a larger, different set than "water districts"</w:t>
      </w:r>
      <w:r>
        <w:t xml:space="preserve">   </w:t>
      </w:r>
      <w:r>
        <w:rPr>
          <w:b/>
          <w:bCs/>
          <w:color w:val="FFFFFF"/>
          <w:sz w:val="18"/>
          <w:szCs w:val="18"/>
          <w:shd w:fill="7D6608" w:val="clear"/>
        </w:rPr>
        <w:t xml:space="preserve">  MINOR  </w:t>
      </w:r>
    </w:p>
    <w:p>
      <w:pPr>
        <w:spacing w:after="120" w:line="276"/>
      </w:pPr>
      <w:r>
        <w:rPr>
          <w:sz w:val="21"/>
          <w:szCs w:val="21"/>
        </w:rPr>
        <w:t xml:space="preserve">The 392 EPA polygons include schools, hotels, mobile-home parks, medical facilities and other single-purpose systems that are public water systems but not districts. The layers were split (all_public_water_systems / community_water_systems / community_authoritative) so the district-relevant subset can be used cleanly. Don't equate the 392 systems with 392 districts.</w:t>
      </w:r>
    </w:p>
    <w:p>
      <w:pPr>
        <w:spacing w:after="80" w:before="200"/>
      </w:pPr>
      <w:r>
        <w:rPr>
          <w:b/>
          <w:bCs/>
          <w:color w:val="222222"/>
          <w:sz w:val="23"/>
          <w:szCs w:val="23"/>
        </w:rPr>
        <w:t xml:space="preserve">9. One district can map to several systems, and vice versa</w:t>
      </w:r>
      <w:r>
        <w:t xml:space="preserve">   </w:t>
      </w:r>
      <w:r>
        <w:rPr>
          <w:b/>
          <w:bCs/>
          <w:color w:val="FFFFFF"/>
          <w:sz w:val="18"/>
          <w:szCs w:val="18"/>
          <w:shd w:fill="7D6608" w:val="clear"/>
        </w:rPr>
        <w:t xml:space="preserve">  MINOR  </w:t>
      </w:r>
    </w:p>
    <w:p>
      <w:pPr>
        <w:spacing w:after="120" w:line="276"/>
      </w:pPr>
      <w:r>
        <w:rPr>
          <w:sz w:val="21"/>
          <w:szCs w:val="21"/>
        </w:rPr>
        <w:t xml:space="preserve">A chartered district corporation may operate more than one public water system (several PWSIDs), and there is no shared key linking a Title 24 district to its PWSIDs. Any district-level rollup that assumes one district = one polygon will be wrong for the multi-system districts. This has to be reconciled by hand.</w:t>
      </w:r>
    </w:p>
    <w:p>
      <w:pPr>
        <w:spacing w:after="80" w:before="200"/>
      </w:pPr>
      <w:r>
        <w:rPr>
          <w:b/>
          <w:bCs/>
          <w:color w:val="222222"/>
          <w:sz w:val="23"/>
          <w:szCs w:val="23"/>
        </w:rPr>
        <w:t xml:space="preserve">10. Fire-district political boundaries are absent entirely</w:t>
      </w:r>
      <w:r>
        <w:t xml:space="preserve">   </w:t>
      </w:r>
      <w:r>
        <w:rPr>
          <w:b/>
          <w:bCs/>
          <w:color w:val="FFFFFF"/>
          <w:sz w:val="18"/>
          <w:szCs w:val="18"/>
          <w:shd w:fill="B03A2E" w:val="clear"/>
        </w:rPr>
        <w:t xml:space="preserve">  CRITICAL  </w:t>
      </w:r>
    </w:p>
    <w:p>
      <w:pPr>
        <w:spacing w:after="120" w:line="276"/>
      </w:pPr>
      <w:r>
        <w:rPr>
          <w:sz w:val="21"/>
          <w:szCs w:val="21"/>
        </w:rPr>
        <w:t xml:space="preserve">Nothing pulled from EPA, SDWIS, or DEC contains fire-district political boundaries — those systems are keyed on water service, not on the Title 20 district as a governmental entity. The three sample shapefiles provided at the project's start (Danville, Hardwick, Peacham) are examples of that boundary already digitized locally; the rest of the state is that same work, roughly 34 hard cases plus verification of the rest.</w:t>
      </w:r>
    </w:p>
    <w:p>
      <w:pPr>
        <w:spacing w:after="80" w:before="200"/>
      </w:pPr>
      <w:r>
        <w:rPr>
          <w:b/>
          <w:bCs/>
          <w:color w:val="222222"/>
          <w:sz w:val="23"/>
          <w:szCs w:val="23"/>
        </w:rPr>
        <w:t xml:space="preserve">11. The sample shapefiles were incomplete as delivered</w:t>
      </w:r>
      <w:r>
        <w:t xml:space="preserve">   </w:t>
      </w:r>
      <w:r>
        <w:rPr>
          <w:b/>
          <w:bCs/>
          <w:color w:val="FFFFFF"/>
          <w:sz w:val="18"/>
          <w:szCs w:val="18"/>
          <w:shd w:fill="7D6608" w:val="clear"/>
        </w:rPr>
        <w:t xml:space="preserve">  MINOR  </w:t>
      </w:r>
    </w:p>
    <w:p>
      <w:pPr>
        <w:spacing w:after="120" w:line="276"/>
      </w:pPr>
      <w:r>
        <w:rPr>
          <w:sz w:val="21"/>
          <w:szCs w:val="21"/>
        </w:rPr>
        <w:t xml:space="preserve">The initial Danville/Hardwick/Peacham shapefiles arrived as bare .shp files with no .dbf/.shx/.prj sidecars — meaning no attributes and no projection metadata (three different CRSs had to be inferred). If partners will keep sending boundaries, fix the intake spec now: require complete zipped shapefile sets or GeoPackage/GeoJSON, with attributes and a defined CRS.</w:t>
      </w:r>
    </w:p>
    <w:p>
      <w:pPr>
        <w:spacing w:after="80" w:before="200"/>
      </w:pPr>
      <w:r>
        <w:rPr>
          <w:b/>
          <w:bCs/>
          <w:color w:val="222222"/>
          <w:sz w:val="23"/>
          <w:szCs w:val="23"/>
        </w:rPr>
        <w:t xml:space="preserve">12. Geometry required repair; CRS was standardized</w:t>
      </w:r>
      <w:r>
        <w:t xml:space="preserve">   </w:t>
      </w:r>
      <w:r>
        <w:rPr>
          <w:b/>
          <w:bCs/>
          <w:color w:val="FFFFFF"/>
          <w:sz w:val="18"/>
          <w:szCs w:val="18"/>
          <w:shd w:fill="7D6608" w:val="clear"/>
        </w:rPr>
        <w:t xml:space="preserve">  MINOR  </w:t>
      </w:r>
    </w:p>
    <w:p>
      <w:pPr>
        <w:spacing w:after="120" w:line="276"/>
      </w:pPr>
      <w:r>
        <w:rPr>
          <w:sz w:val="21"/>
          <w:szCs w:val="21"/>
        </w:rPr>
        <w:t xml:space="preserve">Ten of the 392 EPA polygons had invalid (self-intersecting) geometry and were repaired with a zero-width buffer, which can very slightly alter vertices. All layers were reprojected to EPSG:32145 (Vermont State Plane meters). Anyone comparing against data in another projection must account for the reprojection.</w:t>
      </w:r>
    </w:p>
    <w:p>
      <w:pPr>
        <w:pBdr>
          <w:bottom w:val="single" w:color="BBBBBB" w:sz="6"/>
        </w:pBdr>
        <w:spacing w:after="120" w:before="60"/>
      </w:pPr>
      <w:r>
        <w:t xml:space="preserve"/>
      </w:r>
    </w:p>
    <w:p>
      <w:pPr>
        <w:pStyle w:val="Heading1"/>
        <w:spacing w:after="140" w:before="320"/>
      </w:pPr>
      <w:r>
        <w:rPr>
          <w:b/>
          <w:bCs/>
          <w:color w:val="1F5C7A"/>
          <w:sz w:val="28"/>
          <w:szCs w:val="28"/>
        </w:rPr>
        <w:t xml:space="preserve">What this means for the deliverable</w:t>
      </w:r>
    </w:p>
    <w:p>
      <w:pPr>
        <w:spacing w:after="120" w:line="276"/>
      </w:pPr>
      <w:r>
        <w:rPr>
          <w:sz w:val="21"/>
          <w:szCs w:val="21"/>
        </w:rPr>
        <w:t xml:space="preserve">Read together, the caveats point to a clear framing for the Bond Bank rather than a blocker:</w:t>
      </w:r>
    </w:p>
    <w:p>
      <w:pPr>
        <w:pStyle w:val="ListParagraph"/>
        <w:numPr>
          <w:ilvl w:val="0"/>
          <w:numId w:val="1"/>
        </w:numPr>
        <w:spacing w:after="80" w:line="270"/>
      </w:pPr>
      <w:r>
        <w:rPr>
          <w:sz w:val="21"/>
          <w:szCs w:val="21"/>
        </w:rPr>
        <w:t xml:space="preserve">The realistic first deliverable is a </w:t>
      </w:r>
      <w:r>
        <w:rPr>
          <w:b/>
          <w:bCs/>
          <w:sz w:val="21"/>
          <w:szCs w:val="21"/>
        </w:rPr>
        <w:t xml:space="preserve">coverage inventory</w:t>
      </w:r>
      <w:r>
        <w:rPr>
          <w:sz w:val="21"/>
          <w:szCs w:val="21"/>
        </w:rPr>
        <w:t xml:space="preserve">, not a finished boundary layer: for all 80 districts, what exists, what can be proxied, and what must be digitized.</w:t>
      </w:r>
    </w:p>
    <w:p>
      <w:pPr>
        <w:pStyle w:val="ListParagraph"/>
        <w:numPr>
          <w:ilvl w:val="0"/>
          <w:numId w:val="1"/>
        </w:numPr>
        <w:spacing w:after="80" w:line="270"/>
      </w:pPr>
      <w:r>
        <w:rPr>
          <w:b/>
          <w:bCs/>
          <w:sz w:val="21"/>
          <w:szCs w:val="21"/>
        </w:rPr>
        <w:t xml:space="preserve">~46 single-district towns</w:t>
      </w:r>
      <w:r>
        <w:rPr>
          <w:sz w:val="21"/>
          <w:szCs w:val="21"/>
        </w:rPr>
        <w:t xml:space="preserve"> can use the service-area polygon as a defensible political-boundary proxy today, with that assumption documented.</w:t>
      </w:r>
    </w:p>
    <w:p>
      <w:pPr>
        <w:pStyle w:val="ListParagraph"/>
        <w:numPr>
          <w:ilvl w:val="0"/>
          <w:numId w:val="1"/>
        </w:numPr>
        <w:spacing w:after="80" w:line="270"/>
      </w:pPr>
      <w:r>
        <w:rPr>
          <w:b/>
          <w:bCs/>
          <w:sz w:val="21"/>
          <w:szCs w:val="21"/>
        </w:rPr>
        <w:t xml:space="preserve">~34 multi-district cases</w:t>
      </w:r>
      <w:r>
        <w:rPr>
          <w:sz w:val="21"/>
          <w:szCs w:val="21"/>
        </w:rPr>
        <w:t xml:space="preserve"> are the genuine manual-GIS backlog — parcel data, town maps, and the charter-cited plats. This is well-scoped work suitable for ORCA students, with the crosswalk as their worklist.</w:t>
      </w:r>
    </w:p>
    <w:p>
      <w:pPr>
        <w:pStyle w:val="ListParagraph"/>
        <w:numPr>
          <w:ilvl w:val="0"/>
          <w:numId w:val="1"/>
        </w:numPr>
        <w:spacing w:after="80" w:line="270"/>
      </w:pPr>
      <w:r>
        <w:rPr>
          <w:b/>
          <w:bCs/>
          <w:sz w:val="21"/>
          <w:szCs w:val="21"/>
        </w:rPr>
        <w:t xml:space="preserve">The ~10 chartered districts</w:t>
      </w:r>
      <w:r>
        <w:rPr>
          <w:sz w:val="21"/>
          <w:szCs w:val="21"/>
        </w:rPr>
        <w:t xml:space="preserve"> come with a land-records pointer that tells a digitizer exactly which recorded plat to pull first.</w:t>
      </w:r>
    </w:p>
    <w:p>
      <w:pPr>
        <w:spacing w:after="120" w:line="276"/>
      </w:pPr>
      <w:r>
        <w:rPr>
          <w:i/>
          <w:iCs/>
          <w:sz w:val="21"/>
          <w:szCs w:val="21"/>
        </w:rPr>
        <w:t xml:space="preserve">Stating these limits up front is itself valuable to the Bond Bank: it converts an open-ended "map the districts" request into a priced, bounded scope with a defensible methodology.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Vermont District Boundaries — Data Caveats</dc:title>
  <dc:creator>VERSO / UVM</dc:creator>
  <cp:lastModifiedBy>Un-named</cp:lastModifiedBy>
  <cp:revision>1</cp:revision>
  <dcterms:created xsi:type="dcterms:W3CDTF">2026-08-14T13:58:53.015Z</dcterms:created>
  <dcterms:modified xsi:type="dcterms:W3CDTF">2026-08-14T13:58:53.027Z</dcterms:modified>
</cp:coreProperties>
</file>

<file path=docProps/custom.xml><?xml version="1.0" encoding="utf-8"?>
<Properties xmlns="http://schemas.openxmlformats.org/officeDocument/2006/custom-properties" xmlns:vt="http://schemas.openxmlformats.org/officeDocument/2006/docPropsVTypes"/>
</file>