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980245" cy="490123"/>
            <wp:effectExtent b="0" l="0" r="0" t="0"/>
            <wp:docPr descr="Risultato immagini per caa ufpe" id="6" name="image7.png"/>
            <a:graphic>
              <a:graphicData uri="http://schemas.openxmlformats.org/drawingml/2006/picture">
                <pic:pic>
                  <pic:nvPicPr>
                    <pic:cNvPr descr="Risultato immagini per caa ufpe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245" cy="49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3574" cy="503034"/>
            <wp:effectExtent b="0" l="0" r="0" t="0"/>
            <wp:docPr descr="Imagem relacionada" id="7" name="image8.png"/>
            <a:graphic>
              <a:graphicData uri="http://schemas.openxmlformats.org/drawingml/2006/picture">
                <pic:pic>
                  <pic:nvPicPr>
                    <pic:cNvPr descr="Imagem relacionada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574" cy="503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Universidade Federal de Pernambuco - Campus Agreste 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252"/>
          <w:tab w:val="right" w:pos="8504"/>
        </w:tabs>
        <w:spacing w:after="0" w:line="27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Núcleo de Tecnologia – Curso de Engenharia de Produção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252"/>
          <w:tab w:val="right" w:pos="8504"/>
        </w:tabs>
        <w:spacing w:after="0" w:line="276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Análise das Séries Temporais – Atividade 6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252"/>
          <w:tab w:val="right" w:pos="8504"/>
        </w:tabs>
        <w:spacing w:after="0" w:before="240" w:line="276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Alunos:    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Débora Nayanne da Silva e Vitor Ferreira Lins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252"/>
          <w:tab w:val="right" w:pos="8504"/>
        </w:tabs>
        <w:spacing w:after="200"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Professor: Thyago Nepomuceno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right="-285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Os gráficos abaixo apresentam a distribuição temporal de dois conjuntos de dados e </w:t>
      </w:r>
      <w:r w:rsidDel="00000000" w:rsidR="00000000" w:rsidRPr="00000000">
        <w:rPr>
          <w:rFonts w:ascii="Arial" w:cs="Arial" w:eastAsia="Arial" w:hAnsi="Arial"/>
          <w:rtl w:val="0"/>
        </w:rPr>
        <w:t xml:space="preserve">as suas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primeiras diferenças (para 1 e 2 </w:t>
      </w:r>
      <w:r w:rsidDel="00000000" w:rsidR="00000000" w:rsidRPr="00000000">
        <w:rPr>
          <w:rFonts w:ascii="Arial" w:cs="Arial" w:eastAsia="Arial" w:hAnsi="Arial"/>
          <w:i w:val="1"/>
          <w:color w:val="000000"/>
          <w:rtl w:val="0"/>
        </w:rPr>
        <w:t xml:space="preserve">lags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de diferenças).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right="-285" w:firstLine="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Quais destes conjuntos de dados </w:t>
      </w:r>
      <w:r w:rsidDel="00000000" w:rsidR="00000000" w:rsidRPr="00000000">
        <w:rPr>
          <w:rFonts w:ascii="Arial" w:cs="Arial" w:eastAsia="Arial" w:hAnsi="Arial"/>
          <w:rtl w:val="0"/>
        </w:rPr>
        <w:t xml:space="preserve">aparentam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visualmente atender aos três pressupostos (propriedades estatísticas) para a Estacionaridade? Justifique sua resposta por meio de cada um deles.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right="-285" w:firstLine="0"/>
        <w:jc w:val="both"/>
        <w:rPr>
          <w:rFonts w:ascii="Arial" w:cs="Arial" w:eastAsia="Arial" w:hAnsi="Arial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Utilize o teste </w:t>
      </w:r>
      <w:r w:rsidDel="00000000" w:rsidR="00000000" w:rsidRPr="00000000">
        <w:rPr>
          <w:rFonts w:ascii="Arial" w:cs="Arial" w:eastAsia="Arial" w:hAnsi="Arial"/>
          <w:rtl w:val="0"/>
        </w:rPr>
        <w:t xml:space="preserve">Augmented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Dickey-Fuller para testar a Estacionaridade de cada conjunto de dados, com e sem as primeiras diferenças. Para acesso aos dados utilize os comandos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view(EuStockMarkets)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 view(JohnsonJohnson).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O resultado dos testes condizem com sua interpretação visual? Justifique.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133.858267716535" w:hanging="283.46456692913335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Preços de encerramento diários do índice de ações Alemão (DAX)</w:t>
      </w:r>
      <w:r w:rsidDel="00000000" w:rsidR="00000000" w:rsidRPr="00000000">
        <w:pict>
          <v:shape id="_x0000_s1027" style="position:absolute;left:0;text-align:left;margin-left:141.6pt;margin-top:18.9pt;width:175.85pt;height:135.15pt;z-index:-251651072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cropbottom="2451f" r:id="rId1" o:title="Rplot2"/>
            <w10:wrap type="tight"/>
          </v:shape>
        </w:pict>
      </w:r>
      <w:r w:rsidDel="00000000" w:rsidR="00000000" w:rsidRPr="00000000">
        <w:pict>
          <v:shape id="_x0000_s1028" style="position:absolute;left:0;text-align:left;margin-left:313.2pt;margin-top:23.5pt;width:163.5pt;height:130.55pt;z-index:-251649024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r:id="rId2" o:title="Rplot3"/>
            <w10:wrap type="tight"/>
          </v:shape>
        </w:pict>
      </w:r>
      <w:r w:rsidDel="00000000" w:rsidR="00000000" w:rsidRPr="00000000">
        <w:pict>
          <v:shape id="_x0000_s1026" style="position:absolute;left:0;text-align:left;margin-left:-30.3pt;margin-top:19.0pt;width:168.15pt;height:134.25pt;z-index:-251653120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r:id="rId3" o:title="RplotStocks1"/>
            <w10:wrap type="tight"/>
          </v:shape>
        </w:pict>
      </w:r>
    </w:p>
    <w:p w:rsidR="00000000" w:rsidDel="00000000" w:rsidP="00000000" w:rsidRDefault="00000000" w:rsidRPr="00000000" w14:paraId="0000000C">
      <w:pPr>
        <w:spacing w:line="240" w:lineRule="auto"/>
        <w:ind w:left="867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   (a)  </w:t>
        <w:tab/>
        <w:t xml:space="preserve">                                         (b)                                                              (c)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133.858267716535" w:hanging="283.46456692913335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Lucro trimestral (em dólares) por ação da Johnson &amp; Johnson</w:t>
      </w:r>
      <w:r w:rsidDel="00000000" w:rsidR="00000000" w:rsidRPr="00000000">
        <w:pict>
          <v:shape id="_x0000_s1031" style="position:absolute;left:0;text-align:left;margin-left:313.2pt;margin-top:20.5pt;width:161pt;height:128.55pt;z-index:-251642880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r:id="rId4" o:title="Rplotj6"/>
            <w10:wrap type="tight"/>
          </v:shape>
        </w:pict>
      </w:r>
      <w:r w:rsidDel="00000000" w:rsidR="00000000" w:rsidRPr="00000000">
        <w:pict>
          <v:shape id="_x0000_s1029" style="position:absolute;left:0;text-align:left;margin-left:-35.55pt;margin-top:14.5pt;width:177.15pt;height:141.45pt;z-index:-251646976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r:id="rId5" o:title="Rplotj4"/>
            <w10:wrap type="tight"/>
          </v:shape>
        </w:pict>
      </w:r>
      <w:r w:rsidDel="00000000" w:rsidR="00000000" w:rsidRPr="00000000">
        <w:pict>
          <v:shape id="_x0000_s1030" style="position:absolute;left:0;text-align:left;margin-left:140.64992125984253pt;margin-top:13.5pt;width:177.5pt;height:141.75pt;z-index:-251644928;mso-position-horizontal:absolute;mso-position-horizontal-relative:margin;mso-position-vertical:absolute;mso-position-vertical-relative:text;mso-width-relative:page;mso-height-relative:page" wrapcoords="-38 0 -38 21552 21600 21552 21600 0 -38 0" type="#_x0000_t75">
            <v:imagedata r:id="rId6" o:title="Rplotj5"/>
            <w10:wrap type="tight"/>
          </v:shape>
        </w:pic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867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(d)  </w:t>
        <w:tab/>
        <w:t xml:space="preserve">                                         (f)                                                              (g)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right="-285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Utilize seu banco de dados para </w:t>
      </w:r>
      <w:r w:rsidDel="00000000" w:rsidR="00000000" w:rsidRPr="00000000">
        <w:rPr>
          <w:rFonts w:ascii="Arial" w:cs="Arial" w:eastAsia="Arial" w:hAnsi="Arial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testar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 a estacionaridade de suas ocorrências</w:t>
      </w:r>
      <w:r w:rsidDel="00000000" w:rsidR="00000000" w:rsidRPr="00000000">
        <w:rPr>
          <w:rFonts w:ascii="Arial" w:cs="Arial" w:eastAsia="Arial" w:hAnsi="Arial"/>
          <w:rtl w:val="0"/>
        </w:rPr>
        <w:t xml:space="preserve">. Utilize os resultados para os parâmetros autorregressivos de segunda ordem AR(2) para formalizar o polinômio do modelo autoregressivo e b)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calcular manualmente as raízes do polinômio</w:t>
      </w:r>
      <w:r w:rsidDel="00000000" w:rsidR="00000000" w:rsidRPr="00000000">
        <w:rPr>
          <w:rFonts w:ascii="Arial" w:cs="Arial" w:eastAsia="Arial" w:hAnsi="Arial"/>
          <w:rtl w:val="0"/>
        </w:rPr>
        <w:t xml:space="preserve">. c)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Identifique se o Princípio da Estacionaridade é atendido</w:t>
      </w:r>
      <w:r w:rsidDel="00000000" w:rsidR="00000000" w:rsidRPr="00000000">
        <w:rPr>
          <w:rFonts w:ascii="Arial" w:cs="Arial" w:eastAsia="Arial" w:hAnsi="Arial"/>
          <w:rtl w:val="0"/>
        </w:rPr>
        <w:t xml:space="preserve">. d) </w:t>
      </w: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Compare seus resultados com o teste Augmented Dickey-Fuller</w:t>
      </w: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right="-2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a)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Foram realizados testes para as propriedades da estacionaridade, a citar: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right="-285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Propriedade 1: Diz que a média deve ser constante ao longo do tempo. Para isto, foi observado o parâmetro de um modelo AR(1), pela sua interpretação,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</m:ctrlPr>
          </m:sSubPr>
          <m:e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ϕ</m:t>
            </m:r>
          </m:e>
          <m:sub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&lt;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representa séries em que seus valores variam em torno da média, ao mesmo passo que para que os dados sejam considerados estacionários será necessário que cumpram a condição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</m:ctrlPr>
          </m:sSubPr>
          <m:e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-1&lt;ϕ</m:t>
            </m:r>
          </m:e>
          <m:sub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&lt;1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sem que o inverso seja necessariamente considerado verdade. Portanto, para este teste será usada a condição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-1&lt; </m:t>
        </m:r>
        <m:sSub>
          <m:sSubPr>
            <m:ctrlP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</m:ctrlPr>
          </m:sSubPr>
          <m:e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ϕ</m:t>
            </m:r>
          </m:e>
          <m:sub>
            <m:r>
              <w:rPr>
                <w:rFonts w:ascii="Merriweather" w:cs="Merriweather" w:eastAsia="Merriweather" w:hAnsi="Merriweather"/>
                <w:color w:val="bba990"/>
                <w:sz w:val="38"/>
                <w:szCs w:val="38"/>
                <w:shd w:fill="232323" w:val="clear"/>
              </w:rPr>
              <m:t xml:space="preserve">1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&lt;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o que significa que valores positivos  e menores que -1 (menos um) neste teste mostram que os dados observados não respeitam a primeira propriedade.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right="-285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Propriedade 2: Diz que a variância deve ser constante ao longo do tempo, para isto foi utilizado um teste não-paramétrico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parametrizado.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cálculo utilizado para este teste foi calcular a variância na primeira e segunda metades das observações separadamente, em seguida, foram colocados os valores observados numa razão, sendo o mais próximo de zero colocado no numerador e o mais distante no denominador, portanto, considerando </w:t>
      </w:r>
      <m:oMath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0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Δ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σ</m:t>
        </m:r>
        <m:r>
          <w:rPr>
            <w:rFonts w:ascii="Times New Roman" w:cs="Times New Roman" w:eastAsia="Times New Roman" w:hAnsi="Times New Roman"/>
            <w:sz w:val="24"/>
            <w:szCs w:val="24"/>
          </w:rPr>
          <m:t>≤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1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quanto mais próximo de 1, melhor. Será adotado </w:t>
      </w:r>
      <m:oMath>
        <m:r>
          <m:t>Δ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va</m:t>
        </m:r>
        <m:sSub>
          <m:sSub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r</m:t>
            </m:r>
          </m:e>
          <m:sub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t</m:t>
            </m:r>
          </m:sub>
        </m:sSub>
        <m:r>
          <w:rPr>
            <w:rFonts w:ascii="Times New Roman" w:cs="Times New Roman" w:eastAsia="Times New Roman" w:hAnsi="Times New Roman"/>
            <w:sz w:val="24"/>
            <w:szCs w:val="24"/>
          </w:rPr>
          <m:t>≥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0,6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aceitar que esta propriedade está sendo respeitada.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right="-285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Propriedade 3: A autocorrelação deve ser constante para cada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lag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testar esta propriedade foi feito um teste não paramétrico semelhante ao usado anteriormente, mas primeiramente, foi selecionado o primeiro lag significante usando a função de autocorrelação parcial (PACF), e medida a covariância para a primeira e segunda metade dos dados, procedendo para o cálculo do indicador da mesma maneira que o utilizado no cálculo da Propriedade 2. Como o cálculo da covariância pode oferecer valores negativos, será utilizado o módulo do resultado para a avaliação. Será adotado </w:t>
      </w:r>
      <m:oMath>
        <m:d>
          <m:dPr>
            <m:begChr m:val="|"/>
            <m:endChr m:val="|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m:t>Δ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co</m:t>
            </m:r>
            <m:sSub>
              <m:sSubPr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v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t</m:t>
                </m:r>
              </m:sub>
            </m:sSub>
          </m:e>
        </m:d>
        <m:r>
          <w:rPr>
            <w:rFonts w:ascii="Times New Roman" w:cs="Times New Roman" w:eastAsia="Times New Roman" w:hAnsi="Times New Roman"/>
            <w:sz w:val="24"/>
            <w:szCs w:val="24"/>
          </w:rPr>
          <m:t>≥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0,6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aceitar que esta propriedade está sendo respeitada.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0" w:right="-2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 coluna “Conclusão” mostra quantas das propriedades os dados observados conseguiram se ajustar, sendo que nenhum dos dados conseguiu se ajustar a pelo menos duas das propriedades de estacionaridade, dados os requisitos propostos.</w:t>
      </w:r>
    </w:p>
    <w:sdt>
      <w:sdtPr>
        <w:lock w:val="contentLocked"/>
        <w:tag w:val="goog_rdk_35"/>
      </w:sdtPr>
      <w:sdtContent>
        <w:tbl>
          <w:tblPr>
            <w:tblStyle w:val="Table1"/>
            <w:tblW w:w="600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00"/>
            <w:gridCol w:w="1200"/>
            <w:gridCol w:w="1200"/>
            <w:gridCol w:w="1200"/>
            <w:gridCol w:w="1200"/>
            <w:tblGridChange w:id="0">
              <w:tblGrid>
                <w:gridCol w:w="1200"/>
                <w:gridCol w:w="1200"/>
                <w:gridCol w:w="1200"/>
                <w:gridCol w:w="1200"/>
                <w:gridCol w:w="1200"/>
              </w:tblGrid>
            </w:tblGridChange>
          </w:tblGrid>
          <w:tr>
            <w:trPr>
              <w:trHeight w:val="315" w:hRule="atLeast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Gráficos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Prop. 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Prop. 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Prop. 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Conclusão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0,9999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0,045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-0,151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b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0,0008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0,175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0,172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c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-0,4931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0,170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0,166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1/3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0,9512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0,039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-0,006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f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-0,6170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0,017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0,014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1/3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g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-0,7684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0,014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0,013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1/3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right="-28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b)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Resultado do teste Augmented Dickey-Fuller (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α=0,1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sdt>
      <w:sdtPr>
        <w:lock w:val="contentLocked"/>
        <w:tag w:val="goog_rdk_64"/>
      </w:sdtPr>
      <w:sdtContent>
        <w:tbl>
          <w:tblPr>
            <w:tblStyle w:val="Table2"/>
            <w:tblW w:w="600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00"/>
            <w:gridCol w:w="1809.0000000000005"/>
            <w:gridCol w:w="1190.9999999999995"/>
            <w:gridCol w:w="1800"/>
            <w:tblGridChange w:id="0">
              <w:tblGrid>
                <w:gridCol w:w="1200"/>
                <w:gridCol w:w="1809.0000000000005"/>
                <w:gridCol w:w="1190.9999999999995"/>
                <w:gridCol w:w="1800"/>
              </w:tblGrid>
            </w:tblGridChange>
          </w:tblGrid>
          <w:tr>
            <w:trPr>
              <w:trHeight w:val="315" w:hRule="atLeast"/>
            </w:trPr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Gráficos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Estatística do teste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P valor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Resultado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-0,821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0,9598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b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-10,000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&lt; 0,01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c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-21,799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&lt; 0.01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d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1,932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&gt; 0.99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f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-3,989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0,0142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g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-7,707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0.01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56">
      <w:pPr>
        <w:spacing w:after="0" w:before="200" w:line="360" w:lineRule="auto"/>
        <w:ind w:right="-28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Resultado do teste Augmented Dickey-Fuller, AR(2) (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α=0,1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):</w:t>
      </w:r>
    </w:p>
    <w:sdt>
      <w:sdtPr>
        <w:lock w:val="contentLocked"/>
        <w:tag w:val="goog_rdk_97"/>
      </w:sdtPr>
      <w:sdtContent>
        <w:tbl>
          <w:tblPr>
            <w:tblStyle w:val="Table3"/>
            <w:tblW w:w="600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200"/>
            <w:gridCol w:w="1800"/>
            <w:gridCol w:w="1200"/>
            <w:gridCol w:w="1800"/>
            <w:tblGridChange w:id="0">
              <w:tblGrid>
                <w:gridCol w:w="1200"/>
                <w:gridCol w:w="1800"/>
                <w:gridCol w:w="1200"/>
                <w:gridCol w:w="1800"/>
              </w:tblGrid>
            </w:tblGridChange>
          </w:tblGrid>
          <w:tr>
            <w:trPr>
              <w:trHeight w:val="315" w:hRule="atLeast"/>
            </w:trPr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Variável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Estatística do teste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P valor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bdbdbd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b w:val="1"/>
                        <w:sz w:val="20"/>
                        <w:szCs w:val="20"/>
                        <w:rtl w:val="0"/>
                      </w:rPr>
                      <w:t xml:space="preserve">Resultado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vale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-0,191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&gt; 0,99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dolar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-2,363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0,4258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cobreUS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-1,740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0,6846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69.4775390625" w:hRule="atLeast"/>
            </w:trPr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ferroUS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-0,268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&gt; 0,99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exportBR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-3,697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0,0275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importBR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-2,209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0,4897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3f3f3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Não 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trHeight w:val="315" w:hRule="atLeast"/>
            </w:trPr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usoPMetal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-3,347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0,0668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000000" w:space="0" w:sz="0" w:val="nil"/>
                      <w:left w:color="000000" w:space="0" w:sz="0" w:val="nil"/>
                      <w:bottom w:color="000000" w:space="0" w:sz="0" w:val="nil"/>
                      <w:right w:color="000000" w:space="0" w:sz="0" w:val="nil"/>
                    </w:tcBorders>
                    <w:shd w:fill="ffffff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sz w:val="20"/>
                        <w:szCs w:val="20"/>
                        <w:rtl w:val="0"/>
                      </w:rPr>
                      <w:t xml:space="preserve">Estacionário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dados utilizados aqui são mencionados e descritos na primeira atividade da disciplina. O período selecionado foi de outubro de 2016 até dezembro de 2020.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b)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Cálculo manual das raízes do polinômio: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82675" cy="2781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487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6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ind w:right="-28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c)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Os dois casos são não estacionários por uma das raízes ser igual a zero.</w:t>
      </w:r>
    </w:p>
    <w:p w:rsidR="00000000" w:rsidDel="00000000" w:rsidP="00000000" w:rsidRDefault="00000000" w:rsidRPr="00000000" w14:paraId="0000007B">
      <w:pPr>
        <w:spacing w:after="0" w:line="360" w:lineRule="auto"/>
        <w:ind w:right="-28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Os testes Augmented Dickey-Fuller coincidem com o resultado das raízes obtidas no cálculo manual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ambria Math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en-U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emEspaamento">
    <w:name w:val="No Spacing"/>
    <w:uiPriority w:val="1"/>
    <w:qFormat w:val="1"/>
    <w:rsid w:val="00193970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 w:val="1"/>
    <w:rsid w:val="00193970"/>
    <w:pPr>
      <w:tabs>
        <w:tab w:val="center" w:pos="4252"/>
        <w:tab w:val="right" w:pos="8504"/>
      </w:tabs>
      <w:spacing w:after="0" w:line="240" w:lineRule="auto"/>
    </w:pPr>
    <w:rPr>
      <w:lang w:val="pt-BR"/>
    </w:rPr>
  </w:style>
  <w:style w:type="character" w:styleId="CabealhoChar" w:customStyle="1">
    <w:name w:val="Cabeçalho Char"/>
    <w:basedOn w:val="Fontepargpadro"/>
    <w:link w:val="Cabealho"/>
    <w:uiPriority w:val="99"/>
    <w:rsid w:val="00193970"/>
  </w:style>
  <w:style w:type="paragraph" w:styleId="PargrafodaLista">
    <w:name w:val="List Paragraph"/>
    <w:basedOn w:val="Normal"/>
    <w:uiPriority w:val="34"/>
    <w:qFormat w:val="1"/>
    <w:rsid w:val="00193970"/>
    <w:pPr>
      <w:ind w:left="720"/>
      <w:contextualSpacing w:val="1"/>
    </w:pPr>
  </w:style>
  <w:style w:type="paragraph" w:styleId="Pr-formataoHTML">
    <w:name w:val="HTML Preformatted"/>
    <w:basedOn w:val="Normal"/>
    <w:link w:val="Pr-formataoHTMLChar"/>
    <w:uiPriority w:val="99"/>
    <w:semiHidden w:val="1"/>
    <w:unhideWhenUsed w:val="1"/>
    <w:rsid w:val="004134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Pr-formataoHTMLChar" w:customStyle="1">
    <w:name w:val="Pré-formatação HTML Char"/>
    <w:basedOn w:val="Fontepargpadro"/>
    <w:link w:val="Pr-formataoHTML"/>
    <w:uiPriority w:val="99"/>
    <w:semiHidden w:val="1"/>
    <w:rsid w:val="00413413"/>
    <w:rPr>
      <w:rFonts w:ascii="Courier New" w:cs="Courier New" w:eastAsia="Times New Roman" w:hAnsi="Courier New"/>
      <w:sz w:val="20"/>
      <w:szCs w:val="20"/>
      <w:lang w:val="en-US"/>
    </w:rPr>
  </w:style>
  <w:style w:type="character" w:styleId="gd15mcfcktb" w:customStyle="1">
    <w:name w:val="gd15mcfcktb"/>
    <w:basedOn w:val="Fontepargpadro"/>
    <w:rsid w:val="00413413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TextodoEspaoReservado">
    <w:name w:val="Placeholder Text"/>
    <w:basedOn w:val="Fontepargpadro"/>
    <w:uiPriority w:val="99"/>
    <w:semiHidden w:val="1"/>
    <w:rsid w:val="003D4B33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customXml" Target="../customXML/item1.xml"/><Relationship Id="rId1" Type="http://schemas.openxmlformats.org/officeDocument/2006/relationships/image" Target="media/image1.jpg"/><Relationship Id="rId2" Type="http://schemas.openxmlformats.org/officeDocument/2006/relationships/image" Target="media/image3.jpg"/><Relationship Id="rId3" Type="http://schemas.openxmlformats.org/officeDocument/2006/relationships/image" Target="media/image2.jpg"/><Relationship Id="rId4" Type="http://schemas.openxmlformats.org/officeDocument/2006/relationships/image" Target="media/image5.jpg"/><Relationship Id="rId9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image" Target="media/image4.jpg"/><Relationship Id="rId6" Type="http://schemas.openxmlformats.org/officeDocument/2006/relationships/image" Target="media/image6.jpg"/><Relationship Id="rId7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ambriaMath-regular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xjqP7E1sDaNXF8jj2bbb5dtZUw==">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2020-08-28T14:31:00Z</dcterms:created>
  <dc:creator>Thyago C Nepomuceno</dc:creator>
</cp:coreProperties>
</file>