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Universidade Federal de Pernambuco - Campus Agreste </w:t>
      </w:r>
      <w:r w:rsidDel="00000000" w:rsidR="00000000" w:rsidRPr="00000000">
        <w:drawing>
          <wp:anchor allowOverlap="1" behindDoc="0" distB="0" distT="0" distL="0" distR="0" hidden="0" layoutInCell="1" locked="0" relativeHeight="0" simplePos="0">
            <wp:simplePos x="0" y="0"/>
            <wp:positionH relativeFrom="column">
              <wp:posOffset>2480945</wp:posOffset>
            </wp:positionH>
            <wp:positionV relativeFrom="paragraph">
              <wp:posOffset>-697864</wp:posOffset>
            </wp:positionV>
            <wp:extent cx="1066800" cy="564776"/>
            <wp:effectExtent b="0" l="0" r="0" t="0"/>
            <wp:wrapSquare wrapText="bothSides" distB="0" distT="0" distL="0" distR="0"/>
            <wp:docPr descr="Risultato immagini per caa ufpe" id="3" name="image1.png"/>
            <a:graphic>
              <a:graphicData uri="http://schemas.openxmlformats.org/drawingml/2006/picture">
                <pic:pic>
                  <pic:nvPicPr>
                    <pic:cNvPr descr="Risultato immagini per caa ufpe" id="0" name="image1.png"/>
                    <pic:cNvPicPr preferRelativeResize="0"/>
                  </pic:nvPicPr>
                  <pic:blipFill>
                    <a:blip r:embed="rId6"/>
                    <a:srcRect b="0" l="0" r="0" t="0"/>
                    <a:stretch>
                      <a:fillRect/>
                    </a:stretch>
                  </pic:blipFill>
                  <pic:spPr>
                    <a:xfrm>
                      <a:off x="0" y="0"/>
                      <a:ext cx="1066800" cy="56477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1882140</wp:posOffset>
            </wp:positionH>
            <wp:positionV relativeFrom="paragraph">
              <wp:posOffset>-695324</wp:posOffset>
            </wp:positionV>
            <wp:extent cx="517795" cy="695325"/>
            <wp:effectExtent b="0" l="0" r="0" t="0"/>
            <wp:wrapNone/>
            <wp:docPr descr="Imagem relacionada" id="1" name="image2.png"/>
            <a:graphic>
              <a:graphicData uri="http://schemas.openxmlformats.org/drawingml/2006/picture">
                <pic:pic>
                  <pic:nvPicPr>
                    <pic:cNvPr descr="Imagem relacionada" id="0" name="image2.png"/>
                    <pic:cNvPicPr preferRelativeResize="0"/>
                  </pic:nvPicPr>
                  <pic:blipFill>
                    <a:blip r:embed="rId7"/>
                    <a:srcRect b="0" l="0" r="0" t="0"/>
                    <a:stretch>
                      <a:fillRect/>
                    </a:stretch>
                  </pic:blipFill>
                  <pic:spPr>
                    <a:xfrm>
                      <a:off x="0" y="0"/>
                      <a:ext cx="517795" cy="695325"/>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Núcleo de Tecnologia – Curso de Engenharia de Produção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Análise das Séries Temporais – Atividade 7</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Alunos: </w:t>
      </w:r>
      <w:r w:rsidDel="00000000" w:rsidR="00000000" w:rsidRPr="00000000">
        <w:rPr>
          <w:b w:val="1"/>
          <w:sz w:val="24"/>
          <w:szCs w:val="24"/>
          <w:rtl w:val="0"/>
        </w:rPr>
        <w:t xml:space="preserve">Débora Nayanne da Silva e Vitor Ferreira Lins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Professor: Thyago Nepomuceno</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85"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285" w:hanging="426"/>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seu banco de dados para testar a invertibilidade de suas ocorrências. Utilize os resultados para os parâmetros de médias móveis de segunda ordem MA(2) para formalizar o polinômio do modelo e identificar pelas regras de invertibilidade se os coeficientes teta se adequam. Compare seus resultados com o teste de raízes unitárias e apresente visualizações de simulações feitas com esses parâmetros.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285" w:firstLine="0"/>
        <w:jc w:val="both"/>
        <w:rPr/>
      </w:pPr>
      <w:bookmarkStart w:colFirst="0" w:colLast="0" w:name="_dn5oekr6yghb" w:id="1"/>
      <w:bookmarkEnd w:id="1"/>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utilizados aqui 6 conjuntos de dados diferentes, são eles: ferroUs (preço do ferro nos Estados Unidos), cobreUS (preço do cobre nos Estados Unidos),  vale (fechamento mensal do preço das ações da Vale do Rio Doce), dolar (preço do dolar), exportBR (valor das exportações brasileiras), importBR (valor das importações brasileiras). O período é de outubro de 2016 até outubro de 2020.</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testes de invertibilidade (teste de raízes unitárias) assumindo MA(2), apenas exportBR e importBR testaram positivo, portanto, os seus conjuntos de dados são invertíveis. O polinômio e o teste das regras estão expressos na Tabela 1.</w:t>
      </w:r>
    </w:p>
    <w:p w:rsidR="00000000" w:rsidDel="00000000" w:rsidP="00000000" w:rsidRDefault="00000000" w:rsidRPr="00000000" w14:paraId="000000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1.</w:t>
      </w:r>
    </w:p>
    <w:tbl>
      <w:tblPr>
        <w:tblStyle w:val="Table1"/>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2145"/>
        <w:gridCol w:w="1125"/>
        <w:gridCol w:w="2205"/>
        <w:gridCol w:w="1065"/>
        <w:tblGridChange w:id="0">
          <w:tblGrid>
            <w:gridCol w:w="1950"/>
            <w:gridCol w:w="2145"/>
            <w:gridCol w:w="1125"/>
            <w:gridCol w:w="2205"/>
            <w:gridCol w:w="1065"/>
          </w:tblGrid>
        </w:tblGridChange>
      </w:tblGrid>
      <w:tr>
        <w:trPr>
          <w:cantSplit w:val="0"/>
          <w:trHeight w:val="345" w:hRule="atLeast"/>
          <w:tblHeader w:val="0"/>
        </w:trPr>
        <w:tc>
          <w:tcPr>
            <w:vMerge w:val="restart"/>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0F">
            <w:pPr>
              <w:pageBreakBefore w:val="0"/>
              <w:widowControl w:val="0"/>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restrições de invertibilidade para um modelo MA(2)</w:t>
            </w:r>
          </w:p>
        </w:tc>
        <w:tc>
          <w:tcPr>
            <w:gridSpan w:val="2"/>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0">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exportBR</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2">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import BR</w:t>
            </w:r>
            <w:r w:rsidDel="00000000" w:rsidR="00000000" w:rsidRPr="00000000">
              <w:rPr>
                <w:rtl w:val="0"/>
              </w:rPr>
            </w:r>
          </w:p>
        </w:tc>
      </w:tr>
      <w:tr>
        <w:trPr>
          <w:cantSplit w:val="0"/>
          <w:trHeight w:val="31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5">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c+ɛ</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+ 0,4848.ɛ</w:t>
            </w:r>
            <w:r w:rsidDel="00000000" w:rsidR="00000000" w:rsidRPr="00000000">
              <w:rPr>
                <w:rFonts w:ascii="Gungsuh" w:cs="Gungsuh" w:eastAsia="Gungsuh" w:hAnsi="Gungsuh"/>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+0,3012.ɛ</w:t>
            </w:r>
            <w:r w:rsidDel="00000000" w:rsidR="00000000" w:rsidRPr="00000000">
              <w:rPr>
                <w:rFonts w:ascii="Gungsuh" w:cs="Gungsuh" w:eastAsia="Gungsuh" w:hAnsi="Gungsuh"/>
                <w:sz w:val="24"/>
                <w:szCs w:val="24"/>
                <w:vertAlign w:val="subscript"/>
                <w:rtl w:val="0"/>
              </w:rPr>
              <w:t xml:space="preserve">t−2</w:t>
            </w: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7">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c+ɛ</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+0,6824.ɛ</w:t>
            </w:r>
            <w:r w:rsidDel="00000000" w:rsidR="00000000" w:rsidRPr="00000000">
              <w:rPr>
                <w:rFonts w:ascii="Gungsuh" w:cs="Gungsuh" w:eastAsia="Gungsuh" w:hAnsi="Gungsuh"/>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+ 0,3138.ɛ</w:t>
            </w:r>
            <w:r w:rsidDel="00000000" w:rsidR="00000000" w:rsidRPr="00000000">
              <w:rPr>
                <w:rFonts w:ascii="Gungsuh" w:cs="Gungsuh" w:eastAsia="Gungsuh" w:hAnsi="Gungsuh"/>
                <w:sz w:val="24"/>
                <w:szCs w:val="24"/>
                <w:vertAlign w:val="subscript"/>
                <w:rtl w:val="0"/>
              </w:rPr>
              <w:t xml:space="preserve">t−2</w:t>
            </w:r>
            <w:r w:rsidDel="00000000" w:rsidR="00000000" w:rsidRPr="00000000">
              <w:rPr>
                <w:rtl w:val="0"/>
              </w:rPr>
            </w:r>
          </w:p>
        </w:tc>
      </w:tr>
      <w:tr>
        <w:trPr>
          <w:cantSplit w:val="0"/>
          <w:trHeight w:val="345" w:hRule="atLeast"/>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A">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testando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B">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resultado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C">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testando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cccc" w:val="clear"/>
            <w:tcMar>
              <w:top w:w="40.0" w:type="dxa"/>
              <w:left w:w="40.0" w:type="dxa"/>
              <w:bottom w:w="40.0" w:type="dxa"/>
              <w:right w:w="40.0" w:type="dxa"/>
            </w:tcMar>
            <w:vAlign w:val="center"/>
          </w:tcPr>
          <w:p w:rsidR="00000000" w:rsidDel="00000000" w:rsidP="00000000" w:rsidRDefault="00000000" w:rsidRPr="00000000" w14:paraId="0000001D">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resultado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E">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Gungsuh" w:cs="Gungsuh" w:eastAsia="Gungsuh" w:hAnsi="Gungsuh"/>
                <w:sz w:val="24"/>
                <w:szCs w:val="24"/>
                <w:rtl w:val="0"/>
              </w:rPr>
              <w:t xml:space="preserve">−1 &lt;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1F">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 &lt; 0,3012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0">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1">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 &lt; 0,3138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2">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pageBreakBefore w:val="0"/>
              <w:widowControl w:val="0"/>
              <w:spacing w:after="240" w:before="24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&gt;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0,4848 + 0,3012 &gt; -1</w:t>
            </w:r>
          </w:p>
          <w:p w:rsidR="00000000" w:rsidDel="00000000" w:rsidP="00000000" w:rsidRDefault="00000000" w:rsidRPr="00000000" w14:paraId="00000025">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0,786 &gt;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0,6824 + 0,3138 &gt; -1</w:t>
            </w:r>
          </w:p>
          <w:p w:rsidR="00000000" w:rsidDel="00000000" w:rsidP="00000000" w:rsidRDefault="00000000" w:rsidRPr="00000000" w14:paraId="00000028">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0,9962 &gt;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r>
      <w:tr>
        <w:trPr>
          <w:cantSplit w:val="0"/>
          <w:trHeight w:val="615"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A">
            <w:pPr>
              <w:pageBreakBefore w:val="0"/>
              <w:widowControl w:val="0"/>
              <w:spacing w:after="240" w:before="24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θ</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θ</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B">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0,4848 - 0,3012 &lt; 1</w:t>
            </w:r>
          </w:p>
          <w:p w:rsidR="00000000" w:rsidDel="00000000" w:rsidP="00000000" w:rsidRDefault="00000000" w:rsidRPr="00000000" w14:paraId="0000002C">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0,1836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D">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2E">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0,6824 - 0,3138 &lt; 1</w:t>
            </w:r>
          </w:p>
          <w:p w:rsidR="00000000" w:rsidDel="00000000" w:rsidP="00000000" w:rsidRDefault="00000000" w:rsidRPr="00000000" w14:paraId="0000002F">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0,3686 &lt;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0">
            <w:pPr>
              <w:pageBreakBefore w:val="0"/>
              <w:widowControl w:val="0"/>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atende</w:t>
            </w:r>
            <w:r w:rsidDel="00000000" w:rsidR="00000000" w:rsidRPr="00000000">
              <w:rPr>
                <w:rtl w:val="0"/>
              </w:rPr>
            </w:r>
          </w:p>
        </w:tc>
      </w:tr>
    </w:tbl>
    <w:p w:rsidR="00000000" w:rsidDel="00000000" w:rsidP="00000000" w:rsidRDefault="00000000" w:rsidRPr="00000000" w14:paraId="0000003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foram testadas as invertibilidades dos dados após postas as suas diferenciações, verificou-se que todos os dados são invertíveis após este processo. os resultados de todos os testes estão na Tabela 2.</w:t>
      </w:r>
    </w:p>
    <w:p w:rsidR="00000000" w:rsidDel="00000000" w:rsidP="00000000" w:rsidRDefault="00000000" w:rsidRPr="00000000" w14:paraId="0000003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Tabela 2.</w:t>
      </w:r>
    </w:p>
    <w:tbl>
      <w:tblPr>
        <w:tblStyle w:val="Table2"/>
        <w:tblW w:w="5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310"/>
        <w:gridCol w:w="2085"/>
        <w:tblGridChange w:id="0">
          <w:tblGrid>
            <w:gridCol w:w="1410"/>
            <w:gridCol w:w="2310"/>
            <w:gridCol w:w="2085"/>
          </w:tblGrid>
        </w:tblGridChange>
      </w:tblGrid>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37">
            <w:pPr>
              <w:pageBreakBefore w:val="0"/>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gridSpan w:val="2"/>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Teste Invertibilidade</w:t>
            </w:r>
            <w:r w:rsidDel="00000000" w:rsidR="00000000" w:rsidRPr="00000000">
              <w:rPr>
                <w:rtl w:val="0"/>
              </w:rPr>
            </w:r>
          </w:p>
        </w:tc>
      </w:tr>
      <w:tr>
        <w:trPr>
          <w:cantSplit w:val="0"/>
          <w:trHeight w:val="345" w:hRule="atLeast"/>
          <w:tblHeader w:val="0"/>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Dados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 diferenciação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 diferenciação</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ferroUs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Invertível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cobreUs</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Invertível</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Invertível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dolar</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Invertível</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8">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exportBR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A">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C">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importBR</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D">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E">
            <w:pPr>
              <w:pageBreakBefore w:val="0"/>
              <w:widowControl w:val="0"/>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Invertível</w:t>
            </w:r>
          </w:p>
        </w:tc>
      </w:tr>
    </w:tbl>
    <w:p w:rsidR="00000000" w:rsidDel="00000000" w:rsidP="00000000" w:rsidRDefault="00000000" w:rsidRPr="00000000" w14:paraId="0000004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são feitas algumas simulações para os dados sem diferenciação e com a primeira diferenciação, estão apresentadas na Figura 1 e na Figura 2 respectivamente.</w:t>
      </w:r>
    </w:p>
    <w:p w:rsidR="00000000" w:rsidDel="00000000" w:rsidP="00000000" w:rsidRDefault="00000000" w:rsidRPr="00000000" w14:paraId="0000005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w:t>
      </w:r>
    </w:p>
    <w:p w:rsidR="00000000" w:rsidDel="00000000" w:rsidP="00000000" w:rsidRDefault="00000000" w:rsidRPr="00000000" w14:paraId="00000060">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6035786"/>
            <wp:effectExtent b="0" l="0" r="0" t="0"/>
            <wp:docPr id="2" name="image5.png"/>
            <a:graphic>
              <a:graphicData uri="http://schemas.openxmlformats.org/drawingml/2006/picture">
                <pic:pic>
                  <pic:nvPicPr>
                    <pic:cNvPr id="0" name="image5.png"/>
                    <pic:cNvPicPr preferRelativeResize="0"/>
                  </pic:nvPicPr>
                  <pic:blipFill>
                    <a:blip r:embed="rId8"/>
                    <a:srcRect b="11620" l="0" r="0" t="0"/>
                    <a:stretch>
                      <a:fillRect/>
                    </a:stretch>
                  </pic:blipFill>
                  <pic:spPr>
                    <a:xfrm>
                      <a:off x="0" y="0"/>
                      <a:ext cx="5400675" cy="6035786"/>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2</w:t>
      </w:r>
    </w:p>
    <w:p w:rsidR="00000000" w:rsidDel="00000000" w:rsidP="00000000" w:rsidRDefault="00000000" w:rsidRPr="00000000" w14:paraId="00000069">
      <w:pPr>
        <w:pageBreakBefore w:val="0"/>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6101080"/>
            <wp:effectExtent b="0" l="0" r="0" t="0"/>
            <wp:docPr id="4" name="image6.png"/>
            <a:graphic>
              <a:graphicData uri="http://schemas.openxmlformats.org/drawingml/2006/picture">
                <pic:pic>
                  <pic:nvPicPr>
                    <pic:cNvPr id="0" name="image6.png"/>
                    <pic:cNvPicPr preferRelativeResize="0"/>
                  </pic:nvPicPr>
                  <pic:blipFill>
                    <a:blip r:embed="rId9"/>
                    <a:srcRect b="5803" l="0" r="0" t="0"/>
                    <a:stretch>
                      <a:fillRect/>
                    </a:stretch>
                  </pic:blipFill>
                  <pic:spPr>
                    <a:xfrm>
                      <a:off x="0" y="0"/>
                      <a:ext cx="5400675" cy="61010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jc w:val="both"/>
        <w:rPr>
          <w:sz w:val="24"/>
          <w:szCs w:val="24"/>
        </w:rPr>
      </w:pPr>
      <w:r w:rsidDel="00000000" w:rsidR="00000000" w:rsidRPr="00000000">
        <w:rPr>
          <w:rtl w:val="0"/>
        </w:rPr>
      </w:r>
    </w:p>
    <w:p w:rsidR="00000000" w:rsidDel="00000000" w:rsidP="00000000" w:rsidRDefault="00000000" w:rsidRPr="00000000" w14:paraId="00000071">
      <w:pPr>
        <w:pageBreakBefore w:val="0"/>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