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i w:val="0"/>
          <w:color w:val="1B3A4B"/>
          <w:sz w:val="52"/>
        </w:rPr>
        <w:t>FRAUDULENT CLAIM DETECTION</w:t>
      </w:r>
    </w:p>
    <w:p>
      <w:pPr>
        <w:spacing w:before="40" w:after="40"/>
        <w:jc w:val="center"/>
      </w:pPr>
      <w:r>
        <w:rPr>
          <w:b w:val="0"/>
          <w:i w:val="0"/>
          <w:color w:val="C9A456"/>
          <w:sz w:val="32"/>
        </w:rPr>
        <w:t>Business Analysis Report</w:t>
      </w:r>
    </w:p>
    <w:p>
      <w:pPr>
        <w:spacing w:before="40" w:after="800"/>
        <w:jc w:val="center"/>
      </w:pPr>
      <w:r>
        <w:rPr>
          <w:b w:val="0"/>
          <w:i/>
          <w:color w:val="5C5C5C"/>
          <w:sz w:val="22"/>
        </w:rPr>
        <w:t>Global Insure  ·  Data Science &amp; Analytics Division</w:t>
      </w:r>
    </w:p>
    <w:p>
      <w:pPr>
        <w:pBdr>
          <w:bottom w:val="single" w:sz="4" w:space="1" w:color="D4C4A8"/>
        </w:pBdr>
        <w:spacing w:before="80" w:after="80"/>
      </w:pPr>
    </w:p>
    <w:tbl>
      <w:tblPr>
        <w:tblW w:type="auto" w:w="0"/>
        <w:jc w:val="center"/>
        <w:tblLook w:firstColumn="1" w:firstRow="1" w:lastColumn="0" w:lastRow="0" w:noHBand="0" w:noVBand="1" w:val="04A0"/>
      </w:tblPr>
      <w:tblGrid>
        <w:gridCol w:w="4680"/>
        <w:gridCol w:w="4680"/>
      </w:tblGrid>
      <w:tr>
        <w:tc>
          <w:tcPr>
            <w:tcW w:type="dxa" w:w="2880"/>
            <w:shd w:val="clear" w:color="auto" w:fill="E6DDD0"/>
          </w:tcPr>
          <w:p>
            <w:r>
              <w:rPr>
                <w:b/>
                <w:i w:val="0"/>
                <w:color w:val="1B3A4B"/>
                <w:sz w:val="20"/>
              </w:rPr>
              <w:t>Client</w:t>
            </w:r>
          </w:p>
        </w:tc>
        <w:tc>
          <w:tcPr>
            <w:tcW w:type="dxa" w:w="6480"/>
            <w:shd w:val="clear" w:color="auto" w:fill="FAF8F4"/>
          </w:tcPr>
          <w:p>
            <w:r>
              <w:rPr>
                <w:b w:val="0"/>
                <w:i w:val="0"/>
                <w:color w:val="2C2C2C"/>
                <w:sz w:val="20"/>
              </w:rPr>
              <w:t>Global Insure</w:t>
            </w:r>
          </w:p>
        </w:tc>
      </w:tr>
      <w:tr>
        <w:tc>
          <w:tcPr>
            <w:tcW w:type="dxa" w:w="2880"/>
            <w:shd w:val="clear" w:color="auto" w:fill="E6DDD0"/>
          </w:tcPr>
          <w:p>
            <w:r>
              <w:rPr>
                <w:b/>
                <w:i w:val="0"/>
                <w:color w:val="1B3A4B"/>
                <w:sz w:val="20"/>
              </w:rPr>
              <w:t>Report Type</w:t>
            </w:r>
          </w:p>
        </w:tc>
        <w:tc>
          <w:tcPr>
            <w:tcW w:type="dxa" w:w="6480"/>
            <w:shd w:val="clear" w:color="auto" w:fill="FAF8F4"/>
          </w:tcPr>
          <w:p>
            <w:r>
              <w:rPr>
                <w:b w:val="0"/>
                <w:i w:val="0"/>
                <w:color w:val="2C2C2C"/>
                <w:sz w:val="20"/>
              </w:rPr>
              <w:t>Predictive Analytics — Fraud Detection</w:t>
            </w:r>
          </w:p>
        </w:tc>
      </w:tr>
      <w:tr>
        <w:tc>
          <w:tcPr>
            <w:tcW w:type="dxa" w:w="2880"/>
            <w:shd w:val="clear" w:color="auto" w:fill="E6DDD0"/>
          </w:tcPr>
          <w:p>
            <w:r>
              <w:rPr>
                <w:b/>
                <w:i w:val="0"/>
                <w:color w:val="1B3A4B"/>
                <w:sz w:val="20"/>
              </w:rPr>
              <w:t>Dataset</w:t>
            </w:r>
          </w:p>
        </w:tc>
        <w:tc>
          <w:tcPr>
            <w:tcW w:type="dxa" w:w="6480"/>
            <w:shd w:val="clear" w:color="auto" w:fill="FAF8F4"/>
          </w:tcPr>
          <w:p>
            <w:r>
              <w:rPr>
                <w:b w:val="0"/>
                <w:i w:val="0"/>
                <w:color w:val="2C2C2C"/>
                <w:sz w:val="20"/>
              </w:rPr>
              <w:t>insurance_claims.csv  (1,000 records, 40 features)</w:t>
            </w:r>
          </w:p>
        </w:tc>
      </w:tr>
      <w:tr>
        <w:tc>
          <w:tcPr>
            <w:tcW w:type="dxa" w:w="2880"/>
            <w:shd w:val="clear" w:color="auto" w:fill="E6DDD0"/>
          </w:tcPr>
          <w:p>
            <w:r>
              <w:rPr>
                <w:b/>
                <w:i w:val="0"/>
                <w:color w:val="1B3A4B"/>
                <w:sz w:val="20"/>
              </w:rPr>
              <w:t>Models Evaluated</w:t>
            </w:r>
          </w:p>
        </w:tc>
        <w:tc>
          <w:tcPr>
            <w:tcW w:type="dxa" w:w="6480"/>
            <w:shd w:val="clear" w:color="auto" w:fill="FAF8F4"/>
          </w:tcPr>
          <w:p>
            <w:r>
              <w:rPr>
                <w:b w:val="0"/>
                <w:i w:val="0"/>
                <w:color w:val="2C2C2C"/>
                <w:sz w:val="20"/>
              </w:rPr>
              <w:t>Logistic Regression  |  Random Forest (Tuned)</w:t>
            </w:r>
          </w:p>
        </w:tc>
      </w:tr>
      <w:tr>
        <w:tc>
          <w:tcPr>
            <w:tcW w:type="dxa" w:w="2880"/>
            <w:shd w:val="clear" w:color="auto" w:fill="E6DDD0"/>
          </w:tcPr>
          <w:p>
            <w:r>
              <w:rPr>
                <w:b/>
                <w:i w:val="0"/>
                <w:color w:val="1B3A4B"/>
                <w:sz w:val="20"/>
              </w:rPr>
              <w:t>Report Date</w:t>
            </w:r>
          </w:p>
        </w:tc>
        <w:tc>
          <w:tcPr>
            <w:tcW w:type="dxa" w:w="6480"/>
            <w:shd w:val="clear" w:color="auto" w:fill="FAF8F4"/>
          </w:tcPr>
          <w:p>
            <w:r>
              <w:rPr>
                <w:b w:val="0"/>
                <w:i w:val="0"/>
                <w:color w:val="2C2C2C"/>
                <w:sz w:val="20"/>
              </w:rPr>
              <w:t>March 2026</w:t>
            </w:r>
          </w:p>
        </w:tc>
      </w:tr>
    </w:tbl>
    <w:p>
      <w:r>
        <w:br w:type="page"/>
      </w:r>
    </w:p>
    <w:p>
      <w:pPr>
        <w:keepNext/>
        <w:spacing w:before="280" w:after="80"/>
        <w:pBdr>
          <w:left w:val="thick" w:sz="24" w:space="6" w:color="C9A456"/>
        </w:pBdr>
      </w:pPr>
      <w:r>
        <w:rPr>
          <w:b/>
          <w:i w:val="0"/>
          <w:color w:val="1B3A4B"/>
          <w:sz w:val="28"/>
        </w:rPr>
        <w:t>1. EXECUTIVE SUMMARY</w:t>
      </w:r>
    </w:p>
    <w:p>
      <w:pPr>
        <w:spacing w:before="0" w:after="80"/>
      </w:pPr>
      <w:r>
        <w:rPr>
          <w:b w:val="0"/>
          <w:i w:val="0"/>
          <w:color w:val="2C2C2C"/>
          <w:sz w:val="21"/>
        </w:rPr>
        <w:t>Global Insure faces a significant and growing threat from fraudulent insurance claims. This report presents findings from a comprehensive data-driven analysis of 1,000 historical claims across 40 attributes, aimed at building an early-warning fraud detection system that can flag suspicious claims at the point of submission — before payouts are made.</w:t>
      </w:r>
    </w:p>
    <w:p>
      <w:pPr>
        <w:spacing w:before="0" w:after="80"/>
      </w:pPr>
      <w:r>
        <w:rPr>
          <w:b w:val="0"/>
          <w:i w:val="0"/>
          <w:color w:val="2C2C2C"/>
          <w:sz w:val="21"/>
        </w:rPr>
        <w:t>The analysis followed a rigorous end-to-end machine learning pipeline: data preparation, exploratory data analysis (EDA), feature engineering, model building, and validation. Two models were evaluated — Logistic Regression and a hyperparameter-tuned Random Forest. The tuned Random Forest emerged as the recommended production model, achieving 84.67% accuracy and an AUC-ROC of 0.893 on the held-out validation set.</w:t>
      </w:r>
    </w:p>
    <w:tbl>
      <w:tblPr>
        <w:tblW w:type="auto" w:w="0"/>
        <w:jc w:val="center"/>
        <w:tblLook w:firstColumn="1" w:firstRow="1" w:lastColumn="0" w:lastRow="0" w:noHBand="0" w:noVBand="1" w:val="04A0"/>
      </w:tblPr>
      <w:tblGrid>
        <w:gridCol w:w="9360"/>
      </w:tblGrid>
      <w:tr>
        <w:tc>
          <w:tcPr>
            <w:tcW w:type="dxa" w:w="9360"/>
            <w:shd w:val="clear" w:color="auto" w:fill="F0EBE1"/>
            <w:tcBorders>
              <w:top w:val="single" w:sz="6" w:space="0" w:color="C9A456"/>
              <w:bottom w:val="single" w:sz="6" w:space="0" w:color="C9A456"/>
              <w:left w:val="single" w:sz="6" w:space="0" w:color="C9A456"/>
              <w:right w:val="single" w:sz="6" w:space="0" w:color="C9A456"/>
            </w:tcBorders>
          </w:tcPr>
          <w:p>
            <w:pPr>
              <w:spacing w:before="80" w:after="80"/>
              <w:ind w:left="144"/>
              <w:jc w:val="left"/>
            </w:pPr>
            <w:r>
              <w:rPr>
                <w:b w:val="0"/>
                <w:i/>
                <w:color w:val="2C2C2C"/>
                <w:sz w:val="21"/>
              </w:rPr>
              <w:t>Key Outcome: The tuned Random Forest model correctly identifies 81% of fraudulent claims on unseen data (Sensitivity = 81.08%), while maintaining a Specificity of 85.84% — meaning only 1 in 6 legitimate claims is flagged for unnecessary review. Deployment of this model is estimated to prevent significant financial losses annually.</w:t>
            </w:r>
          </w:p>
        </w:tc>
      </w:tr>
    </w:tbl>
    <w:p/>
    <w:p>
      <w:pPr>
        <w:keepNext/>
        <w:spacing w:before="160" w:after="40"/>
      </w:pPr>
      <w:r>
        <w:rPr>
          <w:b/>
          <w:i w:val="0"/>
          <w:color w:val="1B3A4B"/>
          <w:sz w:val="24"/>
        </w:rPr>
        <w:t>Top Findings at a Glance</w:t>
      </w:r>
    </w:p>
    <w:p>
      <w:pPr>
        <w:pStyle w:val="ListBullet"/>
        <w:spacing w:before="0" w:after="40"/>
        <w:ind w:left="360" w:hanging="259"/>
      </w:pPr>
      <w:r>
        <w:rPr>
          <w:b w:val="0"/>
          <w:i w:val="0"/>
          <w:color w:val="2C2C2C"/>
          <w:sz w:val="21"/>
        </w:rPr>
        <w:t>Hobby is the single strongest fraud predictor: chess &amp; cross-fit policyholders show ~80% fraud rate.</w:t>
      </w:r>
    </w:p>
    <w:p>
      <w:pPr>
        <w:pStyle w:val="ListBullet"/>
        <w:spacing w:before="0" w:after="40"/>
        <w:ind w:left="360" w:hanging="259"/>
      </w:pPr>
      <w:r>
        <w:rPr>
          <w:b w:val="0"/>
          <w:i w:val="0"/>
          <w:color w:val="2C2C2C"/>
          <w:sz w:val="21"/>
        </w:rPr>
        <w:t>A counter-intuitive 'Severity Paradox': Major Damage incidents are MORE fraudulent than Minor or Total Loss.</w:t>
      </w:r>
    </w:p>
    <w:p>
      <w:pPr>
        <w:pStyle w:val="ListBullet"/>
        <w:spacing w:before="0" w:after="40"/>
        <w:ind w:left="360" w:hanging="259"/>
      </w:pPr>
      <w:r>
        <w:rPr>
          <w:b w:val="0"/>
          <w:i w:val="0"/>
          <w:color w:val="2C2C2C"/>
          <w:sz w:val="21"/>
        </w:rPr>
        <w:t>Staged accidents are detectable: high vehicle claim relative to injury claim is a statistically significant red flag.</w:t>
      </w:r>
    </w:p>
    <w:p>
      <w:pPr>
        <w:pStyle w:val="ListBullet"/>
        <w:spacing w:before="0" w:after="40"/>
        <w:ind w:left="360" w:hanging="259"/>
      </w:pPr>
      <w:r>
        <w:rPr>
          <w:b w:val="0"/>
          <w:i w:val="0"/>
          <w:color w:val="2C2C2C"/>
          <w:sz w:val="21"/>
        </w:rPr>
        <w:t>Geographic concentration: Ohio (OH) and Pennsylvania (PA) account for disproportionate fraud volumes.</w:t>
      </w:r>
    </w:p>
    <w:p>
      <w:pPr>
        <w:pStyle w:val="ListBullet"/>
        <w:spacing w:before="0" w:after="40"/>
        <w:ind w:left="360" w:hanging="259"/>
      </w:pPr>
      <w:r>
        <w:rPr>
          <w:b w:val="0"/>
          <w:i w:val="0"/>
          <w:color w:val="2C2C2C"/>
          <w:sz w:val="21"/>
        </w:rPr>
        <w:t>Documentation gaps signal fraud: no police report combined with property damage and multiple witnesses is a red flag combination.</w:t>
      </w:r>
    </w:p>
    <w:p>
      <w:pPr>
        <w:pStyle w:val="ListBullet"/>
        <w:spacing w:before="0" w:after="40"/>
        <w:ind w:left="360" w:hanging="259"/>
      </w:pPr>
      <w:r>
        <w:rPr>
          <w:b w:val="0"/>
          <w:i w:val="0"/>
          <w:color w:val="2C2C2C"/>
          <w:sz w:val="21"/>
        </w:rPr>
        <w:t>Both models substantially outperform random guessing (AUC 0.877–0.893 vs baseline 0.500).</w:t>
      </w:r>
    </w:p>
    <w:p>
      <w:pPr>
        <w:pBdr>
          <w:bottom w:val="single" w:sz="4" w:space="1" w:color="D4C4A8"/>
        </w:pBdr>
        <w:spacing w:before="80" w:after="80"/>
      </w:pPr>
    </w:p>
    <w:p>
      <w:pPr>
        <w:keepNext/>
        <w:spacing w:before="280" w:after="80"/>
        <w:pBdr>
          <w:left w:val="thick" w:sz="24" w:space="6" w:color="C9A456"/>
        </w:pBdr>
      </w:pPr>
      <w:r>
        <w:rPr>
          <w:b/>
          <w:i w:val="0"/>
          <w:color w:val="1B3A4B"/>
          <w:sz w:val="28"/>
        </w:rPr>
        <w:t>2. PROBLEM STATEMENT &amp; OBJECTIVES</w:t>
      </w:r>
    </w:p>
    <w:p>
      <w:pPr>
        <w:spacing w:before="0" w:after="80"/>
      </w:pPr>
      <w:r>
        <w:rPr>
          <w:b w:val="0"/>
          <w:i w:val="0"/>
          <w:color w:val="2C2C2C"/>
          <w:sz w:val="21"/>
        </w:rPr>
        <w:t>Insurance fraud is a global epidemic that inflates premiums for honest policyholders and erodes profitability for insurers. At Global Insure, a meaningful percentage of claims processed each year are fraudulent, and these are typically detected only after full or partial payouts — at considerable financial and operational cost.</w:t>
      </w:r>
    </w:p>
    <w:p>
      <w:pPr>
        <w:keepNext/>
        <w:spacing w:before="160" w:after="40"/>
      </w:pPr>
      <w:r>
        <w:rPr>
          <w:b/>
          <w:i w:val="0"/>
          <w:color w:val="1B3A4B"/>
          <w:sz w:val="24"/>
        </w:rPr>
        <w:t>Business Objectives</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Primary Goal</w:t>
            </w:r>
          </w:p>
        </w:tc>
        <w:tc>
          <w:tcPr>
            <w:tcW w:type="dxa" w:w="6192"/>
            <w:shd w:val="clear" w:color="auto" w:fill="EEE8DD"/>
          </w:tcPr>
          <w:p>
            <w:pPr>
              <w:ind w:left="72"/>
            </w:pPr>
            <w:r>
              <w:rPr>
                <w:b w:val="0"/>
                <w:i w:val="0"/>
                <w:color w:val="2C2C2C"/>
                <w:sz w:val="20"/>
              </w:rPr>
              <w:t>Build a predictive model to classify claims as fraudulent or legitimate at intake, before payment is released.</w:t>
            </w:r>
          </w:p>
        </w:tc>
      </w:tr>
      <w:tr>
        <w:tc>
          <w:tcPr>
            <w:tcW w:type="dxa" w:w="3168"/>
            <w:shd w:val="clear" w:color="auto" w:fill="E6DDD0"/>
          </w:tcPr>
          <w:p>
            <w:pPr>
              <w:ind w:left="72"/>
            </w:pPr>
            <w:r>
              <w:rPr>
                <w:b/>
                <w:i w:val="0"/>
                <w:color w:val="1B3A4B"/>
                <w:sz w:val="20"/>
              </w:rPr>
              <w:t>Secondary Goal</w:t>
            </w:r>
          </w:p>
        </w:tc>
        <w:tc>
          <w:tcPr>
            <w:tcW w:type="dxa" w:w="6192"/>
            <w:shd w:val="clear" w:color="auto" w:fill="FFFFFF"/>
          </w:tcPr>
          <w:p>
            <w:pPr>
              <w:ind w:left="72"/>
            </w:pPr>
            <w:r>
              <w:rPr>
                <w:b w:val="0"/>
                <w:i w:val="0"/>
                <w:color w:val="2C2C2C"/>
                <w:sz w:val="20"/>
              </w:rPr>
              <w:t>Identify the most predictive features of fraud to inform manual review prioritisation and policy design.</w:t>
            </w:r>
          </w:p>
        </w:tc>
      </w:tr>
      <w:tr>
        <w:tc>
          <w:tcPr>
            <w:tcW w:type="dxa" w:w="3168"/>
            <w:shd w:val="clear" w:color="auto" w:fill="E6DDD0"/>
          </w:tcPr>
          <w:p>
            <w:pPr>
              <w:ind w:left="72"/>
            </w:pPr>
            <w:r>
              <w:rPr>
                <w:b/>
                <w:i w:val="0"/>
                <w:color w:val="1B3A4B"/>
                <w:sz w:val="20"/>
              </w:rPr>
              <w:t>Analytical Goal</w:t>
            </w:r>
          </w:p>
        </w:tc>
        <w:tc>
          <w:tcPr>
            <w:tcW w:type="dxa" w:w="6192"/>
            <w:shd w:val="clear" w:color="auto" w:fill="EEE8DD"/>
          </w:tcPr>
          <w:p>
            <w:pPr>
              <w:ind w:left="72"/>
            </w:pPr>
            <w:r>
              <w:rPr>
                <w:b w:val="0"/>
                <w:i w:val="0"/>
                <w:color w:val="2C2C2C"/>
                <w:sz w:val="20"/>
              </w:rPr>
              <w:t>Uncover patterns in historical claims data that reveal fraud risk segments and geographic hotspots.</w:t>
            </w:r>
          </w:p>
        </w:tc>
      </w:tr>
      <w:tr>
        <w:tc>
          <w:tcPr>
            <w:tcW w:type="dxa" w:w="3168"/>
            <w:shd w:val="clear" w:color="auto" w:fill="E6DDD0"/>
          </w:tcPr>
          <w:p>
            <w:pPr>
              <w:ind w:left="72"/>
            </w:pPr>
            <w:r>
              <w:rPr>
                <w:b/>
                <w:i w:val="0"/>
                <w:color w:val="1B3A4B"/>
                <w:sz w:val="20"/>
              </w:rPr>
              <w:t>Strategic Goal</w:t>
            </w:r>
          </w:p>
        </w:tc>
        <w:tc>
          <w:tcPr>
            <w:tcW w:type="dxa" w:w="6192"/>
            <w:shd w:val="clear" w:color="auto" w:fill="FFFFFF"/>
          </w:tcPr>
          <w:p>
            <w:pPr>
              <w:ind w:left="72"/>
            </w:pPr>
            <w:r>
              <w:rPr>
                <w:b w:val="0"/>
                <w:i w:val="0"/>
                <w:color w:val="2C2C2C"/>
                <w:sz w:val="20"/>
              </w:rPr>
              <w:t>Provide actionable recommendations to reduce fraud exposure across underwriting, claims, and operations.</w:t>
            </w:r>
          </w:p>
        </w:tc>
      </w:tr>
    </w:tbl>
    <w:p/>
    <w:p>
      <w:pPr>
        <w:keepNext/>
        <w:spacing w:before="160" w:after="40"/>
      </w:pPr>
      <w:r>
        <w:rPr>
          <w:b/>
          <w:i w:val="0"/>
          <w:color w:val="1B3A4B"/>
          <w:sz w:val="24"/>
        </w:rPr>
        <w:t>Key Questions Answered</w:t>
      </w:r>
    </w:p>
    <w:p>
      <w:pPr>
        <w:pStyle w:val="ListBullet"/>
        <w:spacing w:before="0" w:after="40"/>
        <w:ind w:left="360" w:hanging="259"/>
      </w:pPr>
      <w:r>
        <w:rPr>
          <w:b w:val="0"/>
          <w:i w:val="0"/>
          <w:color w:val="2C2C2C"/>
          <w:sz w:val="21"/>
        </w:rPr>
        <w:t>Which policyholder characteristics and claim attributes most strongly predict fraud?</w:t>
      </w:r>
    </w:p>
    <w:p>
      <w:pPr>
        <w:pStyle w:val="ListBullet"/>
        <w:spacing w:before="0" w:after="40"/>
        <w:ind w:left="360" w:hanging="259"/>
      </w:pPr>
      <w:r>
        <w:rPr>
          <w:b w:val="0"/>
          <w:i w:val="0"/>
          <w:color w:val="2C2C2C"/>
          <w:sz w:val="21"/>
        </w:rPr>
        <w:t>Are there demographic, occupational, or geographic segments with elevated fraud risk?</w:t>
      </w:r>
    </w:p>
    <w:p>
      <w:pPr>
        <w:pStyle w:val="ListBullet"/>
        <w:spacing w:before="0" w:after="40"/>
        <w:ind w:left="360" w:hanging="259"/>
      </w:pPr>
      <w:r>
        <w:rPr>
          <w:b w:val="0"/>
          <w:i w:val="0"/>
          <w:color w:val="2C2C2C"/>
          <w:sz w:val="21"/>
        </w:rPr>
        <w:t>Can fraud be detected early enough (at intake) to prevent payout?</w:t>
      </w:r>
    </w:p>
    <w:p>
      <w:pPr>
        <w:pStyle w:val="ListBullet"/>
        <w:spacing w:before="0" w:after="40"/>
        <w:ind w:left="360" w:hanging="259"/>
      </w:pPr>
      <w:r>
        <w:rPr>
          <w:b w:val="0"/>
          <w:i w:val="0"/>
          <w:color w:val="2C2C2C"/>
          <w:sz w:val="21"/>
        </w:rPr>
        <w:t>Which machine learning model offers the best trade-off between fraud detection and false alarm rates?</w:t>
      </w:r>
    </w:p>
    <w:p>
      <w:pPr>
        <w:pBdr>
          <w:bottom w:val="single" w:sz="4" w:space="1" w:color="D4C4A8"/>
        </w:pBdr>
        <w:spacing w:before="80" w:after="80"/>
      </w:pPr>
    </w:p>
    <w:p>
      <w:pPr>
        <w:keepNext/>
        <w:spacing w:before="280" w:after="80"/>
        <w:pBdr>
          <w:left w:val="thick" w:sz="24" w:space="6" w:color="C9A456"/>
        </w:pBdr>
      </w:pPr>
      <w:r>
        <w:rPr>
          <w:b/>
          <w:i w:val="0"/>
          <w:color w:val="1B3A4B"/>
          <w:sz w:val="28"/>
        </w:rPr>
        <w:t>3. DATASET OVERVIEW</w:t>
      </w:r>
    </w:p>
    <w:p>
      <w:pPr>
        <w:spacing w:before="0" w:after="80"/>
      </w:pPr>
      <w:r>
        <w:rPr>
          <w:b w:val="0"/>
          <w:i w:val="0"/>
          <w:color w:val="2C2C2C"/>
          <w:sz w:val="21"/>
        </w:rPr>
        <w:t>The analysis was conducted on the insurance_claims.csv dataset provided by Global Insure, comprising 1,000 claim records and 40 features spanning policyholder demographics, vehicle information, incident details, and claim financials.</w:t>
      </w:r>
    </w:p>
    <w:p>
      <w:pPr>
        <w:keepNext/>
        <w:spacing w:before="160" w:after="40"/>
      </w:pPr>
      <w:r>
        <w:rPr>
          <w:b/>
          <w:i w:val="0"/>
          <w:color w:val="1B3A4B"/>
          <w:sz w:val="24"/>
        </w:rPr>
        <w:t>Dataset Dimensions</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Total Records</w:t>
            </w:r>
          </w:p>
        </w:tc>
        <w:tc>
          <w:tcPr>
            <w:tcW w:type="dxa" w:w="6192"/>
            <w:shd w:val="clear" w:color="auto" w:fill="EEE8DD"/>
          </w:tcPr>
          <w:p>
            <w:pPr>
              <w:ind w:left="72"/>
            </w:pPr>
            <w:r>
              <w:rPr>
                <w:b w:val="0"/>
                <w:i w:val="0"/>
                <w:color w:val="2C2C2C"/>
                <w:sz w:val="20"/>
              </w:rPr>
              <w:t>1,000 claims</w:t>
            </w:r>
          </w:p>
        </w:tc>
      </w:tr>
      <w:tr>
        <w:tc>
          <w:tcPr>
            <w:tcW w:type="dxa" w:w="3168"/>
            <w:shd w:val="clear" w:color="auto" w:fill="E6DDD0"/>
          </w:tcPr>
          <w:p>
            <w:pPr>
              <w:ind w:left="72"/>
            </w:pPr>
            <w:r>
              <w:rPr>
                <w:b/>
                <w:i w:val="0"/>
                <w:color w:val="1B3A4B"/>
                <w:sz w:val="20"/>
              </w:rPr>
              <w:t>Total Features</w:t>
            </w:r>
          </w:p>
        </w:tc>
        <w:tc>
          <w:tcPr>
            <w:tcW w:type="dxa" w:w="6192"/>
            <w:shd w:val="clear" w:color="auto" w:fill="FFFFFF"/>
          </w:tcPr>
          <w:p>
            <w:pPr>
              <w:ind w:left="72"/>
            </w:pPr>
            <w:r>
              <w:rPr>
                <w:b w:val="0"/>
                <w:i w:val="0"/>
                <w:color w:val="2C2C2C"/>
                <w:sz w:val="20"/>
              </w:rPr>
              <w:t>40 columns (21 categorical, 17 integer, 2 float)</w:t>
            </w:r>
          </w:p>
        </w:tc>
      </w:tr>
      <w:tr>
        <w:tc>
          <w:tcPr>
            <w:tcW w:type="dxa" w:w="3168"/>
            <w:shd w:val="clear" w:color="auto" w:fill="E6DDD0"/>
          </w:tcPr>
          <w:p>
            <w:pPr>
              <w:ind w:left="72"/>
            </w:pPr>
            <w:r>
              <w:rPr>
                <w:b/>
                <w:i w:val="0"/>
                <w:color w:val="1B3A4B"/>
                <w:sz w:val="20"/>
              </w:rPr>
              <w:t>Target Variable</w:t>
            </w:r>
          </w:p>
        </w:tc>
        <w:tc>
          <w:tcPr>
            <w:tcW w:type="dxa" w:w="6192"/>
            <w:shd w:val="clear" w:color="auto" w:fill="EEE8DD"/>
          </w:tcPr>
          <w:p>
            <w:pPr>
              <w:ind w:left="72"/>
            </w:pPr>
            <w:r>
              <w:rPr>
                <w:b w:val="0"/>
                <w:i w:val="0"/>
                <w:color w:val="2C2C2C"/>
                <w:sz w:val="20"/>
              </w:rPr>
              <w:t>fraud_reported  (Y = Fraudulent, N = Legitimate)</w:t>
            </w:r>
          </w:p>
        </w:tc>
      </w:tr>
      <w:tr>
        <w:tc>
          <w:tcPr>
            <w:tcW w:type="dxa" w:w="3168"/>
            <w:shd w:val="clear" w:color="auto" w:fill="E6DDD0"/>
          </w:tcPr>
          <w:p>
            <w:pPr>
              <w:ind w:left="72"/>
            </w:pPr>
            <w:r>
              <w:rPr>
                <w:b/>
                <w:i w:val="0"/>
                <w:color w:val="1B3A4B"/>
                <w:sz w:val="20"/>
              </w:rPr>
              <w:t>Class Distribution</w:t>
            </w:r>
          </w:p>
        </w:tc>
        <w:tc>
          <w:tcPr>
            <w:tcW w:type="dxa" w:w="6192"/>
            <w:shd w:val="clear" w:color="auto" w:fill="FFFFFF"/>
          </w:tcPr>
          <w:p>
            <w:pPr>
              <w:ind w:left="72"/>
            </w:pPr>
            <w:r>
              <w:rPr>
                <w:b w:val="0"/>
                <w:i w:val="0"/>
                <w:color w:val="2C2C2C"/>
                <w:sz w:val="20"/>
              </w:rPr>
              <w:t>~25% Fraudulent (250) · ~75% Legitimate (750)</w:t>
            </w:r>
          </w:p>
        </w:tc>
      </w:tr>
      <w:tr>
        <w:tc>
          <w:tcPr>
            <w:tcW w:type="dxa" w:w="3168"/>
            <w:shd w:val="clear" w:color="auto" w:fill="E6DDD0"/>
          </w:tcPr>
          <w:p>
            <w:pPr>
              <w:ind w:left="72"/>
            </w:pPr>
            <w:r>
              <w:rPr>
                <w:b/>
                <w:i w:val="0"/>
                <w:color w:val="1B3A4B"/>
                <w:sz w:val="20"/>
              </w:rPr>
              <w:t>Date Range</w:t>
            </w:r>
          </w:p>
        </w:tc>
        <w:tc>
          <w:tcPr>
            <w:tcW w:type="dxa" w:w="6192"/>
            <w:shd w:val="clear" w:color="auto" w:fill="EEE8DD"/>
          </w:tcPr>
          <w:p>
            <w:pPr>
              <w:ind w:left="72"/>
            </w:pPr>
            <w:r>
              <w:rPr>
                <w:b w:val="0"/>
                <w:i w:val="0"/>
                <w:color w:val="2C2C2C"/>
                <w:sz w:val="20"/>
              </w:rPr>
              <w:t>Policies from mid-1990s to 2015; incidents spanning multiple years</w:t>
            </w:r>
          </w:p>
        </w:tc>
      </w:tr>
    </w:tbl>
    <w:p/>
    <w:p>
      <w:pPr>
        <w:keepNext/>
        <w:spacing w:before="160" w:after="40"/>
      </w:pPr>
      <w:r>
        <w:rPr>
          <w:b/>
          <w:i w:val="0"/>
          <w:color w:val="1B3A4B"/>
          <w:sz w:val="24"/>
        </w:rPr>
        <w:t>Feature Categories</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Policy Attributes</w:t>
            </w:r>
          </w:p>
        </w:tc>
        <w:tc>
          <w:tcPr>
            <w:tcW w:type="dxa" w:w="6192"/>
            <w:shd w:val="clear" w:color="auto" w:fill="EEE8DD"/>
          </w:tcPr>
          <w:p>
            <w:pPr>
              <w:ind w:left="72"/>
            </w:pPr>
            <w:r>
              <w:rPr>
                <w:b w:val="0"/>
                <w:i w:val="0"/>
                <w:color w:val="2C2C2C"/>
                <w:sz w:val="20"/>
              </w:rPr>
              <w:t>policy_state, policy_csl, policy_deductable, policy_annual_premium, umbrella_limit</w:t>
            </w:r>
          </w:p>
        </w:tc>
      </w:tr>
      <w:tr>
        <w:tc>
          <w:tcPr>
            <w:tcW w:type="dxa" w:w="3168"/>
            <w:shd w:val="clear" w:color="auto" w:fill="E6DDD0"/>
          </w:tcPr>
          <w:p>
            <w:pPr>
              <w:ind w:left="72"/>
            </w:pPr>
            <w:r>
              <w:rPr>
                <w:b/>
                <w:i w:val="0"/>
                <w:color w:val="1B3A4B"/>
                <w:sz w:val="20"/>
              </w:rPr>
              <w:t>Policyholder Demographics</w:t>
            </w:r>
          </w:p>
        </w:tc>
        <w:tc>
          <w:tcPr>
            <w:tcW w:type="dxa" w:w="6192"/>
            <w:shd w:val="clear" w:color="auto" w:fill="FFFFFF"/>
          </w:tcPr>
          <w:p>
            <w:pPr>
              <w:ind w:left="72"/>
            </w:pPr>
            <w:r>
              <w:rPr>
                <w:b w:val="0"/>
                <w:i w:val="0"/>
                <w:color w:val="2C2C2C"/>
                <w:sz w:val="20"/>
              </w:rPr>
              <w:t>age, months_as_customer, insured_sex, insured_education_level, insured_occupation, insured_hobbies</w:t>
            </w:r>
          </w:p>
        </w:tc>
      </w:tr>
      <w:tr>
        <w:tc>
          <w:tcPr>
            <w:tcW w:type="dxa" w:w="3168"/>
            <w:shd w:val="clear" w:color="auto" w:fill="E6DDD0"/>
          </w:tcPr>
          <w:p>
            <w:pPr>
              <w:ind w:left="72"/>
            </w:pPr>
            <w:r>
              <w:rPr>
                <w:b/>
                <w:i w:val="0"/>
                <w:color w:val="1B3A4B"/>
                <w:sz w:val="20"/>
              </w:rPr>
              <w:t>Incident Details</w:t>
            </w:r>
          </w:p>
        </w:tc>
        <w:tc>
          <w:tcPr>
            <w:tcW w:type="dxa" w:w="6192"/>
            <w:shd w:val="clear" w:color="auto" w:fill="EEE8DD"/>
          </w:tcPr>
          <w:p>
            <w:pPr>
              <w:ind w:left="72"/>
            </w:pPr>
            <w:r>
              <w:rPr>
                <w:b w:val="0"/>
                <w:i w:val="0"/>
                <w:color w:val="2C2C2C"/>
                <w:sz w:val="20"/>
              </w:rPr>
              <w:t>incident_type, collision_type, incident_severity, incident_state, incident_city, incident_hour_of_the_day</w:t>
            </w:r>
          </w:p>
        </w:tc>
      </w:tr>
      <w:tr>
        <w:tc>
          <w:tcPr>
            <w:tcW w:type="dxa" w:w="3168"/>
            <w:shd w:val="clear" w:color="auto" w:fill="E6DDD0"/>
          </w:tcPr>
          <w:p>
            <w:pPr>
              <w:ind w:left="72"/>
            </w:pPr>
            <w:r>
              <w:rPr>
                <w:b/>
                <w:i w:val="0"/>
                <w:color w:val="1B3A4B"/>
                <w:sz w:val="20"/>
              </w:rPr>
              <w:t>Claim Financials</w:t>
            </w:r>
          </w:p>
        </w:tc>
        <w:tc>
          <w:tcPr>
            <w:tcW w:type="dxa" w:w="6192"/>
            <w:shd w:val="clear" w:color="auto" w:fill="FFFFFF"/>
          </w:tcPr>
          <w:p>
            <w:pPr>
              <w:ind w:left="72"/>
            </w:pPr>
            <w:r>
              <w:rPr>
                <w:b w:val="0"/>
                <w:i w:val="0"/>
                <w:color w:val="2C2C2C"/>
                <w:sz w:val="20"/>
              </w:rPr>
              <w:t>total_claim_amount, vehicle_claim, injury_claim, property_claim</w:t>
            </w:r>
          </w:p>
        </w:tc>
      </w:tr>
      <w:tr>
        <w:tc>
          <w:tcPr>
            <w:tcW w:type="dxa" w:w="3168"/>
            <w:shd w:val="clear" w:color="auto" w:fill="E6DDD0"/>
          </w:tcPr>
          <w:p>
            <w:pPr>
              <w:ind w:left="72"/>
            </w:pPr>
            <w:r>
              <w:rPr>
                <w:b/>
                <w:i w:val="0"/>
                <w:color w:val="1B3A4B"/>
                <w:sz w:val="20"/>
              </w:rPr>
              <w:t>Supporting Evidence</w:t>
            </w:r>
          </w:p>
        </w:tc>
        <w:tc>
          <w:tcPr>
            <w:tcW w:type="dxa" w:w="6192"/>
            <w:shd w:val="clear" w:color="auto" w:fill="EEE8DD"/>
          </w:tcPr>
          <w:p>
            <w:pPr>
              <w:ind w:left="72"/>
            </w:pPr>
            <w:r>
              <w:rPr>
                <w:b w:val="0"/>
                <w:i w:val="0"/>
                <w:color w:val="2C2C2C"/>
                <w:sz w:val="20"/>
              </w:rPr>
              <w:t>authorities_contacted, police_report_available, property_damage, number_of_vehicles_involved, witnesses, bodily_injuries</w:t>
            </w:r>
          </w:p>
        </w:tc>
      </w:tr>
      <w:tr>
        <w:tc>
          <w:tcPr>
            <w:tcW w:type="dxa" w:w="3168"/>
            <w:shd w:val="clear" w:color="auto" w:fill="E6DDD0"/>
          </w:tcPr>
          <w:p>
            <w:pPr>
              <w:ind w:left="72"/>
            </w:pPr>
            <w:r>
              <w:rPr>
                <w:b/>
                <w:i w:val="0"/>
                <w:color w:val="1B3A4B"/>
                <w:sz w:val="20"/>
              </w:rPr>
              <w:t>Vehicle Details</w:t>
            </w:r>
          </w:p>
        </w:tc>
        <w:tc>
          <w:tcPr>
            <w:tcW w:type="dxa" w:w="6192"/>
            <w:shd w:val="clear" w:color="auto" w:fill="FFFFFF"/>
          </w:tcPr>
          <w:p>
            <w:pPr>
              <w:ind w:left="72"/>
            </w:pPr>
            <w:r>
              <w:rPr>
                <w:b w:val="0"/>
                <w:i w:val="0"/>
                <w:color w:val="2C2C2C"/>
                <w:sz w:val="20"/>
              </w:rPr>
              <w:t>auto_make, auto_model, auto_year</w:t>
            </w:r>
          </w:p>
        </w:tc>
      </w:tr>
    </w:tbl>
    <w:p/>
    <w:p>
      <w:pPr>
        <w:pBdr>
          <w:bottom w:val="single" w:sz="4" w:space="1" w:color="D4C4A8"/>
        </w:pBdr>
        <w:spacing w:before="80" w:after="80"/>
      </w:pPr>
    </w:p>
    <w:p>
      <w:pPr>
        <w:keepNext/>
        <w:spacing w:before="280" w:after="80"/>
        <w:pBdr>
          <w:left w:val="thick" w:sz="24" w:space="6" w:color="C9A456"/>
        </w:pBdr>
      </w:pPr>
      <w:r>
        <w:rPr>
          <w:b/>
          <w:i w:val="0"/>
          <w:color w:val="1B3A4B"/>
          <w:sz w:val="28"/>
        </w:rPr>
        <w:t>4. DATA PREPARATION &amp; CLEANING</w:t>
      </w:r>
    </w:p>
    <w:p>
      <w:pPr>
        <w:keepNext/>
        <w:spacing w:before="160" w:after="40"/>
      </w:pPr>
      <w:r>
        <w:rPr>
          <w:b/>
          <w:i w:val="0"/>
          <w:color w:val="1B3A4B"/>
          <w:sz w:val="24"/>
        </w:rPr>
        <w:t>4.1  Handling Null and Invalid Values</w:t>
      </w:r>
    </w:p>
    <w:p>
      <w:pPr>
        <w:spacing w:before="0" w:after="80"/>
      </w:pPr>
      <w:r>
        <w:rPr>
          <w:b w:val="0"/>
          <w:i w:val="0"/>
          <w:color w:val="2C2C2C"/>
          <w:sz w:val="21"/>
        </w:rPr>
        <w:t>Several columns contained the placeholder '?' representing missing data. These were replaced with NaN and handled using domain-informed imputation strategies:</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collision_type (178 nulls)</w:t>
            </w:r>
          </w:p>
        </w:tc>
        <w:tc>
          <w:tcPr>
            <w:tcW w:type="dxa" w:w="6192"/>
            <w:shd w:val="clear" w:color="auto" w:fill="EEE8DD"/>
          </w:tcPr>
          <w:p>
            <w:pPr>
              <w:ind w:left="72"/>
            </w:pPr>
            <w:r>
              <w:rPr>
                <w:b w:val="0"/>
                <w:i w:val="0"/>
                <w:color w:val="2C2C2C"/>
                <w:sz w:val="20"/>
              </w:rPr>
              <w:t>Filled with mode ('Rear Collision') — most common collision type</w:t>
            </w:r>
          </w:p>
        </w:tc>
      </w:tr>
      <w:tr>
        <w:tc>
          <w:tcPr>
            <w:tcW w:type="dxa" w:w="3168"/>
            <w:shd w:val="clear" w:color="auto" w:fill="E6DDD0"/>
          </w:tcPr>
          <w:p>
            <w:pPr>
              <w:ind w:left="72"/>
            </w:pPr>
            <w:r>
              <w:rPr>
                <w:b/>
                <w:i w:val="0"/>
                <w:color w:val="1B3A4B"/>
                <w:sz w:val="20"/>
              </w:rPr>
              <w:t>authorities_contacted (91 nulls)</w:t>
            </w:r>
          </w:p>
        </w:tc>
        <w:tc>
          <w:tcPr>
            <w:tcW w:type="dxa" w:w="6192"/>
            <w:shd w:val="clear" w:color="auto" w:fill="FFFFFF"/>
          </w:tcPr>
          <w:p>
            <w:pPr>
              <w:ind w:left="72"/>
            </w:pPr>
            <w:r>
              <w:rPr>
                <w:b w:val="0"/>
                <w:i w:val="0"/>
                <w:color w:val="2C2C2C"/>
                <w:sz w:val="20"/>
              </w:rPr>
              <w:t>Logically inferred from police_report_available; remainder filled as 'Other'</w:t>
            </w:r>
          </w:p>
        </w:tc>
      </w:tr>
      <w:tr>
        <w:tc>
          <w:tcPr>
            <w:tcW w:type="dxa" w:w="3168"/>
            <w:shd w:val="clear" w:color="auto" w:fill="E6DDD0"/>
          </w:tcPr>
          <w:p>
            <w:pPr>
              <w:ind w:left="72"/>
            </w:pPr>
            <w:r>
              <w:rPr>
                <w:b/>
                <w:i w:val="0"/>
                <w:color w:val="1B3A4B"/>
                <w:sz w:val="20"/>
              </w:rPr>
              <w:t>property_damage (360 nulls)</w:t>
            </w:r>
          </w:p>
        </w:tc>
        <w:tc>
          <w:tcPr>
            <w:tcW w:type="dxa" w:w="6192"/>
            <w:shd w:val="clear" w:color="auto" w:fill="EEE8DD"/>
          </w:tcPr>
          <w:p>
            <w:pPr>
              <w:ind w:left="72"/>
            </w:pPr>
            <w:r>
              <w:rPr>
                <w:b w:val="0"/>
                <w:i w:val="0"/>
                <w:color w:val="2C2C2C"/>
                <w:sz w:val="20"/>
              </w:rPr>
              <w:t>Derived from property_claim: 0 → 'NO', &gt;0 → 'YES'</w:t>
            </w:r>
          </w:p>
        </w:tc>
      </w:tr>
      <w:tr>
        <w:tc>
          <w:tcPr>
            <w:tcW w:type="dxa" w:w="3168"/>
            <w:shd w:val="clear" w:color="auto" w:fill="E6DDD0"/>
          </w:tcPr>
          <w:p>
            <w:pPr>
              <w:ind w:left="72"/>
            </w:pPr>
            <w:r>
              <w:rPr>
                <w:b/>
                <w:i w:val="0"/>
                <w:color w:val="1B3A4B"/>
                <w:sz w:val="20"/>
              </w:rPr>
              <w:t>police_report_available (343 nulls)</w:t>
            </w:r>
          </w:p>
        </w:tc>
        <w:tc>
          <w:tcPr>
            <w:tcW w:type="dxa" w:w="6192"/>
            <w:shd w:val="clear" w:color="auto" w:fill="FFFFFF"/>
          </w:tcPr>
          <w:p>
            <w:pPr>
              <w:ind w:left="72"/>
            </w:pPr>
            <w:r>
              <w:rPr>
                <w:b w:val="0"/>
                <w:i w:val="0"/>
                <w:color w:val="2C2C2C"/>
                <w:sz w:val="20"/>
              </w:rPr>
              <w:t>Defaulted to 'NO' — conservative assumption consistent with fraud patterns</w:t>
            </w:r>
          </w:p>
        </w:tc>
      </w:tr>
      <w:tr>
        <w:tc>
          <w:tcPr>
            <w:tcW w:type="dxa" w:w="3168"/>
            <w:shd w:val="clear" w:color="auto" w:fill="E6DDD0"/>
          </w:tcPr>
          <w:p>
            <w:pPr>
              <w:ind w:left="72"/>
            </w:pPr>
            <w:r>
              <w:rPr>
                <w:b/>
                <w:i w:val="0"/>
                <w:color w:val="1B3A4B"/>
                <w:sz w:val="20"/>
              </w:rPr>
              <w:t>_c39 (1,000 nulls)</w:t>
            </w:r>
          </w:p>
        </w:tc>
        <w:tc>
          <w:tcPr>
            <w:tcW w:type="dxa" w:w="6192"/>
            <w:shd w:val="clear" w:color="auto" w:fill="EEE8DD"/>
          </w:tcPr>
          <w:p>
            <w:pPr>
              <w:ind w:left="72"/>
            </w:pPr>
            <w:r>
              <w:rPr>
                <w:b w:val="0"/>
                <w:i w:val="0"/>
                <w:color w:val="2C2C2C"/>
                <w:sz w:val="20"/>
              </w:rPr>
              <w:t>Completely empty column — dropped entirely</w:t>
            </w:r>
          </w:p>
        </w:tc>
      </w:tr>
    </w:tbl>
    <w:p/>
    <w:p>
      <w:pPr>
        <w:keepNext/>
        <w:spacing w:before="160" w:after="40"/>
      </w:pPr>
      <w:r>
        <w:rPr>
          <w:b/>
          <w:i w:val="0"/>
          <w:color w:val="1B3A4B"/>
          <w:sz w:val="24"/>
        </w:rPr>
        <w:t>4.2  Column Removal</w:t>
      </w:r>
    </w:p>
    <w:p>
      <w:pPr>
        <w:spacing w:before="0" w:after="80"/>
      </w:pPr>
      <w:r>
        <w:rPr>
          <w:b w:val="0"/>
          <w:i w:val="0"/>
          <w:color w:val="2C2C2C"/>
          <w:sz w:val="21"/>
        </w:rPr>
        <w:t>Four columns were removed for being identifiers, near-identifiers, or fully empty:</w:t>
      </w:r>
    </w:p>
    <w:p>
      <w:pPr>
        <w:pStyle w:val="ListBullet"/>
        <w:spacing w:before="0" w:after="40"/>
        <w:ind w:left="360" w:hanging="259"/>
      </w:pPr>
      <w:r>
        <w:rPr>
          <w:b w:val="0"/>
          <w:i w:val="0"/>
          <w:color w:val="2C2C2C"/>
          <w:sz w:val="21"/>
        </w:rPr>
        <w:t>_c39 — 100% null, no information value</w:t>
      </w:r>
    </w:p>
    <w:p>
      <w:pPr>
        <w:pStyle w:val="ListBullet"/>
        <w:spacing w:before="0" w:after="40"/>
        <w:ind w:left="360" w:hanging="259"/>
      </w:pPr>
      <w:r>
        <w:rPr>
          <w:b w:val="0"/>
          <w:i w:val="0"/>
          <w:color w:val="2C2C2C"/>
          <w:sz w:val="21"/>
        </w:rPr>
        <w:t>policy_number — unique identifier per row, no predictive power</w:t>
      </w:r>
    </w:p>
    <w:p>
      <w:pPr>
        <w:pStyle w:val="ListBullet"/>
        <w:spacing w:before="0" w:after="40"/>
        <w:ind w:left="360" w:hanging="259"/>
      </w:pPr>
      <w:r>
        <w:rPr>
          <w:b w:val="0"/>
          <w:i w:val="0"/>
          <w:color w:val="2C2C2C"/>
          <w:sz w:val="21"/>
        </w:rPr>
        <w:t>incident_location — 99%+ unique values, effectively a row identifier</w:t>
      </w:r>
    </w:p>
    <w:p>
      <w:pPr>
        <w:pStyle w:val="ListBullet"/>
        <w:spacing w:before="0" w:after="40"/>
        <w:ind w:left="360" w:hanging="259"/>
      </w:pPr>
      <w:r>
        <w:rPr>
          <w:b w:val="0"/>
          <w:i w:val="0"/>
          <w:color w:val="2C2C2C"/>
          <w:sz w:val="21"/>
        </w:rPr>
        <w:t>insured_zip — high cardinality (99%+ unique), causes overfitting risk</w:t>
      </w:r>
    </w:p>
    <w:p>
      <w:pPr>
        <w:keepNext/>
        <w:spacing w:before="160" w:after="40"/>
      </w:pPr>
      <w:r>
        <w:rPr>
          <w:b/>
          <w:i w:val="0"/>
          <w:color w:val="1B3A4B"/>
          <w:sz w:val="24"/>
        </w:rPr>
        <w:t>4.3  Logical/Illogical Value Removal</w:t>
      </w:r>
    </w:p>
    <w:p>
      <w:pPr>
        <w:pStyle w:val="ListBullet"/>
        <w:spacing w:before="0" w:after="40"/>
        <w:ind w:left="360" w:hanging="259"/>
      </w:pPr>
      <w:r>
        <w:rPr>
          <w:b w:val="0"/>
          <w:i w:val="0"/>
          <w:color w:val="2C2C2C"/>
          <w:sz w:val="21"/>
        </w:rPr>
        <w:t>Rows with umbrella_limit &lt; 0 were removed (negative insurance limits are meaningless).</w:t>
      </w:r>
    </w:p>
    <w:p>
      <w:pPr>
        <w:pStyle w:val="ListBullet"/>
        <w:spacing w:before="0" w:after="40"/>
        <w:ind w:left="360" w:hanging="259"/>
      </w:pPr>
      <w:r>
        <w:rPr>
          <w:b w:val="0"/>
          <w:i w:val="0"/>
          <w:color w:val="2C2C2C"/>
          <w:sz w:val="21"/>
        </w:rPr>
        <w:t>Rows where policy_annual_premium ≥ total_claim_amount were removed (illogical financial relationship).</w:t>
      </w:r>
    </w:p>
    <w:p>
      <w:pPr>
        <w:keepNext/>
        <w:spacing w:before="160" w:after="40"/>
      </w:pPr>
      <w:r>
        <w:rPr>
          <w:b/>
          <w:i w:val="0"/>
          <w:color w:val="1B3A4B"/>
          <w:sz w:val="24"/>
        </w:rPr>
        <w:t>4.4  Data Type Corrections</w:t>
      </w:r>
    </w:p>
    <w:p>
      <w:pPr>
        <w:pStyle w:val="ListBullet"/>
        <w:spacing w:before="0" w:after="40"/>
        <w:ind w:left="360" w:hanging="259"/>
      </w:pPr>
      <w:r>
        <w:rPr>
          <w:b w:val="0"/>
          <w:i w:val="0"/>
          <w:color w:val="2C2C2C"/>
          <w:sz w:val="21"/>
        </w:rPr>
        <w:t>incident_date converted from object to datetime64.</w:t>
      </w:r>
    </w:p>
    <w:p>
      <w:pPr>
        <w:pStyle w:val="ListBullet"/>
        <w:spacing w:before="0" w:after="40"/>
        <w:ind w:left="360" w:hanging="259"/>
      </w:pPr>
      <w:r>
        <w:rPr>
          <w:b w:val="0"/>
          <w:i w:val="0"/>
          <w:color w:val="2C2C2C"/>
          <w:sz w:val="21"/>
        </w:rPr>
        <w:t>policy_bind_date converted from object to datetime64.</w:t>
      </w:r>
    </w:p>
    <w:p>
      <w:pPr>
        <w:keepNext/>
        <w:spacing w:before="160" w:after="40"/>
      </w:pPr>
      <w:r>
        <w:rPr>
          <w:b/>
          <w:i w:val="0"/>
          <w:color w:val="1B3A4B"/>
          <w:sz w:val="24"/>
        </w:rPr>
        <w:t>4.5  Final Dataset After Cleaning</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Records</w:t>
            </w:r>
          </w:p>
        </w:tc>
        <w:tc>
          <w:tcPr>
            <w:tcW w:type="dxa" w:w="6192"/>
            <w:shd w:val="clear" w:color="auto" w:fill="EEE8DD"/>
          </w:tcPr>
          <w:p>
            <w:pPr>
              <w:ind w:left="72"/>
            </w:pPr>
            <w:r>
              <w:rPr>
                <w:b w:val="0"/>
                <w:i w:val="0"/>
                <w:color w:val="2C2C2C"/>
                <w:sz w:val="20"/>
              </w:rPr>
              <w:t>998 rows (2 removed as illogical)</w:t>
            </w:r>
          </w:p>
        </w:tc>
      </w:tr>
      <w:tr>
        <w:tc>
          <w:tcPr>
            <w:tcW w:type="dxa" w:w="3168"/>
            <w:shd w:val="clear" w:color="auto" w:fill="E6DDD0"/>
          </w:tcPr>
          <w:p>
            <w:pPr>
              <w:ind w:left="72"/>
            </w:pPr>
            <w:r>
              <w:rPr>
                <w:b/>
                <w:i w:val="0"/>
                <w:color w:val="1B3A4B"/>
                <w:sz w:val="20"/>
              </w:rPr>
              <w:t>Features</w:t>
            </w:r>
          </w:p>
        </w:tc>
        <w:tc>
          <w:tcPr>
            <w:tcW w:type="dxa" w:w="6192"/>
            <w:shd w:val="clear" w:color="auto" w:fill="FFFFFF"/>
          </w:tcPr>
          <w:p>
            <w:pPr>
              <w:ind w:left="72"/>
            </w:pPr>
            <w:r>
              <w:rPr>
                <w:b w:val="0"/>
                <w:i w:val="0"/>
                <w:color w:val="2C2C2C"/>
                <w:sz w:val="20"/>
              </w:rPr>
              <w:t>36 columns (4 dropped)</w:t>
            </w:r>
          </w:p>
        </w:tc>
      </w:tr>
      <w:tr>
        <w:tc>
          <w:tcPr>
            <w:tcW w:type="dxa" w:w="3168"/>
            <w:shd w:val="clear" w:color="auto" w:fill="E6DDD0"/>
          </w:tcPr>
          <w:p>
            <w:pPr>
              <w:ind w:left="72"/>
            </w:pPr>
            <w:r>
              <w:rPr>
                <w:b/>
                <w:i w:val="0"/>
                <w:color w:val="1B3A4B"/>
                <w:sz w:val="20"/>
              </w:rPr>
              <w:t>Nulls Remaining</w:t>
            </w:r>
          </w:p>
        </w:tc>
        <w:tc>
          <w:tcPr>
            <w:tcW w:type="dxa" w:w="6192"/>
            <w:shd w:val="clear" w:color="auto" w:fill="EEE8DD"/>
          </w:tcPr>
          <w:p>
            <w:pPr>
              <w:ind w:left="72"/>
            </w:pPr>
            <w:r>
              <w:rPr>
                <w:b w:val="0"/>
                <w:i w:val="0"/>
                <w:color w:val="2C2C2C"/>
                <w:sz w:val="20"/>
              </w:rPr>
              <w:t>0 — all handled</w:t>
            </w:r>
          </w:p>
        </w:tc>
      </w:tr>
    </w:tbl>
    <w:p/>
    <w:p>
      <w:pPr>
        <w:pBdr>
          <w:bottom w:val="single" w:sz="4" w:space="1" w:color="D4C4A8"/>
        </w:pBdr>
        <w:spacing w:before="80" w:after="80"/>
      </w:pPr>
    </w:p>
    <w:p>
      <w:pPr>
        <w:keepNext/>
        <w:spacing w:before="280" w:after="80"/>
        <w:pBdr>
          <w:left w:val="thick" w:sz="24" w:space="6" w:color="C9A456"/>
        </w:pBdr>
      </w:pPr>
      <w:r>
        <w:rPr>
          <w:b/>
          <w:i w:val="0"/>
          <w:color w:val="1B3A4B"/>
          <w:sz w:val="28"/>
        </w:rPr>
        <w:t>5. TRAIN-VALIDATION SPLIT &amp; CLASS BALANCE</w:t>
      </w:r>
    </w:p>
    <w:p>
      <w:pPr>
        <w:spacing w:before="0" w:after="80"/>
      </w:pPr>
      <w:r>
        <w:rPr>
          <w:b w:val="0"/>
          <w:i w:val="0"/>
          <w:color w:val="2C2C2C"/>
          <w:sz w:val="21"/>
        </w:rPr>
        <w:t>To ensure unbiased model evaluation, the cleaned dataset was split into a 70% training set and a 30% validation set using stratified sampling on the target variable.</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Training Set</w:t>
            </w:r>
          </w:p>
        </w:tc>
        <w:tc>
          <w:tcPr>
            <w:tcW w:type="dxa" w:w="6192"/>
            <w:shd w:val="clear" w:color="auto" w:fill="EEE8DD"/>
          </w:tcPr>
          <w:p>
            <w:pPr>
              <w:ind w:left="72"/>
            </w:pPr>
            <w:r>
              <w:rPr>
                <w:b w:val="0"/>
                <w:i w:val="0"/>
                <w:color w:val="2C2C2C"/>
                <w:sz w:val="20"/>
              </w:rPr>
              <w:t>698 rows (stratified)</w:t>
            </w:r>
          </w:p>
        </w:tc>
      </w:tr>
      <w:tr>
        <w:tc>
          <w:tcPr>
            <w:tcW w:type="dxa" w:w="3168"/>
            <w:shd w:val="clear" w:color="auto" w:fill="E6DDD0"/>
          </w:tcPr>
          <w:p>
            <w:pPr>
              <w:ind w:left="72"/>
            </w:pPr>
            <w:r>
              <w:rPr>
                <w:b/>
                <w:i w:val="0"/>
                <w:color w:val="1B3A4B"/>
                <w:sz w:val="20"/>
              </w:rPr>
              <w:t>Validation Set</w:t>
            </w:r>
          </w:p>
        </w:tc>
        <w:tc>
          <w:tcPr>
            <w:tcW w:type="dxa" w:w="6192"/>
            <w:shd w:val="clear" w:color="auto" w:fill="FFFFFF"/>
          </w:tcPr>
          <w:p>
            <w:pPr>
              <w:ind w:left="72"/>
            </w:pPr>
            <w:r>
              <w:rPr>
                <w:b w:val="0"/>
                <w:i w:val="0"/>
                <w:color w:val="2C2C2C"/>
                <w:sz w:val="20"/>
              </w:rPr>
              <w:t>299 rows (stratified)</w:t>
            </w:r>
          </w:p>
        </w:tc>
      </w:tr>
      <w:tr>
        <w:tc>
          <w:tcPr>
            <w:tcW w:type="dxa" w:w="3168"/>
            <w:shd w:val="clear" w:color="auto" w:fill="E6DDD0"/>
          </w:tcPr>
          <w:p>
            <w:pPr>
              <w:ind w:left="72"/>
            </w:pPr>
            <w:r>
              <w:rPr>
                <w:b/>
                <w:i w:val="0"/>
                <w:color w:val="1B3A4B"/>
                <w:sz w:val="20"/>
              </w:rPr>
              <w:t>Stratification</w:t>
            </w:r>
          </w:p>
        </w:tc>
        <w:tc>
          <w:tcPr>
            <w:tcW w:type="dxa" w:w="6192"/>
            <w:shd w:val="clear" w:color="auto" w:fill="EEE8DD"/>
          </w:tcPr>
          <w:p>
            <w:pPr>
              <w:ind w:left="72"/>
            </w:pPr>
            <w:r>
              <w:rPr>
                <w:b w:val="0"/>
                <w:i w:val="0"/>
                <w:color w:val="2C2C2C"/>
                <w:sz w:val="20"/>
              </w:rPr>
              <w:t>On fraud_reported to preserve class proportions in both sets</w:t>
            </w:r>
          </w:p>
        </w:tc>
      </w:tr>
      <w:tr>
        <w:tc>
          <w:tcPr>
            <w:tcW w:type="dxa" w:w="3168"/>
            <w:shd w:val="clear" w:color="auto" w:fill="E6DDD0"/>
          </w:tcPr>
          <w:p>
            <w:pPr>
              <w:ind w:left="72"/>
            </w:pPr>
            <w:r>
              <w:rPr>
                <w:b/>
                <w:i w:val="0"/>
                <w:color w:val="1B3A4B"/>
                <w:sz w:val="20"/>
              </w:rPr>
              <w:t>Random State</w:t>
            </w:r>
          </w:p>
        </w:tc>
        <w:tc>
          <w:tcPr>
            <w:tcW w:type="dxa" w:w="6192"/>
            <w:shd w:val="clear" w:color="auto" w:fill="FFFFFF"/>
          </w:tcPr>
          <w:p>
            <w:pPr>
              <w:ind w:left="72"/>
            </w:pPr>
            <w:r>
              <w:rPr>
                <w:b w:val="0"/>
                <w:i w:val="0"/>
                <w:color w:val="2C2C2C"/>
                <w:sz w:val="20"/>
              </w:rPr>
              <w:t>42 (reproducible split)</w:t>
            </w:r>
          </w:p>
        </w:tc>
      </w:tr>
    </w:tbl>
    <w:p/>
    <w:p>
      <w:pPr>
        <w:keepNext/>
        <w:spacing w:before="160" w:after="40"/>
      </w:pPr>
      <w:r>
        <w:rPr>
          <w:b/>
          <w:i w:val="0"/>
          <w:color w:val="1B3A4B"/>
          <w:sz w:val="24"/>
        </w:rPr>
        <w:t>Handling Class Imbalance</w:t>
      </w:r>
    </w:p>
    <w:p>
      <w:pPr>
        <w:spacing w:before="0" w:after="80"/>
      </w:pPr>
      <w:r>
        <w:rPr>
          <w:b w:val="0"/>
          <w:i w:val="0"/>
          <w:color w:val="2C2C2C"/>
          <w:sz w:val="21"/>
        </w:rPr>
        <w:t>The training set exhibited a ~75:25 imbalance (Legitimate:Fraud). To prevent the model from learning a bias towards the majority class, RandomOverSampler was applied exclusively to the training data:</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Original Training</w:t>
            </w:r>
          </w:p>
        </w:tc>
        <w:tc>
          <w:tcPr>
            <w:tcW w:type="dxa" w:w="6192"/>
            <w:shd w:val="clear" w:color="auto" w:fill="EEE8DD"/>
          </w:tcPr>
          <w:p>
            <w:pPr>
              <w:ind w:left="72"/>
            </w:pPr>
            <w:r>
              <w:rPr>
                <w:b w:val="0"/>
                <w:i w:val="0"/>
                <w:color w:val="2C2C2C"/>
                <w:sz w:val="20"/>
              </w:rPr>
              <w:t>698 rows (~525 Legit, ~173 Fraud)</w:t>
            </w:r>
          </w:p>
        </w:tc>
      </w:tr>
      <w:tr>
        <w:tc>
          <w:tcPr>
            <w:tcW w:type="dxa" w:w="3168"/>
            <w:shd w:val="clear" w:color="auto" w:fill="E6DDD0"/>
          </w:tcPr>
          <w:p>
            <w:pPr>
              <w:ind w:left="72"/>
            </w:pPr>
            <w:r>
              <w:rPr>
                <w:b/>
                <w:i w:val="0"/>
                <w:color w:val="1B3A4B"/>
                <w:sz w:val="20"/>
              </w:rPr>
              <w:t>After Oversampling</w:t>
            </w:r>
          </w:p>
        </w:tc>
        <w:tc>
          <w:tcPr>
            <w:tcW w:type="dxa" w:w="6192"/>
            <w:shd w:val="clear" w:color="auto" w:fill="FFFFFF"/>
          </w:tcPr>
          <w:p>
            <w:pPr>
              <w:ind w:left="72"/>
            </w:pPr>
            <w:r>
              <w:rPr>
                <w:b w:val="0"/>
                <w:i w:val="0"/>
                <w:color w:val="2C2C2C"/>
                <w:sz w:val="20"/>
              </w:rPr>
              <w:t>1,050 rows (balanced)</w:t>
            </w:r>
          </w:p>
        </w:tc>
      </w:tr>
      <w:tr>
        <w:tc>
          <w:tcPr>
            <w:tcW w:type="dxa" w:w="3168"/>
            <w:shd w:val="clear" w:color="auto" w:fill="E6DDD0"/>
          </w:tcPr>
          <w:p>
            <w:pPr>
              <w:ind w:left="72"/>
            </w:pPr>
            <w:r>
              <w:rPr>
                <w:b/>
                <w:i w:val="0"/>
                <w:color w:val="1B3A4B"/>
                <w:sz w:val="20"/>
              </w:rPr>
              <w:t>Method</w:t>
            </w:r>
          </w:p>
        </w:tc>
        <w:tc>
          <w:tcPr>
            <w:tcW w:type="dxa" w:w="6192"/>
            <w:shd w:val="clear" w:color="auto" w:fill="EEE8DD"/>
          </w:tcPr>
          <w:p>
            <w:pPr>
              <w:ind w:left="72"/>
            </w:pPr>
            <w:r>
              <w:rPr>
                <w:b w:val="0"/>
                <w:i w:val="0"/>
                <w:color w:val="2C2C2C"/>
                <w:sz w:val="20"/>
              </w:rPr>
              <w:t>RandomOverSampler — duplicates minority class samples with replacement</w:t>
            </w:r>
          </w:p>
        </w:tc>
      </w:tr>
      <w:tr>
        <w:tc>
          <w:tcPr>
            <w:tcW w:type="dxa" w:w="3168"/>
            <w:shd w:val="clear" w:color="auto" w:fill="E6DDD0"/>
          </w:tcPr>
          <w:p>
            <w:pPr>
              <w:ind w:left="72"/>
            </w:pPr>
            <w:r>
              <w:rPr>
                <w:b/>
                <w:i w:val="0"/>
                <w:color w:val="1B3A4B"/>
                <w:sz w:val="20"/>
              </w:rPr>
              <w:t>Validation Set</w:t>
            </w:r>
          </w:p>
        </w:tc>
        <w:tc>
          <w:tcPr>
            <w:tcW w:type="dxa" w:w="6192"/>
            <w:shd w:val="clear" w:color="auto" w:fill="FFFFFF"/>
          </w:tcPr>
          <w:p>
            <w:pPr>
              <w:ind w:left="72"/>
            </w:pPr>
            <w:r>
              <w:rPr>
                <w:b w:val="0"/>
                <w:i w:val="0"/>
                <w:color w:val="2C2C2C"/>
                <w:sz w:val="20"/>
              </w:rPr>
              <w:t>Untouched — preserves real-world imbalance for honest evaluation</w:t>
            </w:r>
          </w:p>
        </w:tc>
      </w:tr>
    </w:tbl>
    <w:p/>
    <w:tbl>
      <w:tblPr>
        <w:tblW w:type="auto" w:w="0"/>
        <w:jc w:val="center"/>
        <w:tblLook w:firstColumn="1" w:firstRow="1" w:lastColumn="0" w:lastRow="0" w:noHBand="0" w:noVBand="1" w:val="04A0"/>
      </w:tblPr>
      <w:tblGrid>
        <w:gridCol w:w="9360"/>
      </w:tblGrid>
      <w:tr>
        <w:tc>
          <w:tcPr>
            <w:tcW w:type="dxa" w:w="9360"/>
            <w:shd w:val="clear" w:color="auto" w:fill="F0EBE1"/>
            <w:tcBorders>
              <w:top w:val="single" w:sz="6" w:space="0" w:color="C9A456"/>
              <w:bottom w:val="single" w:sz="6" w:space="0" w:color="C9A456"/>
              <w:left w:val="single" w:sz="6" w:space="0" w:color="C9A456"/>
              <w:right w:val="single" w:sz="6" w:space="0" w:color="C9A456"/>
            </w:tcBorders>
          </w:tcPr>
          <w:p>
            <w:pPr>
              <w:spacing w:before="80" w:after="80"/>
              <w:ind w:left="144"/>
              <w:jc w:val="left"/>
            </w:pPr>
            <w:r>
              <w:rPr>
                <w:b w:val="0"/>
                <w:i/>
                <w:color w:val="2C2C2C"/>
                <w:sz w:val="21"/>
              </w:rPr>
              <w:t>Important: Oversampling was applied only to training data. The validation set retains the original class distribution to ensure performance metrics reflect real-world conditions.</w:t>
            </w:r>
          </w:p>
        </w:tc>
      </w:tr>
    </w:tbl>
    <w:p/>
    <w:p>
      <w:pPr>
        <w:pBdr>
          <w:bottom w:val="single" w:sz="4" w:space="1" w:color="D4C4A8"/>
        </w:pBdr>
        <w:spacing w:before="80" w:after="80"/>
      </w:pPr>
    </w:p>
    <w:p>
      <w:pPr>
        <w:keepNext/>
        <w:spacing w:before="280" w:after="80"/>
        <w:pBdr>
          <w:left w:val="thick" w:sz="24" w:space="6" w:color="C9A456"/>
        </w:pBdr>
      </w:pPr>
      <w:r>
        <w:rPr>
          <w:b/>
          <w:i w:val="0"/>
          <w:color w:val="1B3A4B"/>
          <w:sz w:val="28"/>
        </w:rPr>
        <w:t>6. EXPLORATORY DATA ANALYSIS</w:t>
      </w:r>
    </w:p>
    <w:p>
      <w:pPr>
        <w:keepNext/>
        <w:spacing w:before="160" w:after="40"/>
      </w:pPr>
      <w:r>
        <w:rPr>
          <w:b/>
          <w:i w:val="0"/>
          <w:color w:val="1B3A4B"/>
          <w:sz w:val="24"/>
        </w:rPr>
        <w:t>6.1  Distribution of Numerical Features</w:t>
      </w:r>
    </w:p>
    <w:p>
      <w:pPr>
        <w:spacing w:before="0" w:after="80"/>
      </w:pPr>
      <w:r>
        <w:rPr>
          <w:b w:val="0"/>
          <w:i w:val="0"/>
          <w:color w:val="2C2C2C"/>
          <w:sz w:val="21"/>
        </w:rPr>
        <w:t>Numerical features were analysed for distributional shape, skewness, and outliers. Key observations:</w:t>
      </w:r>
    </w:p>
    <w:p>
      <w:pPr>
        <w:pStyle w:val="ListBullet"/>
        <w:spacing w:before="0" w:after="40"/>
        <w:ind w:left="360" w:hanging="259"/>
      </w:pPr>
      <w:r>
        <w:rPr>
          <w:b w:val="0"/>
          <w:i w:val="0"/>
          <w:color w:val="2C2C2C"/>
          <w:sz w:val="21"/>
        </w:rPr>
        <w:t>umbrella_limit: Highly right-skewed — the majority of policyholders do not opt for umbrella coverage. Log transformation did not improve predictive value; feature was dropped.</w:t>
      </w:r>
    </w:p>
    <w:p>
      <w:pPr>
        <w:pStyle w:val="ListBullet"/>
        <w:spacing w:before="0" w:after="40"/>
        <w:ind w:left="360" w:hanging="259"/>
      </w:pPr>
      <w:r>
        <w:rPr>
          <w:b w:val="0"/>
          <w:i w:val="0"/>
          <w:color w:val="2C2C2C"/>
          <w:sz w:val="21"/>
        </w:rPr>
        <w:t>total_claim_amount &amp; vehicle_claim: Bimodal distribution — one cluster of low-value trivial claims, and a second broader cluster of genuine mid-to-high value claims.</w:t>
      </w:r>
    </w:p>
    <w:p>
      <w:pPr>
        <w:pStyle w:val="ListBullet"/>
        <w:spacing w:before="0" w:after="40"/>
        <w:ind w:left="360" w:hanging="259"/>
      </w:pPr>
      <w:r>
        <w:rPr>
          <w:b w:val="0"/>
          <w:i w:val="0"/>
          <w:color w:val="2C2C2C"/>
          <w:sz w:val="21"/>
        </w:rPr>
        <w:t>incident_hour_of_the_day: Fraud incidents peak at hour 13 (afternoon) vs hour 11 for legitimate incidents.</w:t>
      </w:r>
    </w:p>
    <w:p>
      <w:pPr>
        <w:pStyle w:val="ListBullet"/>
        <w:spacing w:before="0" w:after="40"/>
        <w:ind w:left="360" w:hanging="259"/>
      </w:pPr>
      <w:r>
        <w:rPr>
          <w:b w:val="0"/>
          <w:i w:val="0"/>
          <w:color w:val="2C2C2C"/>
          <w:sz w:val="21"/>
        </w:rPr>
        <w:t>capital_loss: Over 50% of fraud cases show capital_loss = 0, suggesting fraudsters tend not to be financially distressed investors.</w:t>
      </w:r>
    </w:p>
    <w:p>
      <w:pPr>
        <w:keepNext/>
        <w:spacing w:before="160" w:after="40"/>
      </w:pPr>
      <w:r>
        <w:rPr>
          <w:b/>
          <w:i w:val="0"/>
          <w:color w:val="1B3A4B"/>
          <w:sz w:val="24"/>
        </w:rPr>
        <w:t>6.2  Correlation Analysis</w:t>
      </w:r>
    </w:p>
    <w:p>
      <w:pPr>
        <w:spacing w:before="0" w:after="80"/>
      </w:pPr>
      <w:r>
        <w:rPr>
          <w:b w:val="0"/>
          <w:i w:val="0"/>
          <w:color w:val="2C2C2C"/>
          <w:sz w:val="21"/>
        </w:rPr>
        <w:t>A lower-triangle correlation heatmap was computed for all numerical features. Key findings:</w:t>
      </w:r>
    </w:p>
    <w:p>
      <w:pPr>
        <w:pStyle w:val="ListBullet"/>
        <w:spacing w:before="0" w:after="40"/>
        <w:ind w:left="360" w:hanging="259"/>
      </w:pPr>
      <w:r>
        <w:rPr>
          <w:b w:val="0"/>
          <w:i w:val="0"/>
          <w:color w:val="2C2C2C"/>
          <w:sz w:val="21"/>
        </w:rPr>
        <w:t>Strong collinearity cluster: total_claim_amount, vehicle_claim, injury_claim, and property_claim are highly inter-correlated (r &gt; 0.7). These were consolidated into a single engineered feature (claim_to_premium_ratio).</w:t>
      </w:r>
    </w:p>
    <w:p>
      <w:pPr>
        <w:pStyle w:val="ListBullet"/>
        <w:spacing w:before="0" w:after="40"/>
        <w:ind w:left="360" w:hanging="259"/>
      </w:pPr>
      <w:r>
        <w:rPr>
          <w:b w:val="0"/>
          <w:i w:val="0"/>
          <w:color w:val="2C2C2C"/>
          <w:sz w:val="21"/>
        </w:rPr>
        <w:t>age and months_as_customer are highly correlated (r ≈ 0.88) — age was dropped to avoid redundancy.</w:t>
      </w:r>
    </w:p>
    <w:p>
      <w:pPr>
        <w:pStyle w:val="ListBullet"/>
        <w:spacing w:before="0" w:after="40"/>
        <w:ind w:left="360" w:hanging="259"/>
      </w:pPr>
      <w:r>
        <w:rPr>
          <w:b w:val="0"/>
          <w:i w:val="0"/>
          <w:color w:val="2C2C2C"/>
          <w:sz w:val="21"/>
        </w:rPr>
        <w:t>fraud_bin shows highest correlation with vehicle_claim (positive) and incident_severity-derived features.</w:t>
      </w:r>
    </w:p>
    <w:p>
      <w:pPr>
        <w:keepNext/>
        <w:spacing w:before="160" w:after="40"/>
      </w:pPr>
      <w:r>
        <w:rPr>
          <w:b/>
          <w:i w:val="0"/>
          <w:color w:val="1B3A4B"/>
          <w:sz w:val="24"/>
        </w:rPr>
        <w:t>6.3  Class Balance Check</w:t>
      </w:r>
    </w:p>
    <w:p>
      <w:pPr>
        <w:spacing w:before="0" w:after="80"/>
      </w:pPr>
      <w:r>
        <w:rPr>
          <w:b w:val="0"/>
          <w:i w:val="0"/>
          <w:color w:val="2C2C2C"/>
          <w:sz w:val="21"/>
        </w:rPr>
        <w:t>The training set showed ~25% fraudulent claims. After RandomOverSampler, the training set was balanced to 50/50, while the validation set retained the original ~25% fraud proportion.</w:t>
      </w:r>
    </w:p>
    <w:p>
      <w:pPr>
        <w:keepNext/>
        <w:spacing w:before="160" w:after="40"/>
      </w:pPr>
      <w:r>
        <w:rPr>
          <w:b/>
          <w:i w:val="0"/>
          <w:color w:val="1B3A4B"/>
          <w:sz w:val="24"/>
        </w:rPr>
        <w:t>6.4  Bivariate Analysis — Categorical Features</w:t>
      </w:r>
    </w:p>
    <w:p>
      <w:pPr>
        <w:spacing w:before="120" w:after="40"/>
      </w:pPr>
      <w:r>
        <w:rPr>
          <w:b/>
          <w:i w:val="0"/>
          <w:color w:val="4472A8"/>
          <w:sz w:val="22"/>
        </w:rPr>
        <w:t>6.4.1  Fraud Rate by Hobby</w:t>
      </w:r>
    </w:p>
    <w:p>
      <w:pPr>
        <w:spacing w:before="0" w:after="80"/>
      </w:pPr>
      <w:r>
        <w:rPr>
          <w:b w:val="0"/>
          <w:i w:val="0"/>
          <w:color w:val="2C2C2C"/>
          <w:sz w:val="21"/>
        </w:rPr>
        <w:t>Hobby is the most discriminating categorical feature. Policyholders reporting chess or cross-fit as hobbies show a fraud rate of approximately 80% — nearly 3× the dataset average.</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chess</w:t>
            </w:r>
          </w:p>
        </w:tc>
        <w:tc>
          <w:tcPr>
            <w:tcW w:type="dxa" w:w="6192"/>
            <w:shd w:val="clear" w:color="auto" w:fill="EEE8DD"/>
          </w:tcPr>
          <w:p>
            <w:pPr>
              <w:ind w:left="72"/>
            </w:pPr>
            <w:r>
              <w:rPr>
                <w:b w:val="0"/>
                <w:i w:val="0"/>
                <w:color w:val="2C2C2C"/>
                <w:sz w:val="20"/>
              </w:rPr>
              <w:t>~80% fraud rate — highest risk hobby</w:t>
            </w:r>
          </w:p>
        </w:tc>
      </w:tr>
      <w:tr>
        <w:tc>
          <w:tcPr>
            <w:tcW w:type="dxa" w:w="3168"/>
            <w:shd w:val="clear" w:color="auto" w:fill="E6DDD0"/>
          </w:tcPr>
          <w:p>
            <w:pPr>
              <w:ind w:left="72"/>
            </w:pPr>
            <w:r>
              <w:rPr>
                <w:b/>
                <w:i w:val="0"/>
                <w:color w:val="1B3A4B"/>
                <w:sz w:val="20"/>
              </w:rPr>
              <w:t>cross-fit</w:t>
            </w:r>
          </w:p>
        </w:tc>
        <w:tc>
          <w:tcPr>
            <w:tcW w:type="dxa" w:w="6192"/>
            <w:shd w:val="clear" w:color="auto" w:fill="FFFFFF"/>
          </w:tcPr>
          <w:p>
            <w:pPr>
              <w:ind w:left="72"/>
            </w:pPr>
            <w:r>
              <w:rPr>
                <w:b w:val="0"/>
                <w:i w:val="0"/>
                <w:color w:val="2C2C2C"/>
                <w:sz w:val="20"/>
              </w:rPr>
              <w:t>~78% fraud rate — second highest</w:t>
            </w:r>
          </w:p>
        </w:tc>
      </w:tr>
      <w:tr>
        <w:tc>
          <w:tcPr>
            <w:tcW w:type="dxa" w:w="3168"/>
            <w:shd w:val="clear" w:color="auto" w:fill="E6DDD0"/>
          </w:tcPr>
          <w:p>
            <w:pPr>
              <w:ind w:left="72"/>
            </w:pPr>
            <w:r>
              <w:rPr>
                <w:b/>
                <w:i w:val="0"/>
                <w:color w:val="1B3A4B"/>
                <w:sz w:val="20"/>
              </w:rPr>
              <w:t>Average</w:t>
            </w:r>
          </w:p>
        </w:tc>
        <w:tc>
          <w:tcPr>
            <w:tcW w:type="dxa" w:w="6192"/>
            <w:shd w:val="clear" w:color="auto" w:fill="EEE8DD"/>
          </w:tcPr>
          <w:p>
            <w:pPr>
              <w:ind w:left="72"/>
            </w:pPr>
            <w:r>
              <w:rPr>
                <w:b w:val="0"/>
                <w:i w:val="0"/>
                <w:color w:val="2C2C2C"/>
                <w:sz w:val="20"/>
              </w:rPr>
              <w:t>~25% across all hobbies</w:t>
            </w:r>
          </w:p>
        </w:tc>
      </w:tr>
      <w:tr>
        <w:tc>
          <w:tcPr>
            <w:tcW w:type="dxa" w:w="3168"/>
            <w:shd w:val="clear" w:color="auto" w:fill="E6DDD0"/>
          </w:tcPr>
          <w:p>
            <w:pPr>
              <w:ind w:left="72"/>
            </w:pPr>
            <w:r>
              <w:rPr>
                <w:b/>
                <w:i w:val="0"/>
                <w:color w:val="1B3A4B"/>
                <w:sz w:val="20"/>
              </w:rPr>
              <w:t>Implication</w:t>
            </w:r>
          </w:p>
        </w:tc>
        <w:tc>
          <w:tcPr>
            <w:tcW w:type="dxa" w:w="6192"/>
            <w:shd w:val="clear" w:color="auto" w:fill="FFFFFF"/>
          </w:tcPr>
          <w:p>
            <w:pPr>
              <w:ind w:left="72"/>
            </w:pPr>
            <w:r>
              <w:rPr>
                <w:b w:val="0"/>
                <w:i w:val="0"/>
                <w:color w:val="2C2C2C"/>
                <w:sz w:val="20"/>
              </w:rPr>
              <w:t>Incorporate hobby risk-scoring at policy issuance stage</w:t>
            </w:r>
          </w:p>
        </w:tc>
      </w:tr>
    </w:tbl>
    <w:p/>
    <w:p>
      <w:pPr>
        <w:spacing w:before="120" w:after="40"/>
      </w:pPr>
      <w:r>
        <w:rPr>
          <w:b/>
          <w:i w:val="0"/>
          <w:color w:val="4472A8"/>
          <w:sz w:val="22"/>
        </w:rPr>
        <w:t>6.4.2  Fraud Rate by Occupation</w:t>
      </w:r>
    </w:p>
    <w:p>
      <w:pPr>
        <w:pStyle w:val="ListBullet"/>
        <w:spacing w:before="0" w:after="40"/>
        <w:ind w:left="360" w:hanging="259"/>
      </w:pPr>
      <w:r>
        <w:rPr>
          <w:b w:val="0"/>
          <w:i w:val="0"/>
          <w:color w:val="2C2C2C"/>
          <w:sz w:val="21"/>
        </w:rPr>
        <w:t>exec-managerial: Elevated fraud rate — highest among all occupations.</w:t>
      </w:r>
    </w:p>
    <w:p>
      <w:pPr>
        <w:pStyle w:val="ListBullet"/>
        <w:spacing w:before="0" w:after="40"/>
        <w:ind w:left="360" w:hanging="259"/>
      </w:pPr>
      <w:r>
        <w:rPr>
          <w:b w:val="0"/>
          <w:i w:val="0"/>
          <w:color w:val="2C2C2C"/>
          <w:sz w:val="21"/>
        </w:rPr>
        <w:t>transport-moving combined with high education (MD/Masters/PhD): ~45% fraud rate.</w:t>
      </w:r>
    </w:p>
    <w:p>
      <w:pPr>
        <w:pStyle w:val="ListBullet"/>
        <w:spacing w:before="0" w:after="40"/>
        <w:ind w:left="360" w:hanging="259"/>
      </w:pPr>
      <w:r>
        <w:rPr>
          <w:b w:val="0"/>
          <w:i w:val="0"/>
          <w:color w:val="2C2C2C"/>
          <w:sz w:val="21"/>
        </w:rPr>
        <w:t>Highly educated policyholders (Masters, PhD, MD) collectively over-represent fraud cases, suggesting more sophisticated scheme execution.</w:t>
      </w:r>
    </w:p>
    <w:p>
      <w:pPr>
        <w:spacing w:before="120" w:after="40"/>
      </w:pPr>
      <w:r>
        <w:rPr>
          <w:b/>
          <w:i w:val="0"/>
          <w:color w:val="4472A8"/>
          <w:sz w:val="22"/>
        </w:rPr>
        <w:t>6.4.3  Incident Severity — The Severity Paradox</w:t>
      </w:r>
    </w:p>
    <w:p>
      <w:pPr>
        <w:spacing w:before="0" w:after="80"/>
      </w:pPr>
      <w:r>
        <w:rPr>
          <w:b w:val="0"/>
          <w:i w:val="0"/>
          <w:color w:val="2C2C2C"/>
          <w:sz w:val="21"/>
        </w:rPr>
        <w:t>Counter-intuitively, incidents classified as 'Major Damage' have the highest fraud rate, while 'Minor Damage', 'Trivial Damage', and 'Total Loss' incidents are less fraudulent. This paradox suggests that fraudsters deliberately stage moderate-severity incidents — serious enough to justify a large claim, but not extreme enough to trigger heightened scrutiny.</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Major Damage</w:t>
            </w:r>
          </w:p>
        </w:tc>
        <w:tc>
          <w:tcPr>
            <w:tcW w:type="dxa" w:w="6192"/>
            <w:shd w:val="clear" w:color="auto" w:fill="EEE8DD"/>
          </w:tcPr>
          <w:p>
            <w:pPr>
              <w:ind w:left="72"/>
            </w:pPr>
            <w:r>
              <w:rPr>
                <w:b w:val="0"/>
                <w:i w:val="0"/>
                <w:color w:val="2C2C2C"/>
                <w:sz w:val="20"/>
              </w:rPr>
              <w:t>Highest fraud % — staged moderate incidents</w:t>
            </w:r>
          </w:p>
        </w:tc>
      </w:tr>
      <w:tr>
        <w:tc>
          <w:tcPr>
            <w:tcW w:type="dxa" w:w="3168"/>
            <w:shd w:val="clear" w:color="auto" w:fill="E6DDD0"/>
          </w:tcPr>
          <w:p>
            <w:pPr>
              <w:ind w:left="72"/>
            </w:pPr>
            <w:r>
              <w:rPr>
                <w:b/>
                <w:i w:val="0"/>
                <w:color w:val="1B3A4B"/>
                <w:sz w:val="20"/>
              </w:rPr>
              <w:t>Total Loss</w:t>
            </w:r>
          </w:p>
        </w:tc>
        <w:tc>
          <w:tcPr>
            <w:tcW w:type="dxa" w:w="6192"/>
            <w:shd w:val="clear" w:color="auto" w:fill="FFFFFF"/>
          </w:tcPr>
          <w:p>
            <w:pPr>
              <w:ind w:left="72"/>
            </w:pPr>
            <w:r>
              <w:rPr>
                <w:b w:val="0"/>
                <w:i w:val="0"/>
                <w:color w:val="2C2C2C"/>
                <w:sz w:val="20"/>
              </w:rPr>
              <w:t>Lower fraud % — harder to fake total destruction</w:t>
            </w:r>
          </w:p>
        </w:tc>
      </w:tr>
      <w:tr>
        <w:tc>
          <w:tcPr>
            <w:tcW w:type="dxa" w:w="3168"/>
            <w:shd w:val="clear" w:color="auto" w:fill="E6DDD0"/>
          </w:tcPr>
          <w:p>
            <w:pPr>
              <w:ind w:left="72"/>
            </w:pPr>
            <w:r>
              <w:rPr>
                <w:b/>
                <w:i w:val="0"/>
                <w:color w:val="1B3A4B"/>
                <w:sz w:val="20"/>
              </w:rPr>
              <w:t>Minor Damage</w:t>
            </w:r>
          </w:p>
        </w:tc>
        <w:tc>
          <w:tcPr>
            <w:tcW w:type="dxa" w:w="6192"/>
            <w:shd w:val="clear" w:color="auto" w:fill="EEE8DD"/>
          </w:tcPr>
          <w:p>
            <w:pPr>
              <w:ind w:left="72"/>
            </w:pPr>
            <w:r>
              <w:rPr>
                <w:b w:val="0"/>
                <w:i w:val="0"/>
                <w:color w:val="2C2C2C"/>
                <w:sz w:val="20"/>
              </w:rPr>
              <w:t>Lower fraud % — too small a payout to justify risk</w:t>
            </w:r>
          </w:p>
        </w:tc>
      </w:tr>
      <w:tr>
        <w:tc>
          <w:tcPr>
            <w:tcW w:type="dxa" w:w="3168"/>
            <w:shd w:val="clear" w:color="auto" w:fill="E6DDD0"/>
          </w:tcPr>
          <w:p>
            <w:pPr>
              <w:ind w:left="72"/>
            </w:pPr>
            <w:r>
              <w:rPr>
                <w:b/>
                <w:i w:val="0"/>
                <w:color w:val="1B3A4B"/>
                <w:sz w:val="20"/>
              </w:rPr>
              <w:t>Trivial Damage</w:t>
            </w:r>
          </w:p>
        </w:tc>
        <w:tc>
          <w:tcPr>
            <w:tcW w:type="dxa" w:w="6192"/>
            <w:shd w:val="clear" w:color="auto" w:fill="FFFFFF"/>
          </w:tcPr>
          <w:p>
            <w:pPr>
              <w:ind w:left="72"/>
            </w:pPr>
            <w:r>
              <w:rPr>
                <w:b w:val="0"/>
                <w:i w:val="0"/>
                <w:color w:val="2C2C2C"/>
                <w:sz w:val="20"/>
              </w:rPr>
              <w:t>Lowest fraud % — minimal claim value</w:t>
            </w:r>
          </w:p>
        </w:tc>
      </w:tr>
    </w:tbl>
    <w:p/>
    <w:p>
      <w:pPr>
        <w:spacing w:before="120" w:after="40"/>
      </w:pPr>
      <w:r>
        <w:rPr>
          <w:b/>
          <w:i w:val="0"/>
          <w:color w:val="4472A8"/>
          <w:sz w:val="22"/>
        </w:rPr>
        <w:t>6.4.4  Geographic Distribution</w:t>
      </w:r>
    </w:p>
    <w:p>
      <w:pPr>
        <w:pStyle w:val="ListBullet"/>
        <w:spacing w:before="0" w:after="40"/>
        <w:ind w:left="360" w:hanging="259"/>
      </w:pPr>
      <w:r>
        <w:rPr>
          <w:b w:val="0"/>
          <w:i w:val="0"/>
          <w:color w:val="2C2C2C"/>
          <w:sz w:val="21"/>
        </w:rPr>
        <w:t>Ohio (OH) and Pennsylvania (PA): Statistically elevated fraud rates above 30%.</w:t>
      </w:r>
    </w:p>
    <w:p>
      <w:pPr>
        <w:pStyle w:val="ListBullet"/>
        <w:spacing w:before="0" w:after="40"/>
        <w:ind w:left="360" w:hanging="259"/>
      </w:pPr>
      <w:r>
        <w:rPr>
          <w:b w:val="0"/>
          <w:i w:val="0"/>
          <w:color w:val="2C2C2C"/>
          <w:sz w:val="21"/>
        </w:rPr>
        <w:t>West Virginia (WV): Below-average fraud rate — lower-risk region.</w:t>
      </w:r>
    </w:p>
    <w:p>
      <w:pPr>
        <w:pStyle w:val="ListBullet"/>
        <w:spacing w:before="0" w:after="40"/>
        <w:ind w:left="360" w:hanging="259"/>
      </w:pPr>
      <w:r>
        <w:rPr>
          <w:b w:val="0"/>
          <w:i w:val="0"/>
          <w:color w:val="2C2C2C"/>
          <w:sz w:val="21"/>
        </w:rPr>
        <w:t>Fraud concentration suggests organised regional fraud networks rather than individual opportunism.</w:t>
      </w:r>
    </w:p>
    <w:p>
      <w:pPr>
        <w:spacing w:before="120" w:after="40"/>
      </w:pPr>
      <w:r>
        <w:rPr>
          <w:b/>
          <w:i w:val="0"/>
          <w:color w:val="4472A8"/>
          <w:sz w:val="22"/>
        </w:rPr>
        <w:t>6.4.5  Documentation Patterns</w:t>
      </w:r>
    </w:p>
    <w:p>
      <w:pPr>
        <w:pStyle w:val="ListBullet"/>
        <w:spacing w:before="0" w:after="40"/>
        <w:ind w:left="360" w:hanging="259"/>
      </w:pPr>
      <w:r>
        <w:rPr>
          <w:b w:val="0"/>
          <w:i w:val="0"/>
          <w:color w:val="2C2C2C"/>
          <w:sz w:val="21"/>
        </w:rPr>
        <w:t>Police report NOT available: Strongly associated with fraud — fraudsters avoid official documentation.</w:t>
      </w:r>
    </w:p>
    <w:p>
      <w:pPr>
        <w:pStyle w:val="ListBullet"/>
        <w:spacing w:before="0" w:after="40"/>
        <w:ind w:left="360" w:hanging="259"/>
      </w:pPr>
      <w:r>
        <w:rPr>
          <w:b w:val="0"/>
          <w:i w:val="0"/>
          <w:color w:val="2C2C2C"/>
          <w:sz w:val="21"/>
        </w:rPr>
        <w:t>Property damage = YES without a police report: High-risk combination.</w:t>
      </w:r>
    </w:p>
    <w:p>
      <w:pPr>
        <w:pStyle w:val="ListBullet"/>
        <w:spacing w:before="0" w:after="40"/>
        <w:ind w:left="360" w:hanging="259"/>
      </w:pPr>
      <w:r>
        <w:rPr>
          <w:b w:val="0"/>
          <w:i w:val="0"/>
          <w:color w:val="2C2C2C"/>
          <w:sz w:val="21"/>
        </w:rPr>
        <w:t>≥ 2 witnesses present AND no police report: Pre-arranged witnesses — organised staging pattern.</w:t>
      </w:r>
    </w:p>
    <w:p>
      <w:pPr>
        <w:keepNext/>
        <w:spacing w:before="160" w:after="40"/>
      </w:pPr>
      <w:r>
        <w:rPr>
          <w:b/>
          <w:i w:val="0"/>
          <w:color w:val="1B3A4B"/>
          <w:sz w:val="24"/>
        </w:rPr>
        <w:t>6.5  Bivariate Analysis — Numerical Features</w:t>
      </w:r>
    </w:p>
    <w:p>
      <w:pPr>
        <w:spacing w:before="120" w:after="40"/>
      </w:pPr>
      <w:r>
        <w:rPr>
          <w:b/>
          <w:i w:val="0"/>
          <w:color w:val="4472A8"/>
          <w:sz w:val="22"/>
        </w:rPr>
        <w:t>6.5.1  Claim Amount Patterns</w:t>
      </w:r>
    </w:p>
    <w:p>
      <w:pPr>
        <w:spacing w:before="0" w:after="80"/>
      </w:pPr>
      <w:r>
        <w:rPr>
          <w:b w:val="0"/>
          <w:i w:val="0"/>
          <w:color w:val="2C2C2C"/>
          <w:sz w:val="21"/>
        </w:rPr>
        <w:t>Fraudulent claims show a tighter, higher cluster in vehicle_claim and total_claim_amount distributions compared to legitimate claims. The primary driver of elevated total claims in fraud cases is the vehicle component — not injury or property.</w:t>
      </w:r>
    </w:p>
    <w:p>
      <w:pPr>
        <w:pStyle w:val="ListBullet"/>
        <w:spacing w:before="0" w:after="40"/>
        <w:ind w:left="360" w:hanging="259"/>
      </w:pPr>
      <w:r>
        <w:rPr>
          <w:b w:val="0"/>
          <w:i w:val="0"/>
          <w:color w:val="2C2C2C"/>
          <w:sz w:val="21"/>
        </w:rPr>
        <w:t>vehicle_claim: Fraud cases cluster at higher values with lower variance.</w:t>
      </w:r>
    </w:p>
    <w:p>
      <w:pPr>
        <w:pStyle w:val="ListBullet"/>
        <w:spacing w:before="0" w:after="40"/>
        <w:ind w:left="360" w:hanging="259"/>
      </w:pPr>
      <w:r>
        <w:rPr>
          <w:b w:val="0"/>
          <w:i w:val="0"/>
          <w:color w:val="2C2C2C"/>
          <w:sz w:val="21"/>
        </w:rPr>
        <w:t>injury_claim: Much weaker separation between fraud and legitimate — fraudsters under-report injuries.</w:t>
      </w:r>
    </w:p>
    <w:p>
      <w:pPr>
        <w:pStyle w:val="ListBullet"/>
        <w:spacing w:before="0" w:after="40"/>
        <w:ind w:left="360" w:hanging="259"/>
      </w:pPr>
      <w:r>
        <w:rPr>
          <w:b w:val="0"/>
          <w:i w:val="0"/>
          <w:color w:val="2C2C2C"/>
          <w:sz w:val="21"/>
        </w:rPr>
        <w:t>The vehicle-to-injury ratio (vehicle_claim / injury_claim) is a powerful engineered fraud signal.</w:t>
      </w:r>
    </w:p>
    <w:p>
      <w:pPr>
        <w:spacing w:before="120" w:after="40"/>
      </w:pPr>
      <w:r>
        <w:rPr>
          <w:b/>
          <w:i w:val="0"/>
          <w:color w:val="4472A8"/>
          <w:sz w:val="22"/>
        </w:rPr>
        <w:t>6.5.2  Incident Hour</w:t>
      </w:r>
    </w:p>
    <w:p>
      <w:pPr>
        <w:spacing w:before="0" w:after="80"/>
      </w:pPr>
      <w:r>
        <w:rPr>
          <w:b w:val="0"/>
          <w:i w:val="0"/>
          <w:color w:val="2C2C2C"/>
          <w:sz w:val="21"/>
        </w:rPr>
        <w:t>Fraud incidents have a slightly later median hour (13:00) compared to legitimate incidents (11:00). Afternoon incidents warrant additional scrutiny, particularly in high-risk states.</w:t>
      </w:r>
    </w:p>
    <w:p>
      <w:pPr>
        <w:pBdr>
          <w:bottom w:val="single" w:sz="4" w:space="1" w:color="D4C4A8"/>
        </w:pBdr>
        <w:spacing w:before="80" w:after="80"/>
      </w:pPr>
    </w:p>
    <w:p>
      <w:pPr>
        <w:keepNext/>
        <w:spacing w:before="280" w:after="80"/>
        <w:pBdr>
          <w:left w:val="thick" w:sz="24" w:space="6" w:color="C9A456"/>
        </w:pBdr>
      </w:pPr>
      <w:r>
        <w:rPr>
          <w:b/>
          <w:i w:val="0"/>
          <w:color w:val="1B3A4B"/>
          <w:sz w:val="28"/>
        </w:rPr>
        <w:t>7. FEATURE ENGINEERING</w:t>
      </w:r>
    </w:p>
    <w:p>
      <w:pPr>
        <w:spacing w:before="0" w:after="80"/>
      </w:pPr>
      <w:r>
        <w:rPr>
          <w:b w:val="0"/>
          <w:i w:val="0"/>
          <w:color w:val="2C2C2C"/>
          <w:sz w:val="21"/>
        </w:rPr>
        <w:t>Feature engineering transformed raw attributes into higher-signal predictors, capturing temporal, financial, and domain-specific fraud patterns.</w:t>
      </w:r>
    </w:p>
    <w:p>
      <w:pPr>
        <w:keepNext/>
        <w:spacing w:before="160" w:after="40"/>
      </w:pPr>
      <w:r>
        <w:rPr>
          <w:b/>
          <w:i w:val="0"/>
          <w:color w:val="1B3A4B"/>
          <w:sz w:val="24"/>
        </w:rPr>
        <w:t>7.1  New Features Created</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claim_to_premium_ratio</w:t>
            </w:r>
          </w:p>
        </w:tc>
        <w:tc>
          <w:tcPr>
            <w:tcW w:type="dxa" w:w="6192"/>
            <w:shd w:val="clear" w:color="auto" w:fill="EEE8DD"/>
          </w:tcPr>
          <w:p>
            <w:pPr>
              <w:ind w:left="72"/>
            </w:pPr>
            <w:r>
              <w:rPr>
                <w:b w:val="0"/>
                <w:i w:val="0"/>
                <w:color w:val="2C2C2C"/>
                <w:sz w:val="20"/>
              </w:rPr>
              <w:t>total_claim_amount ÷ policy_annual_premium — relative claim burden</w:t>
            </w:r>
          </w:p>
        </w:tc>
      </w:tr>
      <w:tr>
        <w:tc>
          <w:tcPr>
            <w:tcW w:type="dxa" w:w="3168"/>
            <w:shd w:val="clear" w:color="auto" w:fill="E6DDD0"/>
          </w:tcPr>
          <w:p>
            <w:pPr>
              <w:ind w:left="72"/>
            </w:pPr>
            <w:r>
              <w:rPr>
                <w:b/>
                <w:i w:val="0"/>
                <w:color w:val="1B3A4B"/>
                <w:sz w:val="20"/>
              </w:rPr>
              <w:t>vehicle_to_injury_ratio</w:t>
            </w:r>
          </w:p>
        </w:tc>
        <w:tc>
          <w:tcPr>
            <w:tcW w:type="dxa" w:w="6192"/>
            <w:shd w:val="clear" w:color="auto" w:fill="FFFFFF"/>
          </w:tcPr>
          <w:p>
            <w:pPr>
              <w:ind w:left="72"/>
            </w:pPr>
            <w:r>
              <w:rPr>
                <w:b w:val="0"/>
                <w:i w:val="0"/>
                <w:color w:val="2C2C2C"/>
                <w:sz w:val="20"/>
              </w:rPr>
              <w:t>vehicle_claim ÷ (injury_claim + 1) — staged accident signal</w:t>
            </w:r>
          </w:p>
        </w:tc>
      </w:tr>
      <w:tr>
        <w:tc>
          <w:tcPr>
            <w:tcW w:type="dxa" w:w="3168"/>
            <w:shd w:val="clear" w:color="auto" w:fill="E6DDD0"/>
          </w:tcPr>
          <w:p>
            <w:pPr>
              <w:ind w:left="72"/>
            </w:pPr>
            <w:r>
              <w:rPr>
                <w:b/>
                <w:i w:val="0"/>
                <w:color w:val="1B3A4B"/>
                <w:sz w:val="20"/>
              </w:rPr>
              <w:t>net_capital_gain</w:t>
            </w:r>
          </w:p>
        </w:tc>
        <w:tc>
          <w:tcPr>
            <w:tcW w:type="dxa" w:w="6192"/>
            <w:shd w:val="clear" w:color="auto" w:fill="EEE8DD"/>
          </w:tcPr>
          <w:p>
            <w:pPr>
              <w:ind w:left="72"/>
            </w:pPr>
            <w:r>
              <w:rPr>
                <w:b w:val="0"/>
                <w:i w:val="0"/>
                <w:color w:val="2C2C2C"/>
                <w:sz w:val="20"/>
              </w:rPr>
              <w:t>capital-gains + capital-loss — financial profile summary</w:t>
            </w:r>
          </w:p>
        </w:tc>
      </w:tr>
      <w:tr>
        <w:tc>
          <w:tcPr>
            <w:tcW w:type="dxa" w:w="3168"/>
            <w:shd w:val="clear" w:color="auto" w:fill="E6DDD0"/>
          </w:tcPr>
          <w:p>
            <w:pPr>
              <w:ind w:left="72"/>
            </w:pPr>
            <w:r>
              <w:rPr>
                <w:b/>
                <w:i w:val="0"/>
                <w:color w:val="1B3A4B"/>
                <w:sz w:val="20"/>
              </w:rPr>
              <w:t>vehicle_age</w:t>
            </w:r>
          </w:p>
        </w:tc>
        <w:tc>
          <w:tcPr>
            <w:tcW w:type="dxa" w:w="6192"/>
            <w:shd w:val="clear" w:color="auto" w:fill="FFFFFF"/>
          </w:tcPr>
          <w:p>
            <w:pPr>
              <w:ind w:left="72"/>
            </w:pPr>
            <w:r>
              <w:rPr>
                <w:b w:val="0"/>
                <w:i w:val="0"/>
                <w:color w:val="2C2C2C"/>
                <w:sz w:val="20"/>
              </w:rPr>
              <w:t>incident_year − auto_year — older vehicles may indicate fraud</w:t>
            </w:r>
          </w:p>
        </w:tc>
      </w:tr>
      <w:tr>
        <w:tc>
          <w:tcPr>
            <w:tcW w:type="dxa" w:w="3168"/>
            <w:shd w:val="clear" w:color="auto" w:fill="E6DDD0"/>
          </w:tcPr>
          <w:p>
            <w:pPr>
              <w:ind w:left="72"/>
            </w:pPr>
            <w:r>
              <w:rPr>
                <w:b/>
                <w:i w:val="0"/>
                <w:color w:val="1B3A4B"/>
                <w:sz w:val="20"/>
              </w:rPr>
              <w:t>days_between_policy_and_incident</w:t>
            </w:r>
          </w:p>
        </w:tc>
        <w:tc>
          <w:tcPr>
            <w:tcW w:type="dxa" w:w="6192"/>
            <w:shd w:val="clear" w:color="auto" w:fill="EEE8DD"/>
          </w:tcPr>
          <w:p>
            <w:pPr>
              <w:ind w:left="72"/>
            </w:pPr>
            <w:r>
              <w:rPr>
                <w:b w:val="0"/>
                <w:i w:val="0"/>
                <w:color w:val="2C2C2C"/>
                <w:sz w:val="20"/>
              </w:rPr>
              <w:t>Days from policy binding to incident — early-claim flag input</w:t>
            </w:r>
          </w:p>
        </w:tc>
      </w:tr>
      <w:tr>
        <w:tc>
          <w:tcPr>
            <w:tcW w:type="dxa" w:w="3168"/>
            <w:shd w:val="clear" w:color="auto" w:fill="E6DDD0"/>
          </w:tcPr>
          <w:p>
            <w:pPr>
              <w:ind w:left="72"/>
            </w:pPr>
            <w:r>
              <w:rPr>
                <w:b/>
                <w:i w:val="0"/>
                <w:color w:val="1B3A4B"/>
                <w:sz w:val="20"/>
              </w:rPr>
              <w:t>early_claim_flag</w:t>
            </w:r>
          </w:p>
        </w:tc>
        <w:tc>
          <w:tcPr>
            <w:tcW w:type="dxa" w:w="6192"/>
            <w:shd w:val="clear" w:color="auto" w:fill="FFFFFF"/>
          </w:tcPr>
          <w:p>
            <w:pPr>
              <w:ind w:left="72"/>
            </w:pPr>
            <w:r>
              <w:rPr>
                <w:b w:val="0"/>
                <w:i w:val="0"/>
                <w:color w:val="2C2C2C"/>
                <w:sz w:val="20"/>
              </w:rPr>
              <w:t>1 if claim filed within 365 days of policy binding</w:t>
            </w:r>
          </w:p>
        </w:tc>
      </w:tr>
      <w:tr>
        <w:tc>
          <w:tcPr>
            <w:tcW w:type="dxa" w:w="3168"/>
            <w:shd w:val="clear" w:color="auto" w:fill="E6DDD0"/>
          </w:tcPr>
          <w:p>
            <w:pPr>
              <w:ind w:left="72"/>
            </w:pPr>
            <w:r>
              <w:rPr>
                <w:b/>
                <w:i w:val="0"/>
                <w:color w:val="1B3A4B"/>
                <w:sz w:val="20"/>
              </w:rPr>
              <w:t>is_high_risk_hobby</w:t>
            </w:r>
          </w:p>
        </w:tc>
        <w:tc>
          <w:tcPr>
            <w:tcW w:type="dxa" w:w="6192"/>
            <w:shd w:val="clear" w:color="auto" w:fill="EEE8DD"/>
          </w:tcPr>
          <w:p>
            <w:pPr>
              <w:ind w:left="72"/>
            </w:pPr>
            <w:r>
              <w:rPr>
                <w:b w:val="0"/>
                <w:i w:val="0"/>
                <w:color w:val="2C2C2C"/>
                <w:sz w:val="20"/>
              </w:rPr>
              <w:t>1 if hobby in {chess, cross-fit}</w:t>
            </w:r>
          </w:p>
        </w:tc>
      </w:tr>
      <w:tr>
        <w:tc>
          <w:tcPr>
            <w:tcW w:type="dxa" w:w="3168"/>
            <w:shd w:val="clear" w:color="auto" w:fill="E6DDD0"/>
          </w:tcPr>
          <w:p>
            <w:pPr>
              <w:ind w:left="72"/>
            </w:pPr>
            <w:r>
              <w:rPr>
                <w:b/>
                <w:i w:val="0"/>
                <w:color w:val="1B3A4B"/>
                <w:sz w:val="20"/>
              </w:rPr>
              <w:t>is_high_risk_occupation</w:t>
            </w:r>
          </w:p>
        </w:tc>
        <w:tc>
          <w:tcPr>
            <w:tcW w:type="dxa" w:w="6192"/>
            <w:shd w:val="clear" w:color="auto" w:fill="FFFFFF"/>
          </w:tcPr>
          <w:p>
            <w:pPr>
              <w:ind w:left="72"/>
            </w:pPr>
            <w:r>
              <w:rPr>
                <w:b w:val="0"/>
                <w:i w:val="0"/>
                <w:color w:val="2C2C2C"/>
                <w:sz w:val="20"/>
              </w:rPr>
              <w:t>1 if occupation = exec-managerial</w:t>
            </w:r>
          </w:p>
        </w:tc>
      </w:tr>
      <w:tr>
        <w:tc>
          <w:tcPr>
            <w:tcW w:type="dxa" w:w="3168"/>
            <w:shd w:val="clear" w:color="auto" w:fill="E6DDD0"/>
          </w:tcPr>
          <w:p>
            <w:pPr>
              <w:ind w:left="72"/>
            </w:pPr>
            <w:r>
              <w:rPr>
                <w:b/>
                <w:i w:val="0"/>
                <w:color w:val="1B3A4B"/>
                <w:sz w:val="20"/>
              </w:rPr>
              <w:t>highly_educated</w:t>
            </w:r>
          </w:p>
        </w:tc>
        <w:tc>
          <w:tcPr>
            <w:tcW w:type="dxa" w:w="6192"/>
            <w:shd w:val="clear" w:color="auto" w:fill="EEE8DD"/>
          </w:tcPr>
          <w:p>
            <w:pPr>
              <w:ind w:left="72"/>
            </w:pPr>
            <w:r>
              <w:rPr>
                <w:b w:val="0"/>
                <w:i w:val="0"/>
                <w:color w:val="2C2C2C"/>
                <w:sz w:val="20"/>
              </w:rPr>
              <w:t>1 if education in {Masters, PhD, MD}</w:t>
            </w:r>
          </w:p>
        </w:tc>
      </w:tr>
      <w:tr>
        <w:tc>
          <w:tcPr>
            <w:tcW w:type="dxa" w:w="3168"/>
            <w:shd w:val="clear" w:color="auto" w:fill="E6DDD0"/>
          </w:tcPr>
          <w:p>
            <w:pPr>
              <w:ind w:left="72"/>
            </w:pPr>
            <w:r>
              <w:rPr>
                <w:b/>
                <w:i w:val="0"/>
                <w:color w:val="1B3A4B"/>
                <w:sz w:val="20"/>
              </w:rPr>
              <w:t>is_high_risk_state</w:t>
            </w:r>
          </w:p>
        </w:tc>
        <w:tc>
          <w:tcPr>
            <w:tcW w:type="dxa" w:w="6192"/>
            <w:shd w:val="clear" w:color="auto" w:fill="FFFFFF"/>
          </w:tcPr>
          <w:p>
            <w:pPr>
              <w:ind w:left="72"/>
            </w:pPr>
            <w:r>
              <w:rPr>
                <w:b w:val="0"/>
                <w:i w:val="0"/>
                <w:color w:val="2C2C2C"/>
                <w:sz w:val="20"/>
              </w:rPr>
              <w:t>1 if incident_state in {OH, PA}</w:t>
            </w:r>
          </w:p>
        </w:tc>
      </w:tr>
      <w:tr>
        <w:tc>
          <w:tcPr>
            <w:tcW w:type="dxa" w:w="3168"/>
            <w:shd w:val="clear" w:color="auto" w:fill="E6DDD0"/>
          </w:tcPr>
          <w:p>
            <w:pPr>
              <w:ind w:left="72"/>
            </w:pPr>
            <w:r>
              <w:rPr>
                <w:b/>
                <w:i w:val="0"/>
                <w:color w:val="1B3A4B"/>
                <w:sz w:val="20"/>
              </w:rPr>
              <w:t>is_high_risk_auto_make</w:t>
            </w:r>
          </w:p>
        </w:tc>
        <w:tc>
          <w:tcPr>
            <w:tcW w:type="dxa" w:w="6192"/>
            <w:shd w:val="clear" w:color="auto" w:fill="EEE8DD"/>
          </w:tcPr>
          <w:p>
            <w:pPr>
              <w:ind w:left="72"/>
            </w:pPr>
            <w:r>
              <w:rPr>
                <w:b w:val="0"/>
                <w:i w:val="0"/>
                <w:color w:val="2C2C2C"/>
                <w:sz w:val="20"/>
              </w:rPr>
              <w:t>1 if auto_make in {Ford, Mercedes}</w:t>
            </w:r>
          </w:p>
        </w:tc>
      </w:tr>
      <w:tr>
        <w:tc>
          <w:tcPr>
            <w:tcW w:type="dxa" w:w="3168"/>
            <w:shd w:val="clear" w:color="auto" w:fill="E6DDD0"/>
          </w:tcPr>
          <w:p>
            <w:pPr>
              <w:ind w:left="72"/>
            </w:pPr>
            <w:r>
              <w:rPr>
                <w:b/>
                <w:i w:val="0"/>
                <w:color w:val="1B3A4B"/>
                <w:sz w:val="20"/>
              </w:rPr>
              <w:t>incident_hour_bucket</w:t>
            </w:r>
          </w:p>
        </w:tc>
        <w:tc>
          <w:tcPr>
            <w:tcW w:type="dxa" w:w="6192"/>
            <w:shd w:val="clear" w:color="auto" w:fill="FFFFFF"/>
          </w:tcPr>
          <w:p>
            <w:pPr>
              <w:ind w:left="72"/>
            </w:pPr>
            <w:r>
              <w:rPr>
                <w:b w:val="0"/>
                <w:i w:val="0"/>
                <w:color w:val="2C2C2C"/>
                <w:sz w:val="20"/>
              </w:rPr>
              <w:t>Hour categorised into 4 bands: 0-5, 6-11, 12-17, 18-23</w:t>
            </w:r>
          </w:p>
        </w:tc>
      </w:tr>
      <w:tr>
        <w:tc>
          <w:tcPr>
            <w:tcW w:type="dxa" w:w="3168"/>
            <w:shd w:val="clear" w:color="auto" w:fill="E6DDD0"/>
          </w:tcPr>
          <w:p>
            <w:pPr>
              <w:ind w:left="72"/>
            </w:pPr>
            <w:r>
              <w:rPr>
                <w:b/>
                <w:i w:val="0"/>
                <w:color w:val="1B3A4B"/>
                <w:sz w:val="20"/>
              </w:rPr>
              <w:t>policy_bind_month</w:t>
            </w:r>
          </w:p>
        </w:tc>
        <w:tc>
          <w:tcPr>
            <w:tcW w:type="dxa" w:w="6192"/>
            <w:shd w:val="clear" w:color="auto" w:fill="EEE8DD"/>
          </w:tcPr>
          <w:p>
            <w:pPr>
              <w:ind w:left="72"/>
            </w:pPr>
            <w:r>
              <w:rPr>
                <w:b w:val="0"/>
                <w:i w:val="0"/>
                <w:color w:val="2C2C2C"/>
                <w:sz w:val="20"/>
              </w:rPr>
              <w:t>Month extracted from policy_bind_date — seasonality signal</w:t>
            </w:r>
          </w:p>
        </w:tc>
      </w:tr>
    </w:tbl>
    <w:p/>
    <w:p>
      <w:pPr>
        <w:keepNext/>
        <w:spacing w:before="160" w:after="40"/>
      </w:pPr>
      <w:r>
        <w:rPr>
          <w:b/>
          <w:i w:val="0"/>
          <w:color w:val="1B3A4B"/>
          <w:sz w:val="24"/>
        </w:rPr>
        <w:t>7.2  Features Dropped (Post Engineering)</w:t>
      </w:r>
    </w:p>
    <w:p>
      <w:pPr>
        <w:pStyle w:val="ListBullet"/>
        <w:spacing w:before="0" w:after="40"/>
        <w:ind w:left="360" w:hanging="259"/>
      </w:pPr>
      <w:r>
        <w:rPr>
          <w:b w:val="0"/>
          <w:i w:val="0"/>
          <w:color w:val="2C2C2C"/>
          <w:sz w:val="21"/>
        </w:rPr>
        <w:t>total_claim_amount — sum of components, replaced by claim_to_premium_ratio.</w:t>
      </w:r>
    </w:p>
    <w:p>
      <w:pPr>
        <w:pStyle w:val="ListBullet"/>
        <w:spacing w:before="0" w:after="40"/>
        <w:ind w:left="360" w:hanging="259"/>
      </w:pPr>
      <w:r>
        <w:rPr>
          <w:b w:val="0"/>
          <w:i w:val="0"/>
          <w:color w:val="2C2C2C"/>
          <w:sz w:val="21"/>
        </w:rPr>
        <w:t>age — highly correlated with months_as_customer.</w:t>
      </w:r>
    </w:p>
    <w:p>
      <w:pPr>
        <w:pStyle w:val="ListBullet"/>
        <w:spacing w:before="0" w:after="40"/>
        <w:ind w:left="360" w:hanging="259"/>
      </w:pPr>
      <w:r>
        <w:rPr>
          <w:b w:val="0"/>
          <w:i w:val="0"/>
          <w:color w:val="2C2C2C"/>
          <w:sz w:val="21"/>
        </w:rPr>
        <w:t>umbrella_limit — minimal predictive value even after log transformation.</w:t>
      </w:r>
    </w:p>
    <w:p>
      <w:pPr>
        <w:pStyle w:val="ListBullet"/>
        <w:spacing w:before="0" w:after="40"/>
        <w:ind w:left="360" w:hanging="259"/>
      </w:pPr>
      <w:r>
        <w:rPr>
          <w:b w:val="0"/>
          <w:i w:val="0"/>
          <w:color w:val="2C2C2C"/>
          <w:sz w:val="21"/>
        </w:rPr>
        <w:t>capital-gains, capital-loss — consolidated into net_capital_gain.</w:t>
      </w:r>
    </w:p>
    <w:p>
      <w:pPr>
        <w:pStyle w:val="ListBullet"/>
        <w:spacing w:before="0" w:after="40"/>
        <w:ind w:left="360" w:hanging="259"/>
      </w:pPr>
      <w:r>
        <w:rPr>
          <w:b w:val="0"/>
          <w:i w:val="0"/>
          <w:color w:val="2C2C2C"/>
          <w:sz w:val="21"/>
        </w:rPr>
        <w:t>insured_education_level — captured by the highly_educated binary flag.</w:t>
      </w:r>
    </w:p>
    <w:p>
      <w:pPr>
        <w:pStyle w:val="ListBullet"/>
        <w:spacing w:before="0" w:after="40"/>
        <w:ind w:left="360" w:hanging="259"/>
      </w:pPr>
      <w:r>
        <w:rPr>
          <w:b w:val="0"/>
          <w:i w:val="0"/>
          <w:color w:val="2C2C2C"/>
          <w:sz w:val="21"/>
        </w:rPr>
        <w:t>incident_hour_of_the_day — replaced by incident_hour_bucket.</w:t>
      </w:r>
    </w:p>
    <w:p>
      <w:pPr>
        <w:pStyle w:val="ListBullet"/>
        <w:spacing w:before="0" w:after="40"/>
        <w:ind w:left="360" w:hanging="259"/>
      </w:pPr>
      <w:r>
        <w:rPr>
          <w:b w:val="0"/>
          <w:i w:val="0"/>
          <w:color w:val="2C2C2C"/>
          <w:sz w:val="21"/>
        </w:rPr>
        <w:t>auto_year — replaced by vehicle_age.</w:t>
      </w:r>
    </w:p>
    <w:p>
      <w:pPr>
        <w:keepNext/>
        <w:spacing w:before="160" w:after="40"/>
      </w:pPr>
      <w:r>
        <w:rPr>
          <w:b/>
          <w:i w:val="0"/>
          <w:color w:val="1B3A4B"/>
          <w:sz w:val="24"/>
        </w:rPr>
        <w:t>7.3  Categorical Consolidation</w:t>
      </w:r>
    </w:p>
    <w:p>
      <w:pPr>
        <w:spacing w:before="0" w:after="80"/>
      </w:pPr>
      <w:r>
        <w:rPr>
          <w:b w:val="0"/>
          <w:i w:val="0"/>
          <w:color w:val="2C2C2C"/>
          <w:sz w:val="21"/>
        </w:rPr>
        <w:t>Low-frequency categories were collapsed to 'Other' to reduce noise and prevent overfitting on sparse dummy variables. Thresholds were calibrated on training data and applied consistently to validation data.</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insured_relationship</w:t>
            </w:r>
          </w:p>
        </w:tc>
        <w:tc>
          <w:tcPr>
            <w:tcW w:type="dxa" w:w="6192"/>
            <w:shd w:val="clear" w:color="auto" w:fill="EEE8DD"/>
          </w:tcPr>
          <w:p>
            <w:pPr>
              <w:ind w:left="72"/>
            </w:pPr>
            <w:r>
              <w:rPr>
                <w:b w:val="0"/>
                <w:i w:val="0"/>
                <w:color w:val="2C2C2C"/>
                <w:sz w:val="20"/>
              </w:rPr>
              <w:t>&lt; 10% frequency → 'Other'</w:t>
            </w:r>
          </w:p>
        </w:tc>
      </w:tr>
      <w:tr>
        <w:tc>
          <w:tcPr>
            <w:tcW w:type="dxa" w:w="3168"/>
            <w:shd w:val="clear" w:color="auto" w:fill="E6DDD0"/>
          </w:tcPr>
          <w:p>
            <w:pPr>
              <w:ind w:left="72"/>
            </w:pPr>
            <w:r>
              <w:rPr>
                <w:b/>
                <w:i w:val="0"/>
                <w:color w:val="1B3A4B"/>
                <w:sz w:val="20"/>
              </w:rPr>
              <w:t>insured_occupation</w:t>
            </w:r>
          </w:p>
        </w:tc>
        <w:tc>
          <w:tcPr>
            <w:tcW w:type="dxa" w:w="6192"/>
            <w:shd w:val="clear" w:color="auto" w:fill="FFFFFF"/>
          </w:tcPr>
          <w:p>
            <w:pPr>
              <w:ind w:left="72"/>
            </w:pPr>
            <w:r>
              <w:rPr>
                <w:b w:val="0"/>
                <w:i w:val="0"/>
                <w:color w:val="2C2C2C"/>
                <w:sz w:val="20"/>
              </w:rPr>
              <w:t>&lt; 10% frequency → 'Other'</w:t>
            </w:r>
          </w:p>
        </w:tc>
      </w:tr>
      <w:tr>
        <w:tc>
          <w:tcPr>
            <w:tcW w:type="dxa" w:w="3168"/>
            <w:shd w:val="clear" w:color="auto" w:fill="E6DDD0"/>
          </w:tcPr>
          <w:p>
            <w:pPr>
              <w:ind w:left="72"/>
            </w:pPr>
            <w:r>
              <w:rPr>
                <w:b/>
                <w:i w:val="0"/>
                <w:color w:val="1B3A4B"/>
                <w:sz w:val="20"/>
              </w:rPr>
              <w:t>insured_hobbies</w:t>
            </w:r>
          </w:p>
        </w:tc>
        <w:tc>
          <w:tcPr>
            <w:tcW w:type="dxa" w:w="6192"/>
            <w:shd w:val="clear" w:color="auto" w:fill="EEE8DD"/>
          </w:tcPr>
          <w:p>
            <w:pPr>
              <w:ind w:left="72"/>
            </w:pPr>
            <w:r>
              <w:rPr>
                <w:b w:val="0"/>
                <w:i w:val="0"/>
                <w:color w:val="2C2C2C"/>
                <w:sz w:val="20"/>
              </w:rPr>
              <w:t>&lt; 10% frequency → 'Other'</w:t>
            </w:r>
          </w:p>
        </w:tc>
      </w:tr>
      <w:tr>
        <w:tc>
          <w:tcPr>
            <w:tcW w:type="dxa" w:w="3168"/>
            <w:shd w:val="clear" w:color="auto" w:fill="E6DDD0"/>
          </w:tcPr>
          <w:p>
            <w:pPr>
              <w:ind w:left="72"/>
            </w:pPr>
            <w:r>
              <w:rPr>
                <w:b/>
                <w:i w:val="0"/>
                <w:color w:val="1B3A4B"/>
                <w:sz w:val="20"/>
              </w:rPr>
              <w:t>incident_city</w:t>
            </w:r>
          </w:p>
        </w:tc>
        <w:tc>
          <w:tcPr>
            <w:tcW w:type="dxa" w:w="6192"/>
            <w:shd w:val="clear" w:color="auto" w:fill="FFFFFF"/>
          </w:tcPr>
          <w:p>
            <w:pPr>
              <w:ind w:left="72"/>
            </w:pPr>
            <w:r>
              <w:rPr>
                <w:b w:val="0"/>
                <w:i w:val="0"/>
                <w:color w:val="2C2C2C"/>
                <w:sz w:val="20"/>
              </w:rPr>
              <w:t>&lt; 10% frequency → 'Other'</w:t>
            </w:r>
          </w:p>
        </w:tc>
      </w:tr>
      <w:tr>
        <w:tc>
          <w:tcPr>
            <w:tcW w:type="dxa" w:w="3168"/>
            <w:shd w:val="clear" w:color="auto" w:fill="E6DDD0"/>
          </w:tcPr>
          <w:p>
            <w:pPr>
              <w:ind w:left="72"/>
            </w:pPr>
            <w:r>
              <w:rPr>
                <w:b/>
                <w:i w:val="0"/>
                <w:color w:val="1B3A4B"/>
                <w:sz w:val="20"/>
              </w:rPr>
              <w:t>auto_make / model</w:t>
            </w:r>
          </w:p>
        </w:tc>
        <w:tc>
          <w:tcPr>
            <w:tcW w:type="dxa" w:w="6192"/>
            <w:shd w:val="clear" w:color="auto" w:fill="EEE8DD"/>
          </w:tcPr>
          <w:p>
            <w:pPr>
              <w:ind w:left="72"/>
            </w:pPr>
            <w:r>
              <w:rPr>
                <w:b w:val="0"/>
                <w:i w:val="0"/>
                <w:color w:val="2C2C2C"/>
                <w:sz w:val="20"/>
              </w:rPr>
              <w:t>&lt; 10% frequency → 'Other'</w:t>
            </w:r>
          </w:p>
        </w:tc>
      </w:tr>
    </w:tbl>
    <w:p/>
    <w:p>
      <w:pPr>
        <w:keepNext/>
        <w:spacing w:before="160" w:after="40"/>
      </w:pPr>
      <w:r>
        <w:rPr>
          <w:b/>
          <w:i w:val="0"/>
          <w:color w:val="1B3A4B"/>
          <w:sz w:val="24"/>
        </w:rPr>
        <w:t>7.4  Final Feature Set</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Total Features After Engineering</w:t>
            </w:r>
          </w:p>
        </w:tc>
        <w:tc>
          <w:tcPr>
            <w:tcW w:type="dxa" w:w="6192"/>
            <w:shd w:val="clear" w:color="auto" w:fill="EEE8DD"/>
          </w:tcPr>
          <w:p>
            <w:pPr>
              <w:ind w:left="72"/>
            </w:pPr>
            <w:r>
              <w:rPr>
                <w:b w:val="0"/>
                <w:i w:val="0"/>
                <w:color w:val="2C2C2C"/>
                <w:sz w:val="20"/>
              </w:rPr>
              <w:t>58 (after dummy variable expansion)</w:t>
            </w:r>
          </w:p>
        </w:tc>
      </w:tr>
      <w:tr>
        <w:tc>
          <w:tcPr>
            <w:tcW w:type="dxa" w:w="3168"/>
            <w:shd w:val="clear" w:color="auto" w:fill="E6DDD0"/>
          </w:tcPr>
          <w:p>
            <w:pPr>
              <w:ind w:left="72"/>
            </w:pPr>
            <w:r>
              <w:rPr>
                <w:b/>
                <w:i w:val="0"/>
                <w:color w:val="1B3A4B"/>
                <w:sz w:val="20"/>
              </w:rPr>
              <w:t>Scaling</w:t>
            </w:r>
          </w:p>
        </w:tc>
        <w:tc>
          <w:tcPr>
            <w:tcW w:type="dxa" w:w="6192"/>
            <w:shd w:val="clear" w:color="auto" w:fill="FFFFFF"/>
          </w:tcPr>
          <w:p>
            <w:pPr>
              <w:ind w:left="72"/>
            </w:pPr>
            <w:r>
              <w:rPr>
                <w:b w:val="0"/>
                <w:i w:val="0"/>
                <w:color w:val="2C2C2C"/>
                <w:sz w:val="20"/>
              </w:rPr>
              <w:t>StandardScaler fitted on training data, applied to validation</w:t>
            </w:r>
          </w:p>
        </w:tc>
      </w:tr>
    </w:tbl>
    <w:p/>
    <w:p>
      <w:pPr>
        <w:pBdr>
          <w:bottom w:val="single" w:sz="4" w:space="1" w:color="D4C4A8"/>
        </w:pBdr>
        <w:spacing w:before="80" w:after="80"/>
      </w:pPr>
    </w:p>
    <w:p>
      <w:pPr>
        <w:keepNext/>
        <w:spacing w:before="280" w:after="80"/>
        <w:pBdr>
          <w:left w:val="thick" w:sz="24" w:space="6" w:color="C9A456"/>
        </w:pBdr>
      </w:pPr>
      <w:r>
        <w:rPr>
          <w:b/>
          <w:i w:val="0"/>
          <w:color w:val="1B3A4B"/>
          <w:sz w:val="28"/>
        </w:rPr>
        <w:t>8. MODEL BUILDING</w:t>
      </w:r>
    </w:p>
    <w:p>
      <w:pPr>
        <w:keepNext/>
        <w:spacing w:before="160" w:after="40"/>
      </w:pPr>
      <w:r>
        <w:rPr>
          <w:b/>
          <w:i w:val="0"/>
          <w:color w:val="1B3A4B"/>
          <w:sz w:val="24"/>
        </w:rPr>
        <w:t>8.1  Logistic Regression</w:t>
      </w:r>
    </w:p>
    <w:p>
      <w:pPr>
        <w:spacing w:before="120" w:after="40"/>
      </w:pPr>
      <w:r>
        <w:rPr>
          <w:b/>
          <w:i w:val="0"/>
          <w:color w:val="4472A8"/>
          <w:sz w:val="22"/>
        </w:rPr>
        <w:t>Feature Selection — RFECV</w:t>
      </w:r>
    </w:p>
    <w:p>
      <w:pPr>
        <w:spacing w:before="0" w:after="80"/>
      </w:pPr>
      <w:r>
        <w:rPr>
          <w:b w:val="0"/>
          <w:i w:val="0"/>
          <w:color w:val="2C2C2C"/>
          <w:sz w:val="21"/>
        </w:rPr>
        <w:t>Recursive Feature Elimination with Cross-Validation (RFECV) was applied using a Logistic Regression estimator with StratifiedKFold (n=4) and average_precision scoring. The optimal feature count was determined to be 11.</w:t>
      </w:r>
    </w:p>
    <w:p>
      <w:pPr>
        <w:spacing w:before="0" w:after="80"/>
      </w:pPr>
      <w:r>
        <w:rPr>
          <w:b w:val="0"/>
          <w:i w:val="0"/>
          <w:color w:val="2C2C2C"/>
          <w:sz w:val="21"/>
        </w:rPr>
        <w:t>Selected features:</w:t>
      </w:r>
    </w:p>
    <w:p>
      <w:pPr>
        <w:pStyle w:val="ListBullet"/>
        <w:spacing w:before="0" w:after="40"/>
        <w:ind w:left="648" w:hanging="259"/>
      </w:pPr>
      <w:r>
        <w:rPr>
          <w:b w:val="0"/>
          <w:i w:val="0"/>
          <w:color w:val="2C2C2C"/>
          <w:sz w:val="21"/>
        </w:rPr>
        <w:t>number_of_vehicles_involved</w:t>
      </w:r>
    </w:p>
    <w:p>
      <w:pPr>
        <w:pStyle w:val="ListBullet"/>
        <w:spacing w:before="0" w:after="40"/>
        <w:ind w:left="648" w:hanging="259"/>
      </w:pPr>
      <w:r>
        <w:rPr>
          <w:b w:val="0"/>
          <w:i w:val="0"/>
          <w:color w:val="2C2C2C"/>
          <w:sz w:val="21"/>
        </w:rPr>
        <w:t>witnesses</w:t>
      </w:r>
    </w:p>
    <w:p>
      <w:pPr>
        <w:pStyle w:val="ListBullet"/>
        <w:spacing w:before="0" w:after="40"/>
        <w:ind w:left="648" w:hanging="259"/>
      </w:pPr>
      <w:r>
        <w:rPr>
          <w:b w:val="0"/>
          <w:i w:val="0"/>
          <w:color w:val="2C2C2C"/>
          <w:sz w:val="21"/>
        </w:rPr>
        <w:t>is_high_risk_hobby</w:t>
      </w:r>
    </w:p>
    <w:p>
      <w:pPr>
        <w:pStyle w:val="ListBullet"/>
        <w:spacing w:before="0" w:after="40"/>
        <w:ind w:left="648" w:hanging="259"/>
      </w:pPr>
      <w:r>
        <w:rPr>
          <w:b w:val="0"/>
          <w:i w:val="0"/>
          <w:color w:val="2C2C2C"/>
          <w:sz w:val="21"/>
        </w:rPr>
        <w:t>vehicle_to_injury_ratio</w:t>
      </w:r>
    </w:p>
    <w:p>
      <w:pPr>
        <w:pStyle w:val="ListBullet"/>
        <w:spacing w:before="0" w:after="40"/>
        <w:ind w:left="648" w:hanging="259"/>
      </w:pPr>
      <w:r>
        <w:rPr>
          <w:b w:val="0"/>
          <w:i w:val="0"/>
          <w:color w:val="2C2C2C"/>
          <w:sz w:val="21"/>
        </w:rPr>
        <w:t>policy_csl_250/500</w:t>
      </w:r>
    </w:p>
    <w:p>
      <w:pPr>
        <w:pStyle w:val="ListBullet"/>
        <w:spacing w:before="0" w:after="40"/>
        <w:ind w:left="648" w:hanging="259"/>
      </w:pPr>
      <w:r>
        <w:rPr>
          <w:b w:val="0"/>
          <w:i w:val="0"/>
          <w:color w:val="2C2C2C"/>
          <w:sz w:val="21"/>
        </w:rPr>
        <w:t>incident_type_Single Vehicle Collision</w:t>
      </w:r>
    </w:p>
    <w:p>
      <w:pPr>
        <w:pStyle w:val="ListBullet"/>
        <w:spacing w:before="0" w:after="40"/>
        <w:ind w:left="648" w:hanging="259"/>
      </w:pPr>
      <w:r>
        <w:rPr>
          <w:b w:val="0"/>
          <w:i w:val="0"/>
          <w:color w:val="2C2C2C"/>
          <w:sz w:val="21"/>
        </w:rPr>
        <w:t>collision_type_Side Collision</w:t>
      </w:r>
    </w:p>
    <w:p>
      <w:pPr>
        <w:pStyle w:val="ListBullet"/>
        <w:spacing w:before="0" w:after="40"/>
        <w:ind w:left="648" w:hanging="259"/>
      </w:pPr>
      <w:r>
        <w:rPr>
          <w:b w:val="0"/>
          <w:i w:val="0"/>
          <w:color w:val="2C2C2C"/>
          <w:sz w:val="21"/>
        </w:rPr>
        <w:t>incident_severity_Minor Damage</w:t>
      </w:r>
    </w:p>
    <w:p>
      <w:pPr>
        <w:pStyle w:val="ListBullet"/>
        <w:spacing w:before="0" w:after="40"/>
        <w:ind w:left="648" w:hanging="259"/>
      </w:pPr>
      <w:r>
        <w:rPr>
          <w:b w:val="0"/>
          <w:i w:val="0"/>
          <w:color w:val="2C2C2C"/>
          <w:sz w:val="21"/>
        </w:rPr>
        <w:t>incident_severity_Total Loss</w:t>
      </w:r>
    </w:p>
    <w:p>
      <w:pPr>
        <w:pStyle w:val="ListBullet"/>
        <w:spacing w:before="0" w:after="40"/>
        <w:ind w:left="648" w:hanging="259"/>
      </w:pPr>
      <w:r>
        <w:rPr>
          <w:b w:val="0"/>
          <w:i w:val="0"/>
          <w:color w:val="2C2C2C"/>
          <w:sz w:val="21"/>
        </w:rPr>
        <w:t>incident_severity_Trivial Damage</w:t>
      </w:r>
    </w:p>
    <w:p>
      <w:pPr>
        <w:pStyle w:val="ListBullet"/>
        <w:spacing w:before="0" w:after="40"/>
        <w:ind w:left="648" w:hanging="259"/>
      </w:pPr>
      <w:r>
        <w:rPr>
          <w:b w:val="0"/>
          <w:i w:val="0"/>
          <w:color w:val="2C2C2C"/>
          <w:sz w:val="21"/>
        </w:rPr>
        <w:t>property_damage_YES</w:t>
      </w:r>
    </w:p>
    <w:p>
      <w:pPr>
        <w:spacing w:before="120" w:after="40"/>
      </w:pPr>
      <w:r>
        <w:rPr>
          <w:b/>
          <w:i w:val="0"/>
          <w:color w:val="4472A8"/>
          <w:sz w:val="22"/>
        </w:rPr>
        <w:t>Model Summary (statsmodels GLM)</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Pseudo R² (CS)</w:t>
            </w:r>
          </w:p>
        </w:tc>
        <w:tc>
          <w:tcPr>
            <w:tcW w:type="dxa" w:w="6192"/>
            <w:shd w:val="clear" w:color="auto" w:fill="EEE8DD"/>
          </w:tcPr>
          <w:p>
            <w:pPr>
              <w:ind w:left="72"/>
            </w:pPr>
            <w:r>
              <w:rPr>
                <w:b w:val="0"/>
                <w:i w:val="0"/>
                <w:color w:val="2C2C2C"/>
                <w:sz w:val="20"/>
              </w:rPr>
              <w:t>0.5225 — strong explanatory power</w:t>
            </w:r>
          </w:p>
        </w:tc>
      </w:tr>
      <w:tr>
        <w:tc>
          <w:tcPr>
            <w:tcW w:type="dxa" w:w="3168"/>
            <w:shd w:val="clear" w:color="auto" w:fill="E6DDD0"/>
          </w:tcPr>
          <w:p>
            <w:pPr>
              <w:ind w:left="72"/>
            </w:pPr>
            <w:r>
              <w:rPr>
                <w:b/>
                <w:i w:val="0"/>
                <w:color w:val="1B3A4B"/>
                <w:sz w:val="20"/>
              </w:rPr>
              <w:t>Log-Likelihood</w:t>
            </w:r>
          </w:p>
        </w:tc>
        <w:tc>
          <w:tcPr>
            <w:tcW w:type="dxa" w:w="6192"/>
            <w:shd w:val="clear" w:color="auto" w:fill="FFFFFF"/>
          </w:tcPr>
          <w:p>
            <w:pPr>
              <w:ind w:left="72"/>
            </w:pPr>
            <w:r>
              <w:rPr>
                <w:b w:val="0"/>
                <w:i w:val="0"/>
                <w:color w:val="2C2C2C"/>
                <w:sz w:val="20"/>
              </w:rPr>
              <w:t>-339.74</w:t>
            </w:r>
          </w:p>
        </w:tc>
      </w:tr>
      <w:tr>
        <w:tc>
          <w:tcPr>
            <w:tcW w:type="dxa" w:w="3168"/>
            <w:shd w:val="clear" w:color="auto" w:fill="E6DDD0"/>
          </w:tcPr>
          <w:p>
            <w:pPr>
              <w:ind w:left="72"/>
            </w:pPr>
            <w:r>
              <w:rPr>
                <w:b/>
                <w:i w:val="0"/>
                <w:color w:val="1B3A4B"/>
                <w:sz w:val="20"/>
              </w:rPr>
              <w:t>AIC</w:t>
            </w:r>
          </w:p>
        </w:tc>
        <w:tc>
          <w:tcPr>
            <w:tcW w:type="dxa" w:w="6192"/>
            <w:shd w:val="clear" w:color="auto" w:fill="EEE8DD"/>
          </w:tcPr>
          <w:p>
            <w:pPr>
              <w:ind w:left="72"/>
            </w:pPr>
            <w:r>
              <w:rPr>
                <w:b w:val="0"/>
                <w:i w:val="0"/>
                <w:color w:val="2C2C2C"/>
                <w:sz w:val="20"/>
              </w:rPr>
              <w:t>-339.74 + 2×31</w:t>
            </w:r>
          </w:p>
        </w:tc>
      </w:tr>
      <w:tr>
        <w:tc>
          <w:tcPr>
            <w:tcW w:type="dxa" w:w="3168"/>
            <w:shd w:val="clear" w:color="auto" w:fill="E6DDD0"/>
          </w:tcPr>
          <w:p>
            <w:pPr>
              <w:ind w:left="72"/>
            </w:pPr>
            <w:r>
              <w:rPr>
                <w:b/>
                <w:i w:val="0"/>
                <w:color w:val="1B3A4B"/>
                <w:sz w:val="20"/>
              </w:rPr>
              <w:t>Multicollinearity Check</w:t>
            </w:r>
          </w:p>
        </w:tc>
        <w:tc>
          <w:tcPr>
            <w:tcW w:type="dxa" w:w="6192"/>
            <w:shd w:val="clear" w:color="auto" w:fill="FFFFFF"/>
          </w:tcPr>
          <w:p>
            <w:pPr>
              <w:ind w:left="72"/>
            </w:pPr>
            <w:r>
              <w:rPr>
                <w:b w:val="0"/>
                <w:i w:val="0"/>
                <w:color w:val="2C2C2C"/>
                <w:sz w:val="20"/>
              </w:rPr>
              <w:t>VIF max reduced to 3.83 (acceptable) after dropping 4 high-VIF features</w:t>
            </w:r>
          </w:p>
        </w:tc>
      </w:tr>
    </w:tbl>
    <w:p/>
    <w:p>
      <w:pPr>
        <w:spacing w:before="120" w:after="40"/>
      </w:pPr>
      <w:r>
        <w:rPr>
          <w:b/>
          <w:i w:val="0"/>
          <w:color w:val="4472A8"/>
          <w:sz w:val="22"/>
        </w:rPr>
        <w:t>Key Significant Coefficients  (p &lt; 0.05)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1B3A4B"/>
          </w:tcPr>
          <w:p>
            <w:pPr>
              <w:jc w:val="center"/>
            </w:pPr>
            <w:r>
              <w:rPr>
                <w:b/>
                <w:i w:val="0"/>
                <w:color w:val="FFFFFF"/>
                <w:sz w:val="19"/>
              </w:rPr>
              <w:t>Feature</w:t>
            </w:r>
          </w:p>
        </w:tc>
        <w:tc>
          <w:tcPr>
            <w:tcW w:type="dxa" w:w="1440"/>
            <w:shd w:val="clear" w:color="auto" w:fill="1B3A4B"/>
          </w:tcPr>
          <w:p>
            <w:pPr>
              <w:jc w:val="center"/>
            </w:pPr>
            <w:r>
              <w:rPr>
                <w:b/>
                <w:i w:val="0"/>
                <w:color w:val="FFFFFF"/>
                <w:sz w:val="19"/>
              </w:rPr>
              <w:t>Coefficient</w:t>
            </w:r>
          </w:p>
        </w:tc>
        <w:tc>
          <w:tcPr>
            <w:tcW w:type="dxa" w:w="1296"/>
            <w:shd w:val="clear" w:color="auto" w:fill="1B3A4B"/>
          </w:tcPr>
          <w:p>
            <w:pPr>
              <w:jc w:val="center"/>
            </w:pPr>
            <w:r>
              <w:rPr>
                <w:b/>
                <w:i w:val="0"/>
                <w:color w:val="FFFFFF"/>
                <w:sz w:val="19"/>
              </w:rPr>
              <w:t>Direction</w:t>
            </w:r>
          </w:p>
        </w:tc>
        <w:tc>
          <w:tcPr>
            <w:tcW w:type="dxa" w:w="3744"/>
            <w:shd w:val="clear" w:color="auto" w:fill="1B3A4B"/>
          </w:tcPr>
          <w:p>
            <w:pPr>
              <w:jc w:val="center"/>
            </w:pPr>
            <w:r>
              <w:rPr>
                <w:b/>
                <w:i w:val="0"/>
                <w:color w:val="FFFFFF"/>
                <w:sz w:val="19"/>
              </w:rPr>
              <w:t>Interpretation</w:t>
            </w:r>
          </w:p>
        </w:tc>
      </w:tr>
      <w:tr>
        <w:tc>
          <w:tcPr>
            <w:tcW w:type="dxa" w:w="3600"/>
            <w:shd w:val="clear" w:color="auto" w:fill="EEE8DD"/>
          </w:tcPr>
          <w:p>
            <w:pPr>
              <w:jc w:val="left"/>
            </w:pPr>
            <w:r>
              <w:rPr>
                <w:b/>
                <w:i w:val="0"/>
                <w:color w:val="2C2C2C"/>
                <w:sz w:val="19"/>
              </w:rPr>
              <w:t>is_high_risk_hobby</w:t>
            </w:r>
          </w:p>
        </w:tc>
        <w:tc>
          <w:tcPr>
            <w:tcW w:type="dxa" w:w="1440"/>
            <w:shd w:val="clear" w:color="auto" w:fill="EEE8DD"/>
          </w:tcPr>
          <w:p>
            <w:pPr>
              <w:jc w:val="center"/>
            </w:pPr>
            <w:r>
              <w:rPr>
                <w:b w:val="0"/>
                <w:i w:val="0"/>
                <w:color w:val="2C2C2C"/>
                <w:sz w:val="19"/>
              </w:rPr>
              <w:t>+2.23</w:t>
            </w:r>
          </w:p>
        </w:tc>
        <w:tc>
          <w:tcPr>
            <w:tcW w:type="dxa" w:w="1296"/>
            <w:shd w:val="clear" w:color="auto" w:fill="EEE8DD"/>
          </w:tcPr>
          <w:p>
            <w:pPr>
              <w:jc w:val="center"/>
            </w:pPr>
            <w:r>
              <w:rPr>
                <w:b w:val="0"/>
                <w:i w:val="0"/>
                <w:color w:val="2C2C2C"/>
                <w:sz w:val="19"/>
              </w:rPr>
              <w:t>→ Fraud</w:t>
            </w:r>
          </w:p>
        </w:tc>
        <w:tc>
          <w:tcPr>
            <w:tcW w:type="dxa" w:w="3744"/>
            <w:shd w:val="clear" w:color="auto" w:fill="EEE8DD"/>
          </w:tcPr>
          <w:p>
            <w:pPr>
              <w:jc w:val="center"/>
            </w:pPr>
            <w:r>
              <w:rPr>
                <w:b w:val="0"/>
                <w:i w:val="0"/>
                <w:color w:val="2C2C2C"/>
                <w:sz w:val="19"/>
              </w:rPr>
              <w:t>Strongest predictor — chess/cross-fit hobbies</w:t>
            </w:r>
          </w:p>
        </w:tc>
      </w:tr>
      <w:tr>
        <w:tc>
          <w:tcPr>
            <w:tcW w:type="dxa" w:w="3600"/>
            <w:shd w:val="clear" w:color="auto" w:fill="FFFFFF"/>
          </w:tcPr>
          <w:p>
            <w:pPr>
              <w:jc w:val="left"/>
            </w:pPr>
            <w:r>
              <w:rPr>
                <w:b/>
                <w:i w:val="0"/>
                <w:color w:val="2C2C2C"/>
                <w:sz w:val="19"/>
              </w:rPr>
              <w:t>incident_severity_Minor Damage</w:t>
            </w:r>
          </w:p>
        </w:tc>
        <w:tc>
          <w:tcPr>
            <w:tcW w:type="dxa" w:w="1440"/>
            <w:shd w:val="clear" w:color="auto" w:fill="FFFFFF"/>
          </w:tcPr>
          <w:p>
            <w:pPr>
              <w:jc w:val="center"/>
            </w:pPr>
            <w:r>
              <w:rPr>
                <w:b w:val="0"/>
                <w:i w:val="0"/>
                <w:color w:val="2C2C2C"/>
                <w:sz w:val="19"/>
              </w:rPr>
              <w:t>−1.92</w:t>
            </w:r>
          </w:p>
        </w:tc>
        <w:tc>
          <w:tcPr>
            <w:tcW w:type="dxa" w:w="1296"/>
            <w:shd w:val="clear" w:color="auto" w:fill="FFFFFF"/>
          </w:tcPr>
          <w:p>
            <w:pPr>
              <w:jc w:val="center"/>
            </w:pPr>
            <w:r>
              <w:rPr>
                <w:b w:val="0"/>
                <w:i w:val="0"/>
                <w:color w:val="2C2C2C"/>
                <w:sz w:val="19"/>
              </w:rPr>
              <w:t>→ Legit</w:t>
            </w:r>
          </w:p>
        </w:tc>
        <w:tc>
          <w:tcPr>
            <w:tcW w:type="dxa" w:w="3744"/>
            <w:shd w:val="clear" w:color="auto" w:fill="FFFFFF"/>
          </w:tcPr>
          <w:p>
            <w:pPr>
              <w:jc w:val="center"/>
            </w:pPr>
            <w:r>
              <w:rPr>
                <w:b w:val="0"/>
                <w:i w:val="0"/>
                <w:color w:val="2C2C2C"/>
                <w:sz w:val="19"/>
              </w:rPr>
              <w:t>Minor damage claims are less fraudulent</w:t>
            </w:r>
          </w:p>
        </w:tc>
      </w:tr>
      <w:tr>
        <w:tc>
          <w:tcPr>
            <w:tcW w:type="dxa" w:w="3600"/>
            <w:shd w:val="clear" w:color="auto" w:fill="EEE8DD"/>
          </w:tcPr>
          <w:p>
            <w:pPr>
              <w:jc w:val="left"/>
            </w:pPr>
            <w:r>
              <w:rPr>
                <w:b/>
                <w:i w:val="0"/>
                <w:color w:val="2C2C2C"/>
                <w:sz w:val="19"/>
              </w:rPr>
              <w:t>incident_severity_Total Loss</w:t>
            </w:r>
          </w:p>
        </w:tc>
        <w:tc>
          <w:tcPr>
            <w:tcW w:type="dxa" w:w="1440"/>
            <w:shd w:val="clear" w:color="auto" w:fill="EEE8DD"/>
          </w:tcPr>
          <w:p>
            <w:pPr>
              <w:jc w:val="center"/>
            </w:pPr>
            <w:r>
              <w:rPr>
                <w:b w:val="0"/>
                <w:i w:val="0"/>
                <w:color w:val="2C2C2C"/>
                <w:sz w:val="19"/>
              </w:rPr>
              <w:t>−1.69</w:t>
            </w:r>
          </w:p>
        </w:tc>
        <w:tc>
          <w:tcPr>
            <w:tcW w:type="dxa" w:w="1296"/>
            <w:shd w:val="clear" w:color="auto" w:fill="EEE8DD"/>
          </w:tcPr>
          <w:p>
            <w:pPr>
              <w:jc w:val="center"/>
            </w:pPr>
            <w:r>
              <w:rPr>
                <w:b w:val="0"/>
                <w:i w:val="0"/>
                <w:color w:val="2C2C2C"/>
                <w:sz w:val="19"/>
              </w:rPr>
              <w:t>→ Legit</w:t>
            </w:r>
          </w:p>
        </w:tc>
        <w:tc>
          <w:tcPr>
            <w:tcW w:type="dxa" w:w="3744"/>
            <w:shd w:val="clear" w:color="auto" w:fill="EEE8DD"/>
          </w:tcPr>
          <w:p>
            <w:pPr>
              <w:jc w:val="center"/>
            </w:pPr>
            <w:r>
              <w:rPr>
                <w:b w:val="0"/>
                <w:i w:val="0"/>
                <w:color w:val="2C2C2C"/>
                <w:sz w:val="19"/>
              </w:rPr>
              <w:t>Total loss claims are less fraudulent</w:t>
            </w:r>
          </w:p>
        </w:tc>
      </w:tr>
      <w:tr>
        <w:tc>
          <w:tcPr>
            <w:tcW w:type="dxa" w:w="3600"/>
            <w:shd w:val="clear" w:color="auto" w:fill="FFFFFF"/>
          </w:tcPr>
          <w:p>
            <w:pPr>
              <w:jc w:val="left"/>
            </w:pPr>
            <w:r>
              <w:rPr>
                <w:b/>
                <w:i w:val="0"/>
                <w:color w:val="2C2C2C"/>
                <w:sz w:val="19"/>
              </w:rPr>
              <w:t>incident_severity_Trivial Damage</w:t>
            </w:r>
          </w:p>
        </w:tc>
        <w:tc>
          <w:tcPr>
            <w:tcW w:type="dxa" w:w="1440"/>
            <w:shd w:val="clear" w:color="auto" w:fill="FFFFFF"/>
          </w:tcPr>
          <w:p>
            <w:pPr>
              <w:jc w:val="center"/>
            </w:pPr>
            <w:r>
              <w:rPr>
                <w:b w:val="0"/>
                <w:i w:val="0"/>
                <w:color w:val="2C2C2C"/>
                <w:sz w:val="19"/>
              </w:rPr>
              <w:t>−1.35</w:t>
            </w:r>
          </w:p>
        </w:tc>
        <w:tc>
          <w:tcPr>
            <w:tcW w:type="dxa" w:w="1296"/>
            <w:shd w:val="clear" w:color="auto" w:fill="FFFFFF"/>
          </w:tcPr>
          <w:p>
            <w:pPr>
              <w:jc w:val="center"/>
            </w:pPr>
            <w:r>
              <w:rPr>
                <w:b w:val="0"/>
                <w:i w:val="0"/>
                <w:color w:val="2C2C2C"/>
                <w:sz w:val="19"/>
              </w:rPr>
              <w:t>→ Legit</w:t>
            </w:r>
          </w:p>
        </w:tc>
        <w:tc>
          <w:tcPr>
            <w:tcW w:type="dxa" w:w="3744"/>
            <w:shd w:val="clear" w:color="auto" w:fill="FFFFFF"/>
          </w:tcPr>
          <w:p>
            <w:pPr>
              <w:jc w:val="center"/>
            </w:pPr>
            <w:r>
              <w:rPr>
                <w:b w:val="0"/>
                <w:i w:val="0"/>
                <w:color w:val="2C2C2C"/>
                <w:sz w:val="19"/>
              </w:rPr>
              <w:t>Trivial claims are less fraudulent</w:t>
            </w:r>
          </w:p>
        </w:tc>
      </w:tr>
      <w:tr>
        <w:tc>
          <w:tcPr>
            <w:tcW w:type="dxa" w:w="3600"/>
            <w:shd w:val="clear" w:color="auto" w:fill="EEE8DD"/>
          </w:tcPr>
          <w:p>
            <w:pPr>
              <w:jc w:val="left"/>
            </w:pPr>
            <w:r>
              <w:rPr>
                <w:b/>
                <w:i w:val="0"/>
                <w:color w:val="2C2C2C"/>
                <w:sz w:val="19"/>
              </w:rPr>
              <w:t>policy_csl_250/500</w:t>
            </w:r>
          </w:p>
        </w:tc>
        <w:tc>
          <w:tcPr>
            <w:tcW w:type="dxa" w:w="1440"/>
            <w:shd w:val="clear" w:color="auto" w:fill="EEE8DD"/>
          </w:tcPr>
          <w:p>
            <w:pPr>
              <w:jc w:val="center"/>
            </w:pPr>
            <w:r>
              <w:rPr>
                <w:b w:val="0"/>
                <w:i w:val="0"/>
                <w:color w:val="2C2C2C"/>
                <w:sz w:val="19"/>
              </w:rPr>
              <w:t>+0.46</w:t>
            </w:r>
          </w:p>
        </w:tc>
        <w:tc>
          <w:tcPr>
            <w:tcW w:type="dxa" w:w="1296"/>
            <w:shd w:val="clear" w:color="auto" w:fill="EEE8DD"/>
          </w:tcPr>
          <w:p>
            <w:pPr>
              <w:jc w:val="center"/>
            </w:pPr>
            <w:r>
              <w:rPr>
                <w:b w:val="0"/>
                <w:i w:val="0"/>
                <w:color w:val="2C2C2C"/>
                <w:sz w:val="19"/>
              </w:rPr>
              <w:t>→ Fraud</w:t>
            </w:r>
          </w:p>
        </w:tc>
        <w:tc>
          <w:tcPr>
            <w:tcW w:type="dxa" w:w="3744"/>
            <w:shd w:val="clear" w:color="auto" w:fill="EEE8DD"/>
          </w:tcPr>
          <w:p>
            <w:pPr>
              <w:jc w:val="center"/>
            </w:pPr>
            <w:r>
              <w:rPr>
                <w:b w:val="0"/>
                <w:i w:val="0"/>
                <w:color w:val="2C2C2C"/>
                <w:sz w:val="19"/>
              </w:rPr>
              <w:t>Higher coverage limit attracts fraud</w:t>
            </w:r>
          </w:p>
        </w:tc>
      </w:tr>
      <w:tr>
        <w:tc>
          <w:tcPr>
            <w:tcW w:type="dxa" w:w="3600"/>
            <w:shd w:val="clear" w:color="auto" w:fill="FFFFFF"/>
          </w:tcPr>
          <w:p>
            <w:pPr>
              <w:jc w:val="left"/>
            </w:pPr>
            <w:r>
              <w:rPr>
                <w:b/>
                <w:i w:val="0"/>
                <w:color w:val="2C2C2C"/>
                <w:sz w:val="19"/>
              </w:rPr>
              <w:t>property_damage_YES</w:t>
            </w:r>
          </w:p>
        </w:tc>
        <w:tc>
          <w:tcPr>
            <w:tcW w:type="dxa" w:w="1440"/>
            <w:shd w:val="clear" w:color="auto" w:fill="FFFFFF"/>
          </w:tcPr>
          <w:p>
            <w:pPr>
              <w:jc w:val="center"/>
            </w:pPr>
            <w:r>
              <w:rPr>
                <w:b w:val="0"/>
                <w:i w:val="0"/>
                <w:color w:val="2C2C2C"/>
                <w:sz w:val="19"/>
              </w:rPr>
              <w:t>+0.39</w:t>
            </w:r>
          </w:p>
        </w:tc>
        <w:tc>
          <w:tcPr>
            <w:tcW w:type="dxa" w:w="1296"/>
            <w:shd w:val="clear" w:color="auto" w:fill="FFFFFF"/>
          </w:tcPr>
          <w:p>
            <w:pPr>
              <w:jc w:val="center"/>
            </w:pPr>
            <w:r>
              <w:rPr>
                <w:b w:val="0"/>
                <w:i w:val="0"/>
                <w:color w:val="2C2C2C"/>
                <w:sz w:val="19"/>
              </w:rPr>
              <w:t>→ Fraud</w:t>
            </w:r>
          </w:p>
        </w:tc>
        <w:tc>
          <w:tcPr>
            <w:tcW w:type="dxa" w:w="3744"/>
            <w:shd w:val="clear" w:color="auto" w:fill="FFFFFF"/>
          </w:tcPr>
          <w:p>
            <w:pPr>
              <w:jc w:val="center"/>
            </w:pPr>
            <w:r>
              <w:rPr>
                <w:b w:val="0"/>
                <w:i w:val="0"/>
                <w:color w:val="2C2C2C"/>
                <w:sz w:val="19"/>
              </w:rPr>
              <w:t>Property damage reported = fraud signal</w:t>
            </w:r>
          </w:p>
        </w:tc>
      </w:tr>
      <w:tr>
        <w:tc>
          <w:tcPr>
            <w:tcW w:type="dxa" w:w="3600"/>
            <w:shd w:val="clear" w:color="auto" w:fill="EEE8DD"/>
          </w:tcPr>
          <w:p>
            <w:pPr>
              <w:jc w:val="left"/>
            </w:pPr>
            <w:r>
              <w:rPr>
                <w:b/>
                <w:i w:val="0"/>
                <w:color w:val="2C2C2C"/>
                <w:sz w:val="19"/>
              </w:rPr>
              <w:t>vehicle_to_injury_ratio</w:t>
            </w:r>
          </w:p>
        </w:tc>
        <w:tc>
          <w:tcPr>
            <w:tcW w:type="dxa" w:w="1440"/>
            <w:shd w:val="clear" w:color="auto" w:fill="EEE8DD"/>
          </w:tcPr>
          <w:p>
            <w:pPr>
              <w:jc w:val="center"/>
            </w:pPr>
            <w:r>
              <w:rPr>
                <w:b w:val="0"/>
                <w:i w:val="0"/>
                <w:color w:val="2C2C2C"/>
                <w:sz w:val="19"/>
              </w:rPr>
              <w:t>+0.41</w:t>
            </w:r>
          </w:p>
        </w:tc>
        <w:tc>
          <w:tcPr>
            <w:tcW w:type="dxa" w:w="1296"/>
            <w:shd w:val="clear" w:color="auto" w:fill="EEE8DD"/>
          </w:tcPr>
          <w:p>
            <w:pPr>
              <w:jc w:val="center"/>
            </w:pPr>
            <w:r>
              <w:rPr>
                <w:b w:val="0"/>
                <w:i w:val="0"/>
                <w:color w:val="2C2C2C"/>
                <w:sz w:val="19"/>
              </w:rPr>
              <w:t>→ Fraud</w:t>
            </w:r>
          </w:p>
        </w:tc>
        <w:tc>
          <w:tcPr>
            <w:tcW w:type="dxa" w:w="3744"/>
            <w:shd w:val="clear" w:color="auto" w:fill="EEE8DD"/>
          </w:tcPr>
          <w:p>
            <w:pPr>
              <w:jc w:val="center"/>
            </w:pPr>
            <w:r>
              <w:rPr>
                <w:b w:val="0"/>
                <w:i w:val="0"/>
                <w:color w:val="2C2C2C"/>
                <w:sz w:val="19"/>
              </w:rPr>
              <w:t>Vehicle claim &gt;&gt; injury = staged accident</w:t>
            </w:r>
          </w:p>
        </w:tc>
      </w:tr>
      <w:tr>
        <w:tc>
          <w:tcPr>
            <w:tcW w:type="dxa" w:w="3600"/>
            <w:shd w:val="clear" w:color="auto" w:fill="FFFFFF"/>
          </w:tcPr>
          <w:p>
            <w:pPr>
              <w:jc w:val="left"/>
            </w:pPr>
            <w:r>
              <w:rPr>
                <w:b/>
                <w:i w:val="0"/>
                <w:color w:val="2C2C2C"/>
                <w:sz w:val="19"/>
              </w:rPr>
              <w:t>witnesses</w:t>
            </w:r>
          </w:p>
        </w:tc>
        <w:tc>
          <w:tcPr>
            <w:tcW w:type="dxa" w:w="1440"/>
            <w:shd w:val="clear" w:color="auto" w:fill="FFFFFF"/>
          </w:tcPr>
          <w:p>
            <w:pPr>
              <w:jc w:val="center"/>
            </w:pPr>
            <w:r>
              <w:rPr>
                <w:b w:val="0"/>
                <w:i w:val="0"/>
                <w:color w:val="2C2C2C"/>
                <w:sz w:val="19"/>
              </w:rPr>
              <w:t>+0.31</w:t>
            </w:r>
          </w:p>
        </w:tc>
        <w:tc>
          <w:tcPr>
            <w:tcW w:type="dxa" w:w="1296"/>
            <w:shd w:val="clear" w:color="auto" w:fill="FFFFFF"/>
          </w:tcPr>
          <w:p>
            <w:pPr>
              <w:jc w:val="center"/>
            </w:pPr>
            <w:r>
              <w:rPr>
                <w:b w:val="0"/>
                <w:i w:val="0"/>
                <w:color w:val="2C2C2C"/>
                <w:sz w:val="19"/>
              </w:rPr>
              <w:t>→ Fraud</w:t>
            </w:r>
          </w:p>
        </w:tc>
        <w:tc>
          <w:tcPr>
            <w:tcW w:type="dxa" w:w="3744"/>
            <w:shd w:val="clear" w:color="auto" w:fill="FFFFFF"/>
          </w:tcPr>
          <w:p>
            <w:pPr>
              <w:jc w:val="center"/>
            </w:pPr>
            <w:r>
              <w:rPr>
                <w:b w:val="0"/>
                <w:i w:val="0"/>
                <w:color w:val="2C2C2C"/>
                <w:sz w:val="19"/>
              </w:rPr>
              <w:t>More witnesses = organised staging</w:t>
            </w:r>
          </w:p>
        </w:tc>
      </w:tr>
      <w:tr>
        <w:tc>
          <w:tcPr>
            <w:tcW w:type="dxa" w:w="3600"/>
            <w:shd w:val="clear" w:color="auto" w:fill="EEE8DD"/>
          </w:tcPr>
          <w:p>
            <w:pPr>
              <w:jc w:val="left"/>
            </w:pPr>
            <w:r>
              <w:rPr>
                <w:b/>
                <w:i w:val="0"/>
                <w:color w:val="2C2C2C"/>
                <w:sz w:val="19"/>
              </w:rPr>
              <w:t>number_of_vehicles_involved</w:t>
            </w:r>
          </w:p>
        </w:tc>
        <w:tc>
          <w:tcPr>
            <w:tcW w:type="dxa" w:w="1440"/>
            <w:shd w:val="clear" w:color="auto" w:fill="EEE8DD"/>
          </w:tcPr>
          <w:p>
            <w:pPr>
              <w:jc w:val="center"/>
            </w:pPr>
            <w:r>
              <w:rPr>
                <w:b w:val="0"/>
                <w:i w:val="0"/>
                <w:color w:val="2C2C2C"/>
                <w:sz w:val="19"/>
              </w:rPr>
              <w:t>−0.71</w:t>
            </w:r>
          </w:p>
        </w:tc>
        <w:tc>
          <w:tcPr>
            <w:tcW w:type="dxa" w:w="1296"/>
            <w:shd w:val="clear" w:color="auto" w:fill="EEE8DD"/>
          </w:tcPr>
          <w:p>
            <w:pPr>
              <w:jc w:val="center"/>
            </w:pPr>
            <w:r>
              <w:rPr>
                <w:b w:val="0"/>
                <w:i w:val="0"/>
                <w:color w:val="2C2C2C"/>
                <w:sz w:val="19"/>
              </w:rPr>
              <w:t>→ Legit</w:t>
            </w:r>
          </w:p>
        </w:tc>
        <w:tc>
          <w:tcPr>
            <w:tcW w:type="dxa" w:w="3744"/>
            <w:shd w:val="clear" w:color="auto" w:fill="EEE8DD"/>
          </w:tcPr>
          <w:p>
            <w:pPr>
              <w:jc w:val="center"/>
            </w:pPr>
            <w:r>
              <w:rPr>
                <w:b w:val="0"/>
                <w:i w:val="0"/>
                <w:color w:val="2C2C2C"/>
                <w:sz w:val="19"/>
              </w:rPr>
              <w:t>Multi-vehicle = genuine accident</w:t>
            </w:r>
          </w:p>
        </w:tc>
      </w:tr>
    </w:tbl>
    <w:p/>
    <w:p>
      <w:pPr>
        <w:keepNext/>
        <w:spacing w:before="160" w:after="40"/>
      </w:pPr>
      <w:r>
        <w:rPr>
          <w:b/>
          <w:i w:val="0"/>
          <w:color w:val="1B3A4B"/>
          <w:sz w:val="24"/>
        </w:rPr>
        <w:t>8.2  Random Forest (Tuned)</w:t>
      </w:r>
    </w:p>
    <w:p>
      <w:pPr>
        <w:spacing w:before="120" w:after="40"/>
      </w:pPr>
      <w:r>
        <w:rPr>
          <w:b/>
          <w:i w:val="0"/>
          <w:color w:val="4472A8"/>
          <w:sz w:val="22"/>
        </w:rPr>
        <w:t>Base Model Observations</w:t>
      </w:r>
    </w:p>
    <w:p>
      <w:pPr>
        <w:spacing w:before="0" w:after="80"/>
      </w:pPr>
      <w:r>
        <w:rPr>
          <w:b w:val="0"/>
          <w:i w:val="0"/>
          <w:color w:val="2C2C2C"/>
          <w:sz w:val="21"/>
        </w:rPr>
        <w:t>The initial Random Forest achieved 100% training accuracy — a clear sign of overfitting. Cross-validation (5-fold) accuracy of ~92% revealed the true generalisation ability. Feature importance scores were used to filter features (importance &gt; 0.015 threshold).</w:t>
      </w:r>
    </w:p>
    <w:p>
      <w:pPr>
        <w:spacing w:before="120" w:after="40"/>
      </w:pPr>
      <w:r>
        <w:rPr>
          <w:b/>
          <w:i w:val="0"/>
          <w:color w:val="4472A8"/>
          <w:sz w:val="22"/>
        </w:rPr>
        <w:t>Hyperparameter Tuning — GridSearchCV</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n_estimators</w:t>
            </w:r>
          </w:p>
        </w:tc>
        <w:tc>
          <w:tcPr>
            <w:tcW w:type="dxa" w:w="6192"/>
            <w:shd w:val="clear" w:color="auto" w:fill="EEE8DD"/>
          </w:tcPr>
          <w:p>
            <w:pPr>
              <w:ind w:left="72"/>
            </w:pPr>
            <w:r>
              <w:rPr>
                <w:b w:val="0"/>
                <w:i w:val="0"/>
                <w:color w:val="2C2C2C"/>
                <w:sz w:val="20"/>
              </w:rPr>
              <w:t>Best: 70  (searched: 50, 60, 65, 70)</w:t>
            </w:r>
          </w:p>
        </w:tc>
      </w:tr>
      <w:tr>
        <w:tc>
          <w:tcPr>
            <w:tcW w:type="dxa" w:w="3168"/>
            <w:shd w:val="clear" w:color="auto" w:fill="E6DDD0"/>
          </w:tcPr>
          <w:p>
            <w:pPr>
              <w:ind w:left="72"/>
            </w:pPr>
            <w:r>
              <w:rPr>
                <w:b/>
                <w:i w:val="0"/>
                <w:color w:val="1B3A4B"/>
                <w:sz w:val="20"/>
              </w:rPr>
              <w:t>max_depth</w:t>
            </w:r>
          </w:p>
        </w:tc>
        <w:tc>
          <w:tcPr>
            <w:tcW w:type="dxa" w:w="6192"/>
            <w:shd w:val="clear" w:color="auto" w:fill="FFFFFF"/>
          </w:tcPr>
          <w:p>
            <w:pPr>
              <w:ind w:left="72"/>
            </w:pPr>
            <w:r>
              <w:rPr>
                <w:b w:val="0"/>
                <w:i w:val="0"/>
                <w:color w:val="2C2C2C"/>
                <w:sz w:val="20"/>
              </w:rPr>
              <w:t>Best: 22  (searched: 20, 22, 25)</w:t>
            </w:r>
          </w:p>
        </w:tc>
      </w:tr>
      <w:tr>
        <w:tc>
          <w:tcPr>
            <w:tcW w:type="dxa" w:w="3168"/>
            <w:shd w:val="clear" w:color="auto" w:fill="E6DDD0"/>
          </w:tcPr>
          <w:p>
            <w:pPr>
              <w:ind w:left="72"/>
            </w:pPr>
            <w:r>
              <w:rPr>
                <w:b/>
                <w:i w:val="0"/>
                <w:color w:val="1B3A4B"/>
                <w:sz w:val="20"/>
              </w:rPr>
              <w:t>min_samples_split</w:t>
            </w:r>
          </w:p>
        </w:tc>
        <w:tc>
          <w:tcPr>
            <w:tcW w:type="dxa" w:w="6192"/>
            <w:shd w:val="clear" w:color="auto" w:fill="EEE8DD"/>
          </w:tcPr>
          <w:p>
            <w:pPr>
              <w:ind w:left="72"/>
            </w:pPr>
            <w:r>
              <w:rPr>
                <w:b w:val="0"/>
                <w:i w:val="0"/>
                <w:color w:val="2C2C2C"/>
                <w:sz w:val="20"/>
              </w:rPr>
              <w:t>Best: 8   (searched: 8, 10)</w:t>
            </w:r>
          </w:p>
        </w:tc>
      </w:tr>
      <w:tr>
        <w:tc>
          <w:tcPr>
            <w:tcW w:type="dxa" w:w="3168"/>
            <w:shd w:val="clear" w:color="auto" w:fill="E6DDD0"/>
          </w:tcPr>
          <w:p>
            <w:pPr>
              <w:ind w:left="72"/>
            </w:pPr>
            <w:r>
              <w:rPr>
                <w:b/>
                <w:i w:val="0"/>
                <w:color w:val="1B3A4B"/>
                <w:sz w:val="20"/>
              </w:rPr>
              <w:t>min_samples_leaf</w:t>
            </w:r>
          </w:p>
        </w:tc>
        <w:tc>
          <w:tcPr>
            <w:tcW w:type="dxa" w:w="6192"/>
            <w:shd w:val="clear" w:color="auto" w:fill="FFFFFF"/>
          </w:tcPr>
          <w:p>
            <w:pPr>
              <w:ind w:left="72"/>
            </w:pPr>
            <w:r>
              <w:rPr>
                <w:b w:val="0"/>
                <w:i w:val="0"/>
                <w:color w:val="2C2C2C"/>
                <w:sz w:val="20"/>
              </w:rPr>
              <w:t>Best: 5   (searched: 5, 7)</w:t>
            </w:r>
          </w:p>
        </w:tc>
      </w:tr>
      <w:tr>
        <w:tc>
          <w:tcPr>
            <w:tcW w:type="dxa" w:w="3168"/>
            <w:shd w:val="clear" w:color="auto" w:fill="E6DDD0"/>
          </w:tcPr>
          <w:p>
            <w:pPr>
              <w:ind w:left="72"/>
            </w:pPr>
            <w:r>
              <w:rPr>
                <w:b/>
                <w:i w:val="0"/>
                <w:color w:val="1B3A4B"/>
                <w:sz w:val="20"/>
              </w:rPr>
              <w:t>max_leaf_nodes</w:t>
            </w:r>
          </w:p>
        </w:tc>
        <w:tc>
          <w:tcPr>
            <w:tcW w:type="dxa" w:w="6192"/>
            <w:shd w:val="clear" w:color="auto" w:fill="EEE8DD"/>
          </w:tcPr>
          <w:p>
            <w:pPr>
              <w:ind w:left="72"/>
            </w:pPr>
            <w:r>
              <w:rPr>
                <w:b w:val="0"/>
                <w:i w:val="0"/>
                <w:color w:val="2C2C2C"/>
                <w:sz w:val="20"/>
              </w:rPr>
              <w:t>Best: 70  (searched: 70, 75)</w:t>
            </w:r>
          </w:p>
        </w:tc>
      </w:tr>
      <w:tr>
        <w:tc>
          <w:tcPr>
            <w:tcW w:type="dxa" w:w="3168"/>
            <w:shd w:val="clear" w:color="auto" w:fill="E6DDD0"/>
          </w:tcPr>
          <w:p>
            <w:pPr>
              <w:ind w:left="72"/>
            </w:pPr>
            <w:r>
              <w:rPr>
                <w:b/>
                <w:i w:val="0"/>
                <w:color w:val="1B3A4B"/>
                <w:sz w:val="20"/>
              </w:rPr>
              <w:t>class_weight</w:t>
            </w:r>
          </w:p>
        </w:tc>
        <w:tc>
          <w:tcPr>
            <w:tcW w:type="dxa" w:w="6192"/>
            <w:shd w:val="clear" w:color="auto" w:fill="FFFFFF"/>
          </w:tcPr>
          <w:p>
            <w:pPr>
              <w:ind w:left="72"/>
            </w:pPr>
            <w:r>
              <w:rPr>
                <w:b w:val="0"/>
                <w:i w:val="0"/>
                <w:color w:val="2C2C2C"/>
                <w:sz w:val="20"/>
              </w:rPr>
              <w:t>Best: balanced_subsample</w:t>
            </w:r>
          </w:p>
        </w:tc>
      </w:tr>
      <w:tr>
        <w:tc>
          <w:tcPr>
            <w:tcW w:type="dxa" w:w="3168"/>
            <w:shd w:val="clear" w:color="auto" w:fill="E6DDD0"/>
          </w:tcPr>
          <w:p>
            <w:pPr>
              <w:ind w:left="72"/>
            </w:pPr>
            <w:r>
              <w:rPr>
                <w:b/>
                <w:i w:val="0"/>
                <w:color w:val="1B3A4B"/>
                <w:sz w:val="20"/>
              </w:rPr>
              <w:t>min_impurity_decrease</w:t>
            </w:r>
          </w:p>
        </w:tc>
        <w:tc>
          <w:tcPr>
            <w:tcW w:type="dxa" w:w="6192"/>
            <w:shd w:val="clear" w:color="auto" w:fill="EEE8DD"/>
          </w:tcPr>
          <w:p>
            <w:pPr>
              <w:ind w:left="72"/>
            </w:pPr>
            <w:r>
              <w:rPr>
                <w:b w:val="0"/>
                <w:i w:val="0"/>
                <w:color w:val="2C2C2C"/>
                <w:sz w:val="20"/>
              </w:rPr>
              <w:t>0.0005</w:t>
            </w:r>
          </w:p>
        </w:tc>
      </w:tr>
    </w:tbl>
    <w:p/>
    <w:p>
      <w:pPr>
        <w:pBdr>
          <w:bottom w:val="single" w:sz="4" w:space="1" w:color="D4C4A8"/>
        </w:pBdr>
        <w:spacing w:before="80" w:after="80"/>
      </w:pPr>
    </w:p>
    <w:p>
      <w:pPr>
        <w:keepNext/>
        <w:spacing w:before="280" w:after="80"/>
        <w:pBdr>
          <w:left w:val="thick" w:sz="24" w:space="6" w:color="C9A456"/>
        </w:pBdr>
      </w:pPr>
      <w:r>
        <w:rPr>
          <w:b/>
          <w:i w:val="0"/>
          <w:color w:val="1B3A4B"/>
          <w:sz w:val="28"/>
        </w:rPr>
        <w:t>9. MODEL EVALUATION &amp; COMPARISON</w:t>
      </w:r>
    </w:p>
    <w:p>
      <w:pPr>
        <w:keepNext/>
        <w:spacing w:before="160" w:after="40"/>
      </w:pPr>
      <w:r>
        <w:rPr>
          <w:b/>
          <w:i w:val="0"/>
          <w:color w:val="1B3A4B"/>
          <w:sz w:val="24"/>
        </w:rPr>
        <w:t>9.1  Performance on Training Data</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B3A4B"/>
          </w:tcPr>
          <w:p>
            <w:pPr>
              <w:jc w:val="center"/>
            </w:pPr>
            <w:r>
              <w:rPr>
                <w:b/>
                <w:i w:val="0"/>
                <w:color w:val="FFFFFF"/>
                <w:sz w:val="19"/>
              </w:rPr>
              <w:t>Metric</w:t>
            </w:r>
          </w:p>
        </w:tc>
        <w:tc>
          <w:tcPr>
            <w:tcW w:type="dxa" w:w="3312"/>
            <w:shd w:val="clear" w:color="auto" w:fill="1B3A4B"/>
          </w:tcPr>
          <w:p>
            <w:pPr>
              <w:jc w:val="center"/>
            </w:pPr>
            <w:r>
              <w:rPr>
                <w:b/>
                <w:i w:val="0"/>
                <w:color w:val="FFFFFF"/>
                <w:sz w:val="19"/>
              </w:rPr>
              <w:t>Logistic Regression</w:t>
            </w:r>
          </w:p>
        </w:tc>
        <w:tc>
          <w:tcPr>
            <w:tcW w:type="dxa" w:w="3312"/>
            <w:shd w:val="clear" w:color="auto" w:fill="1B3A4B"/>
          </w:tcPr>
          <w:p>
            <w:pPr>
              <w:jc w:val="center"/>
            </w:pPr>
            <w:r>
              <w:rPr>
                <w:b/>
                <w:i w:val="0"/>
                <w:color w:val="FFFFFF"/>
                <w:sz w:val="19"/>
              </w:rPr>
              <w:t>Random Forest (Tuned)</w:t>
            </w:r>
          </w:p>
        </w:tc>
      </w:tr>
      <w:tr>
        <w:tc>
          <w:tcPr>
            <w:tcW w:type="dxa" w:w="2880"/>
            <w:shd w:val="clear" w:color="auto" w:fill="EEE8DD"/>
          </w:tcPr>
          <w:p>
            <w:pPr>
              <w:jc w:val="left"/>
            </w:pPr>
            <w:r>
              <w:rPr>
                <w:b/>
                <w:i w:val="0"/>
                <w:color w:val="2C2C2C"/>
                <w:sz w:val="19"/>
              </w:rPr>
              <w:t>Accuracy</w:t>
            </w:r>
          </w:p>
        </w:tc>
        <w:tc>
          <w:tcPr>
            <w:tcW w:type="dxa" w:w="3312"/>
            <w:shd w:val="clear" w:color="auto" w:fill="EEE8DD"/>
          </w:tcPr>
          <w:p>
            <w:pPr>
              <w:jc w:val="center"/>
            </w:pPr>
            <w:r>
              <w:rPr>
                <w:b w:val="0"/>
                <w:i w:val="0"/>
                <w:color w:val="4A7C59"/>
                <w:sz w:val="19"/>
              </w:rPr>
              <w:t>88.19%</w:t>
            </w:r>
          </w:p>
        </w:tc>
        <w:tc>
          <w:tcPr>
            <w:tcW w:type="dxa" w:w="3312"/>
            <w:shd w:val="clear" w:color="auto" w:fill="EEE8DD"/>
          </w:tcPr>
          <w:p>
            <w:pPr>
              <w:jc w:val="center"/>
            </w:pPr>
            <w:r>
              <w:rPr>
                <w:b w:val="0"/>
                <w:i w:val="0"/>
                <w:color w:val="4A7C59"/>
                <w:sz w:val="19"/>
              </w:rPr>
              <w:t>93.43%</w:t>
            </w:r>
          </w:p>
        </w:tc>
      </w:tr>
      <w:tr>
        <w:tc>
          <w:tcPr>
            <w:tcW w:type="dxa" w:w="2880"/>
            <w:shd w:val="clear" w:color="auto" w:fill="FFFFFF"/>
          </w:tcPr>
          <w:p>
            <w:pPr>
              <w:jc w:val="left"/>
            </w:pPr>
            <w:r>
              <w:rPr>
                <w:b/>
                <w:i w:val="0"/>
                <w:color w:val="2C2C2C"/>
                <w:sz w:val="19"/>
              </w:rPr>
              <w:t>Sensitivity</w:t>
            </w:r>
          </w:p>
        </w:tc>
        <w:tc>
          <w:tcPr>
            <w:tcW w:type="dxa" w:w="3312"/>
            <w:shd w:val="clear" w:color="auto" w:fill="FFFFFF"/>
          </w:tcPr>
          <w:p>
            <w:pPr>
              <w:jc w:val="center"/>
            </w:pPr>
            <w:r>
              <w:rPr>
                <w:b w:val="0"/>
                <w:i w:val="0"/>
                <w:color w:val="4A7C59"/>
                <w:sz w:val="19"/>
              </w:rPr>
              <w:t>90.48%</w:t>
            </w:r>
          </w:p>
        </w:tc>
        <w:tc>
          <w:tcPr>
            <w:tcW w:type="dxa" w:w="3312"/>
            <w:shd w:val="clear" w:color="auto" w:fill="FFFFFF"/>
          </w:tcPr>
          <w:p>
            <w:pPr>
              <w:jc w:val="center"/>
            </w:pPr>
            <w:r>
              <w:rPr>
                <w:b w:val="0"/>
                <w:i w:val="0"/>
                <w:color w:val="4A7C59"/>
                <w:sz w:val="19"/>
              </w:rPr>
              <w:t>96.76%</w:t>
            </w:r>
          </w:p>
        </w:tc>
      </w:tr>
      <w:tr>
        <w:tc>
          <w:tcPr>
            <w:tcW w:type="dxa" w:w="2880"/>
            <w:shd w:val="clear" w:color="auto" w:fill="EEE8DD"/>
          </w:tcPr>
          <w:p>
            <w:pPr>
              <w:jc w:val="left"/>
            </w:pPr>
            <w:r>
              <w:rPr>
                <w:b/>
                <w:i w:val="0"/>
                <w:color w:val="2C2C2C"/>
                <w:sz w:val="19"/>
              </w:rPr>
              <w:t>Specificity</w:t>
            </w:r>
          </w:p>
        </w:tc>
        <w:tc>
          <w:tcPr>
            <w:tcW w:type="dxa" w:w="3312"/>
            <w:shd w:val="clear" w:color="auto" w:fill="EEE8DD"/>
          </w:tcPr>
          <w:p>
            <w:pPr>
              <w:jc w:val="center"/>
            </w:pPr>
            <w:r>
              <w:rPr>
                <w:b w:val="0"/>
                <w:i w:val="0"/>
                <w:color w:val="4A7C59"/>
                <w:sz w:val="19"/>
              </w:rPr>
              <w:t>85.90%</w:t>
            </w:r>
          </w:p>
        </w:tc>
        <w:tc>
          <w:tcPr>
            <w:tcW w:type="dxa" w:w="3312"/>
            <w:shd w:val="clear" w:color="auto" w:fill="EEE8DD"/>
          </w:tcPr>
          <w:p>
            <w:pPr>
              <w:jc w:val="center"/>
            </w:pPr>
            <w:r>
              <w:rPr>
                <w:b w:val="0"/>
                <w:i w:val="0"/>
                <w:color w:val="4A7C59"/>
                <w:sz w:val="19"/>
              </w:rPr>
              <w:t>90.10%</w:t>
            </w:r>
          </w:p>
        </w:tc>
      </w:tr>
      <w:tr>
        <w:tc>
          <w:tcPr>
            <w:tcW w:type="dxa" w:w="2880"/>
            <w:shd w:val="clear" w:color="auto" w:fill="FFFFFF"/>
          </w:tcPr>
          <w:p>
            <w:pPr>
              <w:jc w:val="left"/>
            </w:pPr>
            <w:r>
              <w:rPr>
                <w:b/>
                <w:i w:val="0"/>
                <w:color w:val="2C2C2C"/>
                <w:sz w:val="19"/>
              </w:rPr>
              <w:t>Precision</w:t>
            </w:r>
          </w:p>
        </w:tc>
        <w:tc>
          <w:tcPr>
            <w:tcW w:type="dxa" w:w="3312"/>
            <w:shd w:val="clear" w:color="auto" w:fill="FFFFFF"/>
          </w:tcPr>
          <w:p>
            <w:pPr>
              <w:jc w:val="center"/>
            </w:pPr>
            <w:r>
              <w:rPr>
                <w:b w:val="0"/>
                <w:i w:val="0"/>
                <w:color w:val="4A7C59"/>
                <w:sz w:val="19"/>
              </w:rPr>
              <w:t>86.52%</w:t>
            </w:r>
          </w:p>
        </w:tc>
        <w:tc>
          <w:tcPr>
            <w:tcW w:type="dxa" w:w="3312"/>
            <w:shd w:val="clear" w:color="auto" w:fill="FFFFFF"/>
          </w:tcPr>
          <w:p>
            <w:pPr>
              <w:jc w:val="center"/>
            </w:pPr>
            <w:r>
              <w:rPr>
                <w:b w:val="0"/>
                <w:i w:val="0"/>
                <w:color w:val="4A7C59"/>
                <w:sz w:val="19"/>
              </w:rPr>
              <w:t>90.71%</w:t>
            </w:r>
          </w:p>
        </w:tc>
      </w:tr>
      <w:tr>
        <w:tc>
          <w:tcPr>
            <w:tcW w:type="dxa" w:w="2880"/>
            <w:shd w:val="clear" w:color="auto" w:fill="EEE8DD"/>
          </w:tcPr>
          <w:p>
            <w:pPr>
              <w:jc w:val="left"/>
            </w:pPr>
            <w:r>
              <w:rPr>
                <w:b/>
                <w:i w:val="0"/>
                <w:color w:val="2C2C2C"/>
                <w:sz w:val="19"/>
              </w:rPr>
              <w:t>F1-Score</w:t>
            </w:r>
          </w:p>
        </w:tc>
        <w:tc>
          <w:tcPr>
            <w:tcW w:type="dxa" w:w="3312"/>
            <w:shd w:val="clear" w:color="auto" w:fill="EEE8DD"/>
          </w:tcPr>
          <w:p>
            <w:pPr>
              <w:jc w:val="center"/>
            </w:pPr>
            <w:r>
              <w:rPr>
                <w:b w:val="0"/>
                <w:i w:val="0"/>
                <w:color w:val="4A7C59"/>
                <w:sz w:val="19"/>
              </w:rPr>
              <w:t>88.45%</w:t>
            </w:r>
          </w:p>
        </w:tc>
        <w:tc>
          <w:tcPr>
            <w:tcW w:type="dxa" w:w="3312"/>
            <w:shd w:val="clear" w:color="auto" w:fill="EEE8DD"/>
          </w:tcPr>
          <w:p>
            <w:pPr>
              <w:jc w:val="center"/>
            </w:pPr>
            <w:r>
              <w:rPr>
                <w:b w:val="0"/>
                <w:i w:val="0"/>
                <w:color w:val="4A7C59"/>
                <w:sz w:val="19"/>
              </w:rPr>
              <w:t>93.64%</w:t>
            </w:r>
          </w:p>
        </w:tc>
      </w:tr>
      <w:tr>
        <w:tc>
          <w:tcPr>
            <w:tcW w:type="dxa" w:w="2880"/>
            <w:shd w:val="clear" w:color="auto" w:fill="FFFFFF"/>
          </w:tcPr>
          <w:p>
            <w:pPr>
              <w:jc w:val="left"/>
            </w:pPr>
            <w:r>
              <w:rPr>
                <w:b/>
                <w:i w:val="0"/>
                <w:color w:val="2C2C2C"/>
                <w:sz w:val="19"/>
              </w:rPr>
              <w:t>AUC-ROC</w:t>
            </w:r>
          </w:p>
        </w:tc>
        <w:tc>
          <w:tcPr>
            <w:tcW w:type="dxa" w:w="3312"/>
            <w:shd w:val="clear" w:color="auto" w:fill="FFFFFF"/>
          </w:tcPr>
          <w:p>
            <w:pPr>
              <w:jc w:val="center"/>
            </w:pPr>
            <w:r>
              <w:rPr>
                <w:b w:val="0"/>
                <w:i w:val="0"/>
                <w:color w:val="4A7C59"/>
                <w:sz w:val="19"/>
              </w:rPr>
              <w:t>93.28%</w:t>
            </w:r>
          </w:p>
        </w:tc>
        <w:tc>
          <w:tcPr>
            <w:tcW w:type="dxa" w:w="3312"/>
            <w:shd w:val="clear" w:color="auto" w:fill="FFFFFF"/>
          </w:tcPr>
          <w:p>
            <w:pPr>
              <w:jc w:val="center"/>
            </w:pPr>
            <w:r>
              <w:rPr>
                <w:b w:val="0"/>
                <w:i w:val="0"/>
                <w:color w:val="4A7C59"/>
                <w:sz w:val="19"/>
              </w:rPr>
              <w:t>~95%</w:t>
            </w:r>
          </w:p>
        </w:tc>
      </w:tr>
    </w:tbl>
    <w:p/>
    <w:p>
      <w:pPr>
        <w:keepNext/>
        <w:spacing w:before="160" w:after="40"/>
      </w:pPr>
      <w:r>
        <w:rPr>
          <w:b/>
          <w:i w:val="0"/>
          <w:color w:val="1B3A4B"/>
          <w:sz w:val="24"/>
        </w:rPr>
        <w:t>9.2  Performance on Validation Data  (Primary Benchmark)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B3A4B"/>
          </w:tcPr>
          <w:p>
            <w:pPr>
              <w:jc w:val="center"/>
            </w:pPr>
            <w:r>
              <w:rPr>
                <w:b/>
                <w:i w:val="0"/>
                <w:color w:val="FFFFFF"/>
                <w:sz w:val="19"/>
              </w:rPr>
              <w:t>Metric</w:t>
            </w:r>
          </w:p>
        </w:tc>
        <w:tc>
          <w:tcPr>
            <w:tcW w:type="dxa" w:w="2880"/>
            <w:shd w:val="clear" w:color="auto" w:fill="1B3A4B"/>
          </w:tcPr>
          <w:p>
            <w:pPr>
              <w:jc w:val="center"/>
            </w:pPr>
            <w:r>
              <w:rPr>
                <w:b/>
                <w:i w:val="0"/>
                <w:color w:val="FFFFFF"/>
                <w:sz w:val="19"/>
              </w:rPr>
              <w:t>Logistic Regression</w:t>
            </w:r>
          </w:p>
        </w:tc>
        <w:tc>
          <w:tcPr>
            <w:tcW w:type="dxa" w:w="3168"/>
            <w:shd w:val="clear" w:color="auto" w:fill="1B3A4B"/>
          </w:tcPr>
          <w:p>
            <w:pPr>
              <w:jc w:val="center"/>
            </w:pPr>
            <w:r>
              <w:rPr>
                <w:b/>
                <w:i w:val="0"/>
                <w:color w:val="FFFFFF"/>
                <w:sz w:val="19"/>
              </w:rPr>
              <w:t>Random Forest (Tuned)</w:t>
            </w:r>
          </w:p>
        </w:tc>
        <w:tc>
          <w:tcPr>
            <w:tcW w:type="dxa" w:w="2880"/>
            <w:shd w:val="clear" w:color="auto" w:fill="1B3A4B"/>
          </w:tcPr>
          <w:p>
            <w:pPr>
              <w:jc w:val="center"/>
            </w:pPr>
            <w:r>
              <w:rPr>
                <w:b/>
                <w:i w:val="0"/>
                <w:color w:val="FFFFFF"/>
                <w:sz w:val="19"/>
              </w:rPr>
              <w:t>Winner</w:t>
            </w:r>
          </w:p>
        </w:tc>
      </w:tr>
      <w:tr>
        <w:tc>
          <w:tcPr>
            <w:tcW w:type="dxa" w:w="2592"/>
            <w:shd w:val="clear" w:color="auto" w:fill="EEE8DD"/>
          </w:tcPr>
          <w:p>
            <w:pPr>
              <w:jc w:val="left"/>
            </w:pPr>
            <w:r>
              <w:rPr>
                <w:b/>
                <w:i w:val="0"/>
                <w:color w:val="2C2C2C"/>
                <w:sz w:val="19"/>
              </w:rPr>
              <w:t>Accuracy</w:t>
            </w:r>
          </w:p>
        </w:tc>
        <w:tc>
          <w:tcPr>
            <w:tcW w:type="dxa" w:w="2880"/>
            <w:shd w:val="clear" w:color="auto" w:fill="EEE8DD"/>
          </w:tcPr>
          <w:p>
            <w:pPr>
              <w:jc w:val="center"/>
            </w:pPr>
            <w:r>
              <w:rPr>
                <w:b w:val="0"/>
                <w:i w:val="0"/>
                <w:color w:val="4A7C59"/>
                <w:sz w:val="19"/>
              </w:rPr>
              <w:t>83.67%</w:t>
            </w:r>
          </w:p>
        </w:tc>
        <w:tc>
          <w:tcPr>
            <w:tcW w:type="dxa" w:w="3168"/>
            <w:shd w:val="clear" w:color="auto" w:fill="EEE8DD"/>
          </w:tcPr>
          <w:p>
            <w:pPr>
              <w:jc w:val="center"/>
            </w:pPr>
            <w:r>
              <w:rPr>
                <w:b w:val="0"/>
                <w:i w:val="0"/>
                <w:color w:val="4A7C59"/>
                <w:sz w:val="19"/>
              </w:rPr>
              <w:t>84.67%</w:t>
            </w:r>
          </w:p>
        </w:tc>
        <w:tc>
          <w:tcPr>
            <w:tcW w:type="dxa" w:w="2880"/>
            <w:shd w:val="clear" w:color="auto" w:fill="EEE8DD"/>
          </w:tcPr>
          <w:p>
            <w:pPr>
              <w:jc w:val="center"/>
            </w:pPr>
            <w:r>
              <w:rPr>
                <w:b w:val="0"/>
                <w:i w:val="0"/>
                <w:color w:val="4A7C59"/>
                <w:sz w:val="19"/>
              </w:rPr>
              <w:t>RF  (+1.0%)</w:t>
            </w:r>
          </w:p>
        </w:tc>
      </w:tr>
      <w:tr>
        <w:tc>
          <w:tcPr>
            <w:tcW w:type="dxa" w:w="2592"/>
            <w:shd w:val="clear" w:color="auto" w:fill="FFFFFF"/>
          </w:tcPr>
          <w:p>
            <w:pPr>
              <w:jc w:val="left"/>
            </w:pPr>
            <w:r>
              <w:rPr>
                <w:b/>
                <w:i w:val="0"/>
                <w:color w:val="2C2C2C"/>
                <w:sz w:val="19"/>
              </w:rPr>
              <w:t>Sensitivity</w:t>
            </w:r>
          </w:p>
        </w:tc>
        <w:tc>
          <w:tcPr>
            <w:tcW w:type="dxa" w:w="2880"/>
            <w:shd w:val="clear" w:color="auto" w:fill="FFFFFF"/>
          </w:tcPr>
          <w:p>
            <w:pPr>
              <w:jc w:val="center"/>
            </w:pPr>
            <w:r>
              <w:rPr>
                <w:b w:val="0"/>
                <w:i w:val="0"/>
                <w:color w:val="4A7C59"/>
                <w:sz w:val="19"/>
              </w:rPr>
              <w:t>81.08%</w:t>
            </w:r>
          </w:p>
        </w:tc>
        <w:tc>
          <w:tcPr>
            <w:tcW w:type="dxa" w:w="3168"/>
            <w:shd w:val="clear" w:color="auto" w:fill="FFFFFF"/>
          </w:tcPr>
          <w:p>
            <w:pPr>
              <w:jc w:val="center"/>
            </w:pPr>
            <w:r>
              <w:rPr>
                <w:b w:val="0"/>
                <w:i w:val="0"/>
                <w:color w:val="4A7C59"/>
                <w:sz w:val="19"/>
              </w:rPr>
              <w:t>81.08%</w:t>
            </w:r>
          </w:p>
        </w:tc>
        <w:tc>
          <w:tcPr>
            <w:tcW w:type="dxa" w:w="2880"/>
            <w:shd w:val="clear" w:color="auto" w:fill="FFFFFF"/>
          </w:tcPr>
          <w:p>
            <w:pPr>
              <w:jc w:val="center"/>
            </w:pPr>
            <w:r>
              <w:rPr>
                <w:b w:val="0"/>
                <w:i w:val="0"/>
                <w:color w:val="2C2C2C"/>
                <w:sz w:val="19"/>
              </w:rPr>
              <w:t>Tie</w:t>
            </w:r>
          </w:p>
        </w:tc>
      </w:tr>
      <w:tr>
        <w:tc>
          <w:tcPr>
            <w:tcW w:type="dxa" w:w="2592"/>
            <w:shd w:val="clear" w:color="auto" w:fill="EEE8DD"/>
          </w:tcPr>
          <w:p>
            <w:pPr>
              <w:jc w:val="left"/>
            </w:pPr>
            <w:r>
              <w:rPr>
                <w:b/>
                <w:i w:val="0"/>
                <w:color w:val="2C2C2C"/>
                <w:sz w:val="19"/>
              </w:rPr>
              <w:t>Specificity</w:t>
            </w:r>
          </w:p>
        </w:tc>
        <w:tc>
          <w:tcPr>
            <w:tcW w:type="dxa" w:w="2880"/>
            <w:shd w:val="clear" w:color="auto" w:fill="EEE8DD"/>
          </w:tcPr>
          <w:p>
            <w:pPr>
              <w:jc w:val="center"/>
            </w:pPr>
            <w:r>
              <w:rPr>
                <w:b w:val="0"/>
                <w:i w:val="0"/>
                <w:color w:val="4A7C59"/>
                <w:sz w:val="19"/>
              </w:rPr>
              <w:t>84.51%</w:t>
            </w:r>
          </w:p>
        </w:tc>
        <w:tc>
          <w:tcPr>
            <w:tcW w:type="dxa" w:w="3168"/>
            <w:shd w:val="clear" w:color="auto" w:fill="EEE8DD"/>
          </w:tcPr>
          <w:p>
            <w:pPr>
              <w:jc w:val="center"/>
            </w:pPr>
            <w:r>
              <w:rPr>
                <w:b w:val="0"/>
                <w:i w:val="0"/>
                <w:color w:val="4A7C59"/>
                <w:sz w:val="19"/>
              </w:rPr>
              <w:t>85.84%</w:t>
            </w:r>
          </w:p>
        </w:tc>
        <w:tc>
          <w:tcPr>
            <w:tcW w:type="dxa" w:w="2880"/>
            <w:shd w:val="clear" w:color="auto" w:fill="EEE8DD"/>
          </w:tcPr>
          <w:p>
            <w:pPr>
              <w:jc w:val="center"/>
            </w:pPr>
            <w:r>
              <w:rPr>
                <w:b w:val="0"/>
                <w:i w:val="0"/>
                <w:color w:val="4A7C59"/>
                <w:sz w:val="19"/>
              </w:rPr>
              <w:t>RF  (+1.3%)</w:t>
            </w:r>
          </w:p>
        </w:tc>
      </w:tr>
      <w:tr>
        <w:tc>
          <w:tcPr>
            <w:tcW w:type="dxa" w:w="2592"/>
            <w:shd w:val="clear" w:color="auto" w:fill="FFFFFF"/>
          </w:tcPr>
          <w:p>
            <w:pPr>
              <w:jc w:val="left"/>
            </w:pPr>
            <w:r>
              <w:rPr>
                <w:b/>
                <w:i w:val="0"/>
                <w:color w:val="2C2C2C"/>
                <w:sz w:val="19"/>
              </w:rPr>
              <w:t>Precision</w:t>
            </w:r>
          </w:p>
        </w:tc>
        <w:tc>
          <w:tcPr>
            <w:tcW w:type="dxa" w:w="2880"/>
            <w:shd w:val="clear" w:color="auto" w:fill="FFFFFF"/>
          </w:tcPr>
          <w:p>
            <w:pPr>
              <w:jc w:val="center"/>
            </w:pPr>
            <w:r>
              <w:rPr>
                <w:b w:val="0"/>
                <w:i w:val="0"/>
                <w:color w:val="4A7C59"/>
                <w:sz w:val="19"/>
              </w:rPr>
              <w:t>63.16%</w:t>
            </w:r>
          </w:p>
        </w:tc>
        <w:tc>
          <w:tcPr>
            <w:tcW w:type="dxa" w:w="3168"/>
            <w:shd w:val="clear" w:color="auto" w:fill="FFFFFF"/>
          </w:tcPr>
          <w:p>
            <w:pPr>
              <w:jc w:val="center"/>
            </w:pPr>
            <w:r>
              <w:rPr>
                <w:b w:val="0"/>
                <w:i w:val="0"/>
                <w:color w:val="4A7C59"/>
                <w:sz w:val="19"/>
              </w:rPr>
              <w:t>65.22%</w:t>
            </w:r>
          </w:p>
        </w:tc>
        <w:tc>
          <w:tcPr>
            <w:tcW w:type="dxa" w:w="2880"/>
            <w:shd w:val="clear" w:color="auto" w:fill="FFFFFF"/>
          </w:tcPr>
          <w:p>
            <w:pPr>
              <w:jc w:val="center"/>
            </w:pPr>
            <w:r>
              <w:rPr>
                <w:b w:val="0"/>
                <w:i w:val="0"/>
                <w:color w:val="4A7C59"/>
                <w:sz w:val="19"/>
              </w:rPr>
              <w:t>RF  (+2.1%)</w:t>
            </w:r>
          </w:p>
        </w:tc>
      </w:tr>
      <w:tr>
        <w:tc>
          <w:tcPr>
            <w:tcW w:type="dxa" w:w="2592"/>
            <w:shd w:val="clear" w:color="auto" w:fill="EEE8DD"/>
          </w:tcPr>
          <w:p>
            <w:pPr>
              <w:jc w:val="left"/>
            </w:pPr>
            <w:r>
              <w:rPr>
                <w:b/>
                <w:i w:val="0"/>
                <w:color w:val="2C2C2C"/>
                <w:sz w:val="19"/>
              </w:rPr>
              <w:t>F1-Score</w:t>
            </w:r>
          </w:p>
        </w:tc>
        <w:tc>
          <w:tcPr>
            <w:tcW w:type="dxa" w:w="2880"/>
            <w:shd w:val="clear" w:color="auto" w:fill="EEE8DD"/>
          </w:tcPr>
          <w:p>
            <w:pPr>
              <w:jc w:val="center"/>
            </w:pPr>
            <w:r>
              <w:rPr>
                <w:b w:val="0"/>
                <w:i w:val="0"/>
                <w:color w:val="4A7C59"/>
                <w:sz w:val="19"/>
              </w:rPr>
              <w:t>71.01%</w:t>
            </w:r>
          </w:p>
        </w:tc>
        <w:tc>
          <w:tcPr>
            <w:tcW w:type="dxa" w:w="3168"/>
            <w:shd w:val="clear" w:color="auto" w:fill="EEE8DD"/>
          </w:tcPr>
          <w:p>
            <w:pPr>
              <w:jc w:val="center"/>
            </w:pPr>
            <w:r>
              <w:rPr>
                <w:b w:val="0"/>
                <w:i w:val="0"/>
                <w:color w:val="4A7C59"/>
                <w:sz w:val="19"/>
              </w:rPr>
              <w:t>72.29%</w:t>
            </w:r>
          </w:p>
        </w:tc>
        <w:tc>
          <w:tcPr>
            <w:tcW w:type="dxa" w:w="2880"/>
            <w:shd w:val="clear" w:color="auto" w:fill="EEE8DD"/>
          </w:tcPr>
          <w:p>
            <w:pPr>
              <w:jc w:val="center"/>
            </w:pPr>
            <w:r>
              <w:rPr>
                <w:b w:val="0"/>
                <w:i w:val="0"/>
                <w:color w:val="4A7C59"/>
                <w:sz w:val="19"/>
              </w:rPr>
              <w:t>RF  (+1.3%)</w:t>
            </w:r>
          </w:p>
        </w:tc>
      </w:tr>
      <w:tr>
        <w:tc>
          <w:tcPr>
            <w:tcW w:type="dxa" w:w="2592"/>
            <w:shd w:val="clear" w:color="auto" w:fill="FFFFFF"/>
          </w:tcPr>
          <w:p>
            <w:pPr>
              <w:jc w:val="left"/>
            </w:pPr>
            <w:r>
              <w:rPr>
                <w:b/>
                <w:i w:val="0"/>
                <w:color w:val="2C2C2C"/>
                <w:sz w:val="19"/>
              </w:rPr>
              <w:t>AUC-ROC</w:t>
            </w:r>
          </w:p>
        </w:tc>
        <w:tc>
          <w:tcPr>
            <w:tcW w:type="dxa" w:w="2880"/>
            <w:shd w:val="clear" w:color="auto" w:fill="FFFFFF"/>
          </w:tcPr>
          <w:p>
            <w:pPr>
              <w:jc w:val="center"/>
            </w:pPr>
            <w:r>
              <w:rPr>
                <w:b w:val="0"/>
                <w:i w:val="0"/>
                <w:color w:val="2C2C2C"/>
                <w:sz w:val="19"/>
              </w:rPr>
              <w:t>0.877</w:t>
            </w:r>
          </w:p>
        </w:tc>
        <w:tc>
          <w:tcPr>
            <w:tcW w:type="dxa" w:w="3168"/>
            <w:shd w:val="clear" w:color="auto" w:fill="FFFFFF"/>
          </w:tcPr>
          <w:p>
            <w:pPr>
              <w:jc w:val="center"/>
            </w:pPr>
            <w:r>
              <w:rPr>
                <w:b w:val="0"/>
                <w:i w:val="0"/>
                <w:color w:val="2C2C2C"/>
                <w:sz w:val="19"/>
              </w:rPr>
              <w:t>0.893</w:t>
            </w:r>
          </w:p>
        </w:tc>
        <w:tc>
          <w:tcPr>
            <w:tcW w:type="dxa" w:w="2880"/>
            <w:shd w:val="clear" w:color="auto" w:fill="FFFFFF"/>
          </w:tcPr>
          <w:p>
            <w:pPr>
              <w:jc w:val="center"/>
            </w:pPr>
            <w:r>
              <w:rPr>
                <w:b w:val="0"/>
                <w:i w:val="0"/>
                <w:color w:val="4A7C59"/>
                <w:sz w:val="19"/>
              </w:rPr>
              <w:t>RF  (+1.6%)</w:t>
            </w:r>
          </w:p>
        </w:tc>
      </w:tr>
    </w:tbl>
    <w:p/>
    <w:tbl>
      <w:tblPr>
        <w:tblW w:type="auto" w:w="0"/>
        <w:jc w:val="center"/>
        <w:tblLook w:firstColumn="1" w:firstRow="1" w:lastColumn="0" w:lastRow="0" w:noHBand="0" w:noVBand="1" w:val="04A0"/>
      </w:tblPr>
      <w:tblGrid>
        <w:gridCol w:w="9360"/>
      </w:tblGrid>
      <w:tr>
        <w:tc>
          <w:tcPr>
            <w:tcW w:type="dxa" w:w="9360"/>
            <w:shd w:val="clear" w:color="auto" w:fill="F0EBE1"/>
            <w:tcBorders>
              <w:top w:val="single" w:sz="6" w:space="0" w:color="C9A456"/>
              <w:bottom w:val="single" w:sz="6" w:space="0" w:color="C9A456"/>
              <w:left w:val="single" w:sz="6" w:space="0" w:color="C9A456"/>
              <w:right w:val="single" w:sz="6" w:space="0" w:color="C9A456"/>
            </w:tcBorders>
          </w:tcPr>
          <w:p>
            <w:pPr>
              <w:spacing w:before="80" w:after="80"/>
              <w:ind w:left="144"/>
              <w:jc w:val="left"/>
            </w:pPr>
            <w:r>
              <w:rPr>
                <w:b w:val="0"/>
                <w:i/>
                <w:color w:val="2C2C2C"/>
                <w:sz w:val="21"/>
              </w:rPr>
              <w:t>Recommended Model: Tuned Random Forest. It outperforms Logistic Regression on every validation metric. Its AUC-ROC of 0.893 means the model correctly ranks a random fraud claim above a legitimate claim ~89.3% of the time on unseen data.</w:t>
            </w:r>
          </w:p>
        </w:tc>
      </w:tr>
    </w:tbl>
    <w:p/>
    <w:p>
      <w:pPr>
        <w:keepNext/>
        <w:spacing w:before="160" w:after="40"/>
      </w:pPr>
      <w:r>
        <w:rPr>
          <w:b/>
          <w:i w:val="0"/>
          <w:color w:val="1B3A4B"/>
          <w:sz w:val="24"/>
        </w:rPr>
        <w:t>9.3  Confusion Matrix Analysis — Validation Set</w:t>
      </w:r>
    </w:p>
    <w:p>
      <w:pPr>
        <w:spacing w:before="0" w:after="80"/>
      </w:pPr>
      <w:r>
        <w:rPr>
          <w:b w:val="0"/>
          <w:i w:val="0"/>
          <w:color w:val="2C2C2C"/>
          <w:sz w:val="21"/>
        </w:rPr>
        <w:t>Random Forest (Tuned) — 299 validation records: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B3A4B"/>
          </w:tcPr>
          <w:p>
            <w:pPr>
              <w:jc w:val="center"/>
            </w:pPr>
            <w:r>
              <w:rPr>
                <w:b/>
                <w:i w:val="0"/>
                <w:color w:val="FFFFFF"/>
                <w:sz w:val="19"/>
              </w:rPr>
            </w:r>
          </w:p>
        </w:tc>
        <w:tc>
          <w:tcPr>
            <w:tcW w:type="dxa" w:w="3312"/>
            <w:shd w:val="clear" w:color="auto" w:fill="1B3A4B"/>
          </w:tcPr>
          <w:p>
            <w:pPr>
              <w:jc w:val="center"/>
            </w:pPr>
            <w:r>
              <w:rPr>
                <w:b/>
                <w:i w:val="0"/>
                <w:color w:val="FFFFFF"/>
                <w:sz w:val="19"/>
              </w:rPr>
              <w:t>Predicted: Legitimate</w:t>
            </w:r>
          </w:p>
        </w:tc>
        <w:tc>
          <w:tcPr>
            <w:tcW w:type="dxa" w:w="3312"/>
            <w:shd w:val="clear" w:color="auto" w:fill="1B3A4B"/>
          </w:tcPr>
          <w:p>
            <w:pPr>
              <w:jc w:val="center"/>
            </w:pPr>
            <w:r>
              <w:rPr>
                <w:b/>
                <w:i w:val="0"/>
                <w:color w:val="FFFFFF"/>
                <w:sz w:val="19"/>
              </w:rPr>
              <w:t>Predicted: Fraud</w:t>
            </w:r>
          </w:p>
        </w:tc>
      </w:tr>
      <w:tr>
        <w:tc>
          <w:tcPr>
            <w:tcW w:type="dxa" w:w="2592"/>
            <w:shd w:val="clear" w:color="auto" w:fill="EEE8DD"/>
          </w:tcPr>
          <w:p>
            <w:pPr>
              <w:jc w:val="left"/>
            </w:pPr>
            <w:r>
              <w:rPr>
                <w:b/>
                <w:i w:val="0"/>
                <w:color w:val="2C2C2C"/>
                <w:sz w:val="19"/>
              </w:rPr>
              <w:t>Actual: Legitimate</w:t>
            </w:r>
          </w:p>
        </w:tc>
        <w:tc>
          <w:tcPr>
            <w:tcW w:type="dxa" w:w="3312"/>
            <w:shd w:val="clear" w:color="auto" w:fill="EEE8DD"/>
          </w:tcPr>
          <w:p>
            <w:pPr>
              <w:jc w:val="center"/>
            </w:pPr>
            <w:r>
              <w:rPr>
                <w:b w:val="0"/>
                <w:i w:val="0"/>
                <w:color w:val="2C2C2C"/>
                <w:sz w:val="19"/>
              </w:rPr>
              <w:t>194  (True Negative)</w:t>
            </w:r>
          </w:p>
        </w:tc>
        <w:tc>
          <w:tcPr>
            <w:tcW w:type="dxa" w:w="3312"/>
            <w:shd w:val="clear" w:color="auto" w:fill="EEE8DD"/>
          </w:tcPr>
          <w:p>
            <w:pPr>
              <w:jc w:val="center"/>
            </w:pPr>
            <w:r>
              <w:rPr>
                <w:b w:val="0"/>
                <w:i w:val="0"/>
                <w:color w:val="2C2C2C"/>
                <w:sz w:val="19"/>
              </w:rPr>
              <w:t>32  (False Positive)</w:t>
            </w:r>
          </w:p>
        </w:tc>
      </w:tr>
      <w:tr>
        <w:tc>
          <w:tcPr>
            <w:tcW w:type="dxa" w:w="2592"/>
            <w:shd w:val="clear" w:color="auto" w:fill="FFFFFF"/>
          </w:tcPr>
          <w:p>
            <w:pPr>
              <w:jc w:val="left"/>
            </w:pPr>
            <w:r>
              <w:rPr>
                <w:b/>
                <w:i w:val="0"/>
                <w:color w:val="2C2C2C"/>
                <w:sz w:val="19"/>
              </w:rPr>
              <w:t>Actual: Fraud</w:t>
            </w:r>
          </w:p>
        </w:tc>
        <w:tc>
          <w:tcPr>
            <w:tcW w:type="dxa" w:w="3312"/>
            <w:shd w:val="clear" w:color="auto" w:fill="FFFFFF"/>
          </w:tcPr>
          <w:p>
            <w:pPr>
              <w:jc w:val="center"/>
            </w:pPr>
            <w:r>
              <w:rPr>
                <w:b w:val="0"/>
                <w:i w:val="0"/>
                <w:color w:val="2C2C2C"/>
                <w:sz w:val="19"/>
              </w:rPr>
              <w:t>14   (False Negative)</w:t>
            </w:r>
          </w:p>
        </w:tc>
        <w:tc>
          <w:tcPr>
            <w:tcW w:type="dxa" w:w="3312"/>
            <w:shd w:val="clear" w:color="auto" w:fill="FFFFFF"/>
          </w:tcPr>
          <w:p>
            <w:pPr>
              <w:jc w:val="center"/>
            </w:pPr>
            <w:r>
              <w:rPr>
                <w:b w:val="0"/>
                <w:i w:val="0"/>
                <w:color w:val="2C2C2C"/>
                <w:sz w:val="19"/>
              </w:rPr>
              <w:t>60  (True Positive)</w:t>
            </w:r>
          </w:p>
        </w:tc>
      </w:tr>
    </w:tbl>
    <w:p/>
    <w:p>
      <w:pPr>
        <w:pStyle w:val="ListBullet"/>
        <w:spacing w:before="0" w:after="40"/>
        <w:ind w:left="360" w:hanging="259"/>
      </w:pPr>
      <w:r>
        <w:rPr>
          <w:b w:val="0"/>
          <w:i w:val="0"/>
          <w:color w:val="2C2C2C"/>
          <w:sz w:val="21"/>
        </w:rPr>
        <w:t>60 of 74 actual fraud cases correctly identified (81.08% sensitivity).</w:t>
      </w:r>
    </w:p>
    <w:p>
      <w:pPr>
        <w:pStyle w:val="ListBullet"/>
        <w:spacing w:before="0" w:after="40"/>
        <w:ind w:left="360" w:hanging="259"/>
      </w:pPr>
      <w:r>
        <w:rPr>
          <w:b w:val="0"/>
          <w:i w:val="0"/>
          <w:color w:val="2C2C2C"/>
          <w:sz w:val="21"/>
        </w:rPr>
        <w:t>32 legitimate claims flagged for review (false positive rate 14.2% — 1 in 7 legit claims).</w:t>
      </w:r>
    </w:p>
    <w:p>
      <w:pPr>
        <w:pStyle w:val="ListBullet"/>
        <w:spacing w:before="0" w:after="40"/>
        <w:ind w:left="360" w:hanging="259"/>
      </w:pPr>
      <w:r>
        <w:rPr>
          <w:b w:val="0"/>
          <w:i w:val="0"/>
          <w:color w:val="2C2C2C"/>
          <w:sz w:val="21"/>
        </w:rPr>
        <w:t>Only 14 fraud cases missed (false negatives) — the most costly error type.</w:t>
      </w:r>
    </w:p>
    <w:p>
      <w:pPr>
        <w:keepNext/>
        <w:spacing w:before="160" w:after="40"/>
      </w:pPr>
      <w:r>
        <w:rPr>
          <w:b/>
          <w:i w:val="0"/>
          <w:color w:val="1B3A4B"/>
          <w:sz w:val="24"/>
        </w:rPr>
        <w:t>9.4  ROC-AUC Interpretation</w:t>
      </w:r>
    </w:p>
    <w:p>
      <w:pPr>
        <w:spacing w:before="0" w:after="80"/>
      </w:pPr>
      <w:r>
        <w:rPr>
          <w:b w:val="0"/>
          <w:i w:val="0"/>
          <w:color w:val="2C2C2C"/>
          <w:sz w:val="21"/>
        </w:rPr>
        <w:t>The ROC-AUC score measures the model's ability to discriminate between fraud and legitimate claims across all possible decision thresholds. Both models substantially outperform random guessing (AUC = 0.5):</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LR  Validation AUC</w:t>
            </w:r>
          </w:p>
        </w:tc>
        <w:tc>
          <w:tcPr>
            <w:tcW w:type="dxa" w:w="6192"/>
            <w:shd w:val="clear" w:color="auto" w:fill="EEE8DD"/>
          </w:tcPr>
          <w:p>
            <w:pPr>
              <w:ind w:left="72"/>
            </w:pPr>
            <w:r>
              <w:rPr>
                <w:b w:val="0"/>
                <w:i w:val="0"/>
                <w:color w:val="2C2C2C"/>
                <w:sz w:val="20"/>
              </w:rPr>
              <w:t>0.877 — strong discrimination; suitable for rule-extraction and explainability</w:t>
            </w:r>
          </w:p>
        </w:tc>
      </w:tr>
      <w:tr>
        <w:tc>
          <w:tcPr>
            <w:tcW w:type="dxa" w:w="3168"/>
            <w:shd w:val="clear" w:color="auto" w:fill="E6DDD0"/>
          </w:tcPr>
          <w:p>
            <w:pPr>
              <w:ind w:left="72"/>
            </w:pPr>
            <w:r>
              <w:rPr>
                <w:b/>
                <w:i w:val="0"/>
                <w:color w:val="1B3A4B"/>
                <w:sz w:val="20"/>
              </w:rPr>
              <w:t>RF  Validation AUC</w:t>
            </w:r>
          </w:p>
        </w:tc>
        <w:tc>
          <w:tcPr>
            <w:tcW w:type="dxa" w:w="6192"/>
            <w:shd w:val="clear" w:color="auto" w:fill="FFFFFF"/>
          </w:tcPr>
          <w:p>
            <w:pPr>
              <w:ind w:left="72"/>
            </w:pPr>
            <w:r>
              <w:rPr>
                <w:b w:val="0"/>
                <w:i w:val="0"/>
                <w:color w:val="2C2C2C"/>
                <w:sz w:val="20"/>
              </w:rPr>
              <w:t>0.893 — best overall; recommended for production scoring</w:t>
            </w:r>
          </w:p>
        </w:tc>
      </w:tr>
      <w:tr>
        <w:tc>
          <w:tcPr>
            <w:tcW w:type="dxa" w:w="3168"/>
            <w:shd w:val="clear" w:color="auto" w:fill="E6DDD0"/>
          </w:tcPr>
          <w:p>
            <w:pPr>
              <w:ind w:left="72"/>
            </w:pPr>
            <w:r>
              <w:rPr>
                <w:b/>
                <w:i w:val="0"/>
                <w:color w:val="1B3A4B"/>
                <w:sz w:val="20"/>
              </w:rPr>
              <w:t>Training AUC (LR)</w:t>
            </w:r>
          </w:p>
        </w:tc>
        <w:tc>
          <w:tcPr>
            <w:tcW w:type="dxa" w:w="6192"/>
            <w:shd w:val="clear" w:color="auto" w:fill="EEE8DD"/>
          </w:tcPr>
          <w:p>
            <w:pPr>
              <w:ind w:left="72"/>
            </w:pPr>
            <w:r>
              <w:rPr>
                <w:b w:val="0"/>
                <w:i w:val="0"/>
                <w:color w:val="2C2C2C"/>
                <w:sz w:val="20"/>
              </w:rPr>
              <w:t>0.9328 — confirms strong learning; validation drop is normal</w:t>
            </w:r>
          </w:p>
        </w:tc>
      </w:tr>
      <w:tr>
        <w:tc>
          <w:tcPr>
            <w:tcW w:type="dxa" w:w="3168"/>
            <w:shd w:val="clear" w:color="auto" w:fill="E6DDD0"/>
          </w:tcPr>
          <w:p>
            <w:pPr>
              <w:ind w:left="72"/>
            </w:pPr>
            <w:r>
              <w:rPr>
                <w:b/>
                <w:i w:val="0"/>
                <w:color w:val="1B3A4B"/>
                <w:sz w:val="20"/>
              </w:rPr>
              <w:t>Random Baseline</w:t>
            </w:r>
          </w:p>
        </w:tc>
        <w:tc>
          <w:tcPr>
            <w:tcW w:type="dxa" w:w="6192"/>
            <w:shd w:val="clear" w:color="auto" w:fill="FFFFFF"/>
          </w:tcPr>
          <w:p>
            <w:pPr>
              <w:ind w:left="72"/>
            </w:pPr>
            <w:r>
              <w:rPr>
                <w:b w:val="0"/>
                <w:i w:val="0"/>
                <w:color w:val="2C2C2C"/>
                <w:sz w:val="20"/>
              </w:rPr>
              <w:t>0.500 — both models far exceed random guessing</w:t>
            </w:r>
          </w:p>
        </w:tc>
      </w:tr>
    </w:tbl>
    <w:p/>
    <w:p>
      <w:pPr>
        <w:pBdr>
          <w:bottom w:val="single" w:sz="4" w:space="1" w:color="D4C4A8"/>
        </w:pBdr>
        <w:spacing w:before="80" w:after="80"/>
      </w:pPr>
    </w:p>
    <w:p>
      <w:pPr>
        <w:keepNext/>
        <w:spacing w:before="280" w:after="80"/>
        <w:pBdr>
          <w:left w:val="thick" w:sz="24" w:space="6" w:color="C9A456"/>
        </w:pBdr>
      </w:pPr>
      <w:r>
        <w:rPr>
          <w:b/>
          <w:i w:val="0"/>
          <w:color w:val="1B3A4B"/>
          <w:sz w:val="28"/>
        </w:rPr>
        <w:t>10. EDA INSIGHTS CONFIRMED BY THE MODEL</w:t>
      </w:r>
    </w:p>
    <w:p>
      <w:pPr>
        <w:spacing w:before="0" w:after="80"/>
      </w:pPr>
      <w:r>
        <w:rPr>
          <w:b w:val="0"/>
          <w:i w:val="0"/>
          <w:color w:val="2C2C2C"/>
          <w:sz w:val="21"/>
        </w:rPr>
        <w:t>A key strength of this analysis is that every major EDA observation found a corresponding statistical confirmation in the Logistic Regression model coefficients. This cross-validation between exploratory and confirmatory analysis builds high confidence in the findings.</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color="auto" w:fill="1B3A4B"/>
          </w:tcPr>
          <w:p>
            <w:pPr>
              <w:jc w:val="center"/>
            </w:pPr>
            <w:r>
              <w:rPr>
                <w:b/>
                <w:i w:val="0"/>
                <w:color w:val="FFFFFF"/>
                <w:sz w:val="19"/>
              </w:rPr>
              <w:t>EDA Finding</w:t>
            </w:r>
          </w:p>
        </w:tc>
        <w:tc>
          <w:tcPr>
            <w:tcW w:type="dxa" w:w="3168"/>
            <w:shd w:val="clear" w:color="auto" w:fill="1B3A4B"/>
          </w:tcPr>
          <w:p>
            <w:pPr>
              <w:jc w:val="center"/>
            </w:pPr>
            <w:r>
              <w:rPr>
                <w:b/>
                <w:i w:val="0"/>
                <w:color w:val="FFFFFF"/>
                <w:sz w:val="19"/>
              </w:rPr>
              <w:t>Model Confirmation</w:t>
            </w:r>
          </w:p>
        </w:tc>
        <w:tc>
          <w:tcPr>
            <w:tcW w:type="dxa" w:w="2592"/>
            <w:shd w:val="clear" w:color="auto" w:fill="1B3A4B"/>
          </w:tcPr>
          <w:p>
            <w:pPr>
              <w:jc w:val="center"/>
            </w:pPr>
            <w:r>
              <w:rPr>
                <w:b/>
                <w:i w:val="0"/>
                <w:color w:val="FFFFFF"/>
                <w:sz w:val="19"/>
              </w:rPr>
              <w:t>Coefficient / p-value</w:t>
            </w:r>
          </w:p>
        </w:tc>
      </w:tr>
      <w:tr>
        <w:tc>
          <w:tcPr>
            <w:tcW w:type="dxa" w:w="3312"/>
            <w:shd w:val="clear" w:color="auto" w:fill="EEE8DD"/>
          </w:tcPr>
          <w:p>
            <w:pPr>
              <w:jc w:val="left"/>
            </w:pPr>
            <w:r>
              <w:rPr>
                <w:b/>
                <w:i w:val="0"/>
                <w:color w:val="2C2C2C"/>
                <w:sz w:val="19"/>
              </w:rPr>
              <w:t>chess &amp; cross-fit → ~80% fraud</w:t>
            </w:r>
          </w:p>
        </w:tc>
        <w:tc>
          <w:tcPr>
            <w:tcW w:type="dxa" w:w="3168"/>
            <w:shd w:val="clear" w:color="auto" w:fill="EEE8DD"/>
          </w:tcPr>
          <w:p>
            <w:pPr>
              <w:jc w:val="center"/>
            </w:pPr>
            <w:r>
              <w:rPr>
                <w:b w:val="0"/>
                <w:i w:val="0"/>
                <w:color w:val="2C2C2C"/>
                <w:sz w:val="19"/>
              </w:rPr>
              <w:t>Strongest predictor in LR</w:t>
            </w:r>
          </w:p>
        </w:tc>
        <w:tc>
          <w:tcPr>
            <w:tcW w:type="dxa" w:w="2592"/>
            <w:shd w:val="clear" w:color="auto" w:fill="EEE8DD"/>
          </w:tcPr>
          <w:p>
            <w:pPr>
              <w:jc w:val="center"/>
            </w:pPr>
            <w:r>
              <w:rPr>
                <w:b w:val="0"/>
                <w:i w:val="0"/>
                <w:color w:val="2C2C2C"/>
                <w:sz w:val="19"/>
              </w:rPr>
              <w:t>+2.23  (p&lt;0.001)</w:t>
            </w:r>
          </w:p>
        </w:tc>
      </w:tr>
      <w:tr>
        <w:tc>
          <w:tcPr>
            <w:tcW w:type="dxa" w:w="3312"/>
            <w:shd w:val="clear" w:color="auto" w:fill="FFFFFF"/>
          </w:tcPr>
          <w:p>
            <w:pPr>
              <w:jc w:val="left"/>
            </w:pPr>
            <w:r>
              <w:rPr>
                <w:b/>
                <w:i w:val="0"/>
                <w:color w:val="2C2C2C"/>
                <w:sz w:val="19"/>
              </w:rPr>
              <w:t>Major Damage → more fraudulent</w:t>
            </w:r>
          </w:p>
        </w:tc>
        <w:tc>
          <w:tcPr>
            <w:tcW w:type="dxa" w:w="3168"/>
            <w:shd w:val="clear" w:color="auto" w:fill="FFFFFF"/>
          </w:tcPr>
          <w:p>
            <w:pPr>
              <w:jc w:val="center"/>
            </w:pPr>
            <w:r>
              <w:rPr>
                <w:b w:val="0"/>
                <w:i w:val="0"/>
                <w:color w:val="2C2C2C"/>
                <w:sz w:val="19"/>
              </w:rPr>
              <w:t>Minor/Trivial/Total Loss all negative</w:t>
            </w:r>
          </w:p>
        </w:tc>
        <w:tc>
          <w:tcPr>
            <w:tcW w:type="dxa" w:w="2592"/>
            <w:shd w:val="clear" w:color="auto" w:fill="FFFFFF"/>
          </w:tcPr>
          <w:p>
            <w:pPr>
              <w:jc w:val="center"/>
            </w:pPr>
            <w:r>
              <w:rPr>
                <w:b w:val="0"/>
                <w:i w:val="0"/>
                <w:color w:val="2C2C2C"/>
                <w:sz w:val="19"/>
              </w:rPr>
              <w:t>−1.35 to −1.92  (p&lt;0.001)</w:t>
            </w:r>
          </w:p>
        </w:tc>
      </w:tr>
      <w:tr>
        <w:tc>
          <w:tcPr>
            <w:tcW w:type="dxa" w:w="3312"/>
            <w:shd w:val="clear" w:color="auto" w:fill="EEE8DD"/>
          </w:tcPr>
          <w:p>
            <w:pPr>
              <w:jc w:val="left"/>
            </w:pPr>
            <w:r>
              <w:rPr>
                <w:b/>
                <w:i w:val="0"/>
                <w:color w:val="2C2C2C"/>
                <w:sz w:val="19"/>
              </w:rPr>
              <w:t>vehicle_claim &gt;&gt; injury_claim in fraud</w:t>
            </w:r>
          </w:p>
        </w:tc>
        <w:tc>
          <w:tcPr>
            <w:tcW w:type="dxa" w:w="3168"/>
            <w:shd w:val="clear" w:color="auto" w:fill="EEE8DD"/>
          </w:tcPr>
          <w:p>
            <w:pPr>
              <w:jc w:val="center"/>
            </w:pPr>
            <w:r>
              <w:rPr>
                <w:b w:val="0"/>
                <w:i w:val="0"/>
                <w:color w:val="2C2C2C"/>
                <w:sz w:val="19"/>
              </w:rPr>
              <w:t>vehicle_to_injury_ratio significant</w:t>
            </w:r>
          </w:p>
        </w:tc>
        <w:tc>
          <w:tcPr>
            <w:tcW w:type="dxa" w:w="2592"/>
            <w:shd w:val="clear" w:color="auto" w:fill="EEE8DD"/>
          </w:tcPr>
          <w:p>
            <w:pPr>
              <w:jc w:val="center"/>
            </w:pPr>
            <w:r>
              <w:rPr>
                <w:b w:val="0"/>
                <w:i w:val="0"/>
                <w:color w:val="2C2C2C"/>
                <w:sz w:val="19"/>
              </w:rPr>
              <w:t>+0.41  (p&lt;0.001)</w:t>
            </w:r>
          </w:p>
        </w:tc>
      </w:tr>
      <w:tr>
        <w:tc>
          <w:tcPr>
            <w:tcW w:type="dxa" w:w="3312"/>
            <w:shd w:val="clear" w:color="auto" w:fill="FFFFFF"/>
          </w:tcPr>
          <w:p>
            <w:pPr>
              <w:jc w:val="left"/>
            </w:pPr>
            <w:r>
              <w:rPr>
                <w:b/>
                <w:i w:val="0"/>
                <w:color w:val="2C2C2C"/>
                <w:sz w:val="19"/>
              </w:rPr>
              <w:t>Property damage YES = fraud signal</w:t>
            </w:r>
          </w:p>
        </w:tc>
        <w:tc>
          <w:tcPr>
            <w:tcW w:type="dxa" w:w="3168"/>
            <w:shd w:val="clear" w:color="auto" w:fill="FFFFFF"/>
          </w:tcPr>
          <w:p>
            <w:pPr>
              <w:jc w:val="center"/>
            </w:pPr>
            <w:r>
              <w:rPr>
                <w:b w:val="0"/>
                <w:i w:val="0"/>
                <w:color w:val="2C2C2C"/>
                <w:sz w:val="19"/>
              </w:rPr>
              <w:t>property_damage_YES significant</w:t>
            </w:r>
          </w:p>
        </w:tc>
        <w:tc>
          <w:tcPr>
            <w:tcW w:type="dxa" w:w="2592"/>
            <w:shd w:val="clear" w:color="auto" w:fill="FFFFFF"/>
          </w:tcPr>
          <w:p>
            <w:pPr>
              <w:jc w:val="center"/>
            </w:pPr>
            <w:r>
              <w:rPr>
                <w:b w:val="0"/>
                <w:i w:val="0"/>
                <w:color w:val="2C2C2C"/>
                <w:sz w:val="19"/>
              </w:rPr>
              <w:t>+0.39  (p&lt;0.001)</w:t>
            </w:r>
          </w:p>
        </w:tc>
      </w:tr>
      <w:tr>
        <w:tc>
          <w:tcPr>
            <w:tcW w:type="dxa" w:w="3312"/>
            <w:shd w:val="clear" w:color="auto" w:fill="EEE8DD"/>
          </w:tcPr>
          <w:p>
            <w:pPr>
              <w:jc w:val="left"/>
            </w:pPr>
            <w:r>
              <w:rPr>
                <w:b/>
                <w:i w:val="0"/>
                <w:color w:val="2C2C2C"/>
                <w:sz w:val="19"/>
              </w:rPr>
              <w:t>More witnesses = organised staging</w:t>
            </w:r>
          </w:p>
        </w:tc>
        <w:tc>
          <w:tcPr>
            <w:tcW w:type="dxa" w:w="3168"/>
            <w:shd w:val="clear" w:color="auto" w:fill="EEE8DD"/>
          </w:tcPr>
          <w:p>
            <w:pPr>
              <w:jc w:val="center"/>
            </w:pPr>
            <w:r>
              <w:rPr>
                <w:b w:val="0"/>
                <w:i w:val="0"/>
                <w:color w:val="2C2C2C"/>
                <w:sz w:val="19"/>
              </w:rPr>
              <w:t>witnesses significant</w:t>
            </w:r>
          </w:p>
        </w:tc>
        <w:tc>
          <w:tcPr>
            <w:tcW w:type="dxa" w:w="2592"/>
            <w:shd w:val="clear" w:color="auto" w:fill="EEE8DD"/>
          </w:tcPr>
          <w:p>
            <w:pPr>
              <w:jc w:val="center"/>
            </w:pPr>
            <w:r>
              <w:rPr>
                <w:b w:val="0"/>
                <w:i w:val="0"/>
                <w:color w:val="2C2C2C"/>
                <w:sz w:val="19"/>
              </w:rPr>
              <w:t>+0.31  (p=0.004)</w:t>
            </w:r>
          </w:p>
        </w:tc>
      </w:tr>
      <w:tr>
        <w:tc>
          <w:tcPr>
            <w:tcW w:type="dxa" w:w="3312"/>
            <w:shd w:val="clear" w:color="auto" w:fill="FFFFFF"/>
          </w:tcPr>
          <w:p>
            <w:pPr>
              <w:jc w:val="left"/>
            </w:pPr>
            <w:r>
              <w:rPr>
                <w:b/>
                <w:i w:val="0"/>
                <w:color w:val="2C2C2C"/>
                <w:sz w:val="19"/>
              </w:rPr>
              <w:t>Higher policy limit = more fraud</w:t>
            </w:r>
          </w:p>
        </w:tc>
        <w:tc>
          <w:tcPr>
            <w:tcW w:type="dxa" w:w="3168"/>
            <w:shd w:val="clear" w:color="auto" w:fill="FFFFFF"/>
          </w:tcPr>
          <w:p>
            <w:pPr>
              <w:jc w:val="center"/>
            </w:pPr>
            <w:r>
              <w:rPr>
                <w:b w:val="0"/>
                <w:i w:val="0"/>
                <w:color w:val="2C2C2C"/>
                <w:sz w:val="19"/>
              </w:rPr>
              <w:t>policy_csl_250/500 significant</w:t>
            </w:r>
          </w:p>
        </w:tc>
        <w:tc>
          <w:tcPr>
            <w:tcW w:type="dxa" w:w="2592"/>
            <w:shd w:val="clear" w:color="auto" w:fill="FFFFFF"/>
          </w:tcPr>
          <w:p>
            <w:pPr>
              <w:jc w:val="center"/>
            </w:pPr>
            <w:r>
              <w:rPr>
                <w:b w:val="0"/>
                <w:i w:val="0"/>
                <w:color w:val="2C2C2C"/>
                <w:sz w:val="19"/>
              </w:rPr>
              <w:t>+0.46  (p&lt;0.001)</w:t>
            </w:r>
          </w:p>
        </w:tc>
      </w:tr>
      <w:tr>
        <w:tc>
          <w:tcPr>
            <w:tcW w:type="dxa" w:w="3312"/>
            <w:shd w:val="clear" w:color="auto" w:fill="EEE8DD"/>
          </w:tcPr>
          <w:p>
            <w:pPr>
              <w:jc w:val="left"/>
            </w:pPr>
            <w:r>
              <w:rPr>
                <w:b/>
                <w:i w:val="0"/>
                <w:color w:val="2C2C2C"/>
                <w:sz w:val="19"/>
              </w:rPr>
              <w:t>Multi-vehicle = genuine accident</w:t>
            </w:r>
          </w:p>
        </w:tc>
        <w:tc>
          <w:tcPr>
            <w:tcW w:type="dxa" w:w="3168"/>
            <w:shd w:val="clear" w:color="auto" w:fill="EEE8DD"/>
          </w:tcPr>
          <w:p>
            <w:pPr>
              <w:jc w:val="center"/>
            </w:pPr>
            <w:r>
              <w:rPr>
                <w:b w:val="0"/>
                <w:i w:val="0"/>
                <w:color w:val="2C2C2C"/>
                <w:sz w:val="19"/>
              </w:rPr>
              <w:t>number_of_vehicles_involved negative</w:t>
            </w:r>
          </w:p>
        </w:tc>
        <w:tc>
          <w:tcPr>
            <w:tcW w:type="dxa" w:w="2592"/>
            <w:shd w:val="clear" w:color="auto" w:fill="EEE8DD"/>
          </w:tcPr>
          <w:p>
            <w:pPr>
              <w:jc w:val="center"/>
            </w:pPr>
            <w:r>
              <w:rPr>
                <w:b w:val="0"/>
                <w:i w:val="0"/>
                <w:color w:val="2C2C2C"/>
                <w:sz w:val="19"/>
              </w:rPr>
              <w:t>−0.71  (p=0.005)</w:t>
            </w:r>
          </w:p>
        </w:tc>
      </w:tr>
    </w:tbl>
    <w:p/>
    <w:p>
      <w:pPr>
        <w:pBdr>
          <w:bottom w:val="single" w:sz="4" w:space="1" w:color="D4C4A8"/>
        </w:pBdr>
        <w:spacing w:before="80" w:after="80"/>
      </w:pPr>
    </w:p>
    <w:p>
      <w:pPr>
        <w:keepNext/>
        <w:spacing w:before="280" w:after="80"/>
        <w:pBdr>
          <w:left w:val="thick" w:sz="24" w:space="6" w:color="C9A456"/>
        </w:pBdr>
      </w:pPr>
      <w:r>
        <w:rPr>
          <w:b/>
          <w:i w:val="0"/>
          <w:color w:val="1B3A4B"/>
          <w:sz w:val="28"/>
        </w:rPr>
        <w:t>11. BUSINESS RECOMMENDATIONS</w:t>
      </w:r>
    </w:p>
    <w:p>
      <w:pPr>
        <w:spacing w:before="0" w:after="80"/>
      </w:pPr>
      <w:r>
        <w:rPr>
          <w:b w:val="0"/>
          <w:i w:val="0"/>
          <w:color w:val="2C2C2C"/>
          <w:sz w:val="21"/>
        </w:rPr>
        <w:t>The following recommendations are structured across four operational areas and are directly grounded in the data and model findings. Each recommendation includes the supporting evidence and an indication of implementation priority.</w:t>
      </w:r>
    </w:p>
    <w:p>
      <w:pPr>
        <w:keepNext/>
        <w:spacing w:before="160" w:after="40"/>
      </w:pPr>
      <w:r>
        <w:rPr>
          <w:b/>
          <w:i w:val="0"/>
          <w:color w:val="1B3A4B"/>
          <w:sz w:val="24"/>
        </w:rPr>
        <w:t>11.1  Policy Underwriting</w:t>
      </w:r>
    </w:p>
    <w:p>
      <w:pPr>
        <w:spacing w:before="0" w:after="80"/>
      </w:pPr>
      <w:r>
        <w:rPr>
          <w:b w:val="0"/>
          <w:i w:val="0"/>
          <w:color w:val="2C2C2C"/>
          <w:sz w:val="21"/>
        </w:rPr>
        <w:t>Fraud prevention begins at policy issuance. Several policyholder attributes identified as significant fraud predictors can be incorporated into underwriting scoring systems.</w:t>
      </w:r>
    </w:p>
    <w:p>
      <w:pPr>
        <w:spacing w:before="120" w:after="40"/>
      </w:pPr>
      <w:r>
        <w:rPr>
          <w:b/>
          <w:i w:val="0"/>
          <w:color w:val="4472A8"/>
          <w:sz w:val="22"/>
        </w:rPr>
        <w:t>Recommendation U1 — Hobby Risk Scoring</w:t>
      </w:r>
    </w:p>
    <w:p>
      <w:pPr>
        <w:spacing w:before="0" w:after="80"/>
      </w:pPr>
      <w:r>
        <w:rPr>
          <w:b w:val="0"/>
          <w:i w:val="0"/>
          <w:color w:val="2C2C2C"/>
          <w:sz w:val="21"/>
        </w:rPr>
        <w:t>Implement a hobby risk tier at application stage:</w:t>
      </w:r>
    </w:p>
    <w:p>
      <w:pPr>
        <w:pStyle w:val="ListBullet"/>
        <w:spacing w:before="0" w:after="40"/>
        <w:ind w:left="360" w:hanging="259"/>
      </w:pPr>
      <w:r>
        <w:rPr>
          <w:b w:val="0"/>
          <w:i w:val="0"/>
          <w:color w:val="2C2C2C"/>
          <w:sz w:val="21"/>
        </w:rPr>
        <w:t>Tier 1 (High Risk): chess, cross-fit → mandatory additional verification, extended waiting period for claims</w:t>
      </w:r>
    </w:p>
    <w:p>
      <w:pPr>
        <w:pStyle w:val="ListBullet"/>
        <w:spacing w:before="0" w:after="40"/>
        <w:ind w:left="360" w:hanging="259"/>
      </w:pPr>
      <w:r>
        <w:rPr>
          <w:b w:val="0"/>
          <w:i w:val="0"/>
          <w:color w:val="2C2C2C"/>
          <w:sz w:val="21"/>
        </w:rPr>
        <w:t>Tier 2 (Elevated): other hobbies with &gt;35% fraud rate → flag for enhanced underwriting review</w:t>
      </w:r>
    </w:p>
    <w:p>
      <w:pPr>
        <w:pStyle w:val="ListBullet"/>
        <w:spacing w:before="0" w:after="40"/>
        <w:ind w:left="360" w:hanging="259"/>
      </w:pPr>
      <w:r>
        <w:rPr>
          <w:b w:val="0"/>
          <w:i w:val="0"/>
          <w:color w:val="2C2C2C"/>
          <w:sz w:val="21"/>
        </w:rPr>
        <w:t>Evidence: is_high_risk_hobby has a coefficient of +2.23 (p&lt;0.001) — the single strongest predictor in the model.</w:t>
      </w:r>
    </w:p>
    <w:p>
      <w:pPr>
        <w:spacing w:before="120" w:after="40"/>
      </w:pPr>
      <w:r>
        <w:rPr>
          <w:b/>
          <w:i w:val="0"/>
          <w:color w:val="4472A8"/>
          <w:sz w:val="22"/>
        </w:rPr>
        <w:t>Recommendation U2 — Education &amp; Occupation Screening</w:t>
      </w:r>
    </w:p>
    <w:p>
      <w:pPr>
        <w:pStyle w:val="ListBullet"/>
        <w:spacing w:before="0" w:after="40"/>
        <w:ind w:left="360" w:hanging="259"/>
      </w:pPr>
      <w:r>
        <w:rPr>
          <w:b w:val="0"/>
          <w:i w:val="0"/>
          <w:color w:val="2C2C2C"/>
          <w:sz w:val="21"/>
        </w:rPr>
        <w:t>Apply enhanced due-diligence for applicants with Masters, PhD, or MD qualifications in exec-managerial or transport-moving roles.</w:t>
      </w:r>
    </w:p>
    <w:p>
      <w:pPr>
        <w:pStyle w:val="ListBullet"/>
        <w:spacing w:before="0" w:after="40"/>
        <w:ind w:left="360" w:hanging="259"/>
      </w:pPr>
      <w:r>
        <w:rPr>
          <w:b w:val="0"/>
          <w:i w:val="0"/>
          <w:color w:val="2C2C2C"/>
          <w:sz w:val="21"/>
        </w:rPr>
        <w:t>These segments combine the means, motive, and opportunity for sophisticated fraud schemes.</w:t>
      </w:r>
    </w:p>
    <w:p>
      <w:pPr>
        <w:spacing w:before="120" w:after="40"/>
      </w:pPr>
      <w:r>
        <w:rPr>
          <w:b/>
          <w:i w:val="0"/>
          <w:color w:val="4472A8"/>
          <w:sz w:val="22"/>
        </w:rPr>
        <w:t>Recommendation U3 — Policy Coverage Limit Review</w:t>
      </w:r>
    </w:p>
    <w:p>
      <w:pPr>
        <w:pStyle w:val="ListBullet"/>
        <w:spacing w:before="0" w:after="40"/>
        <w:ind w:left="360" w:hanging="259"/>
      </w:pPr>
      <w:r>
        <w:rPr>
          <w:b w:val="0"/>
          <w:i w:val="0"/>
          <w:color w:val="2C2C2C"/>
          <w:sz w:val="21"/>
        </w:rPr>
        <w:t>CSL 250/500 policies show significantly elevated fraud rates (coeff +0.46, p&lt;0.001).</w:t>
      </w:r>
    </w:p>
    <w:p>
      <w:pPr>
        <w:pStyle w:val="ListBullet"/>
        <w:spacing w:before="0" w:after="40"/>
        <w:ind w:left="360" w:hanging="259"/>
      </w:pPr>
      <w:r>
        <w:rPr>
          <w:b w:val="0"/>
          <w:i w:val="0"/>
          <w:color w:val="2C2C2C"/>
          <w:sz w:val="21"/>
        </w:rPr>
        <w:t>Introduce a mandatory claims-history review before issuing or renewing high-limit policies.</w:t>
      </w:r>
    </w:p>
    <w:p>
      <w:pPr>
        <w:pStyle w:val="ListBullet"/>
        <w:spacing w:before="0" w:after="40"/>
        <w:ind w:left="360" w:hanging="259"/>
      </w:pPr>
      <w:r>
        <w:rPr>
          <w:b w:val="0"/>
          <w:i w:val="0"/>
          <w:color w:val="2C2C2C"/>
          <w:sz w:val="21"/>
        </w:rPr>
        <w:t>Consider requiring additional identity verification for applicants seeking CSL 250/500 coverage.</w:t>
      </w:r>
    </w:p>
    <w:p>
      <w:pPr>
        <w:spacing w:before="120" w:after="40"/>
      </w:pPr>
      <w:r>
        <w:rPr>
          <w:b/>
          <w:i w:val="0"/>
          <w:color w:val="4472A8"/>
          <w:sz w:val="22"/>
        </w:rPr>
        <w:t>Recommendation U4 — Early Claim Waiting Period</w:t>
      </w:r>
    </w:p>
    <w:p>
      <w:pPr>
        <w:pStyle w:val="ListBullet"/>
        <w:spacing w:before="0" w:after="40"/>
        <w:ind w:left="360" w:hanging="259"/>
      </w:pPr>
      <w:r>
        <w:rPr>
          <w:b w:val="0"/>
          <w:i w:val="0"/>
          <w:color w:val="2C2C2C"/>
          <w:sz w:val="21"/>
        </w:rPr>
        <w:t>Flag all claims filed within 60 days of policy binding for mandatory SIU referral.</w:t>
      </w:r>
    </w:p>
    <w:p>
      <w:pPr>
        <w:pStyle w:val="ListBullet"/>
        <w:spacing w:before="0" w:after="40"/>
        <w:ind w:left="360" w:hanging="259"/>
      </w:pPr>
      <w:r>
        <w:rPr>
          <w:b w:val="0"/>
          <w:i w:val="0"/>
          <w:color w:val="2C2C2C"/>
          <w:sz w:val="21"/>
        </w:rPr>
        <w:t>Consider a contractual 30-day waiting period for claims on new policies in high-risk segments.</w:t>
      </w:r>
    </w:p>
    <w:p>
      <w:pPr>
        <w:keepNext/>
        <w:spacing w:before="160" w:after="40"/>
      </w:pPr>
      <w:r>
        <w:rPr>
          <w:b/>
          <w:i w:val="0"/>
          <w:color w:val="1B3A4B"/>
          <w:sz w:val="24"/>
        </w:rPr>
        <w:t>11.2  Claims Processing</w:t>
      </w:r>
    </w:p>
    <w:p>
      <w:pPr>
        <w:spacing w:before="0" w:after="80"/>
      </w:pPr>
      <w:r>
        <w:rPr>
          <w:b w:val="0"/>
          <w:i w:val="0"/>
          <w:color w:val="2C2C2C"/>
          <w:sz w:val="21"/>
        </w:rPr>
        <w:t>Claims-stage interventions can halt fraudulent payouts before they occur. The following automated rules can be derived directly from model findings.</w:t>
      </w:r>
    </w:p>
    <w:p>
      <w:pPr>
        <w:spacing w:before="120" w:after="40"/>
      </w:pPr>
      <w:r>
        <w:rPr>
          <w:b/>
          <w:i w:val="0"/>
          <w:color w:val="4472A8"/>
          <w:sz w:val="22"/>
        </w:rPr>
        <w:t>Recommendation C1 — Automated Alert Rules</w:t>
      </w:r>
    </w:p>
    <w:p>
      <w:pPr>
        <w:spacing w:before="0" w:after="80"/>
      </w:pPr>
      <w:r>
        <w:rPr>
          <w:b w:val="0"/>
          <w:i w:val="0"/>
          <w:color w:val="2C2C2C"/>
          <w:sz w:val="21"/>
        </w:rPr>
        <w:t>Implement the following real-time alert triggers at claim intake:</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E6DDD0"/>
          </w:tcPr>
          <w:p>
            <w:pPr>
              <w:ind w:left="72"/>
            </w:pPr>
            <w:r>
              <w:rPr>
                <w:b/>
                <w:i w:val="0"/>
                <w:color w:val="1B3A4B"/>
                <w:sz w:val="20"/>
              </w:rPr>
              <w:t>Vehicle-to-Injury Rule</w:t>
            </w:r>
          </w:p>
        </w:tc>
        <w:tc>
          <w:tcPr>
            <w:tcW w:type="dxa" w:w="6192"/>
            <w:shd w:val="clear" w:color="auto" w:fill="EEE8DD"/>
          </w:tcPr>
          <w:p>
            <w:pPr>
              <w:ind w:left="72"/>
            </w:pPr>
            <w:r>
              <w:rPr>
                <w:b w:val="0"/>
                <w:i w:val="0"/>
                <w:color w:val="2C2C2C"/>
                <w:sz w:val="20"/>
              </w:rPr>
              <w:t>Alert if vehicle_claim &gt; 3× injury_claim — staged accident indicator (coeff +0.41)</w:t>
            </w:r>
          </w:p>
        </w:tc>
      </w:tr>
      <w:tr>
        <w:tc>
          <w:tcPr>
            <w:tcW w:type="dxa" w:w="3168"/>
            <w:shd w:val="clear" w:color="auto" w:fill="E6DDD0"/>
          </w:tcPr>
          <w:p>
            <w:pPr>
              <w:ind w:left="72"/>
            </w:pPr>
            <w:r>
              <w:rPr>
                <w:b/>
                <w:i w:val="0"/>
                <w:color w:val="1B3A4B"/>
                <w:sz w:val="20"/>
              </w:rPr>
              <w:t>Witness-Document Mismatch</w:t>
            </w:r>
          </w:p>
        </w:tc>
        <w:tc>
          <w:tcPr>
            <w:tcW w:type="dxa" w:w="6192"/>
            <w:shd w:val="clear" w:color="auto" w:fill="FFFFFF"/>
          </w:tcPr>
          <w:p>
            <w:pPr>
              <w:ind w:left="72"/>
            </w:pPr>
            <w:r>
              <w:rPr>
                <w:b w:val="0"/>
                <w:i w:val="0"/>
                <w:color w:val="2C2C2C"/>
                <w:sz w:val="20"/>
              </w:rPr>
              <w:t>Alert if witnesses ≥ 2 AND police_report_available = NO — organised staging (coeff +0.31)</w:t>
            </w:r>
          </w:p>
        </w:tc>
      </w:tr>
      <w:tr>
        <w:tc>
          <w:tcPr>
            <w:tcW w:type="dxa" w:w="3168"/>
            <w:shd w:val="clear" w:color="auto" w:fill="E6DDD0"/>
          </w:tcPr>
          <w:p>
            <w:pPr>
              <w:ind w:left="72"/>
            </w:pPr>
            <w:r>
              <w:rPr>
                <w:b/>
                <w:i w:val="0"/>
                <w:color w:val="1B3A4B"/>
                <w:sz w:val="20"/>
              </w:rPr>
              <w:t>Early Claim Rule</w:t>
            </w:r>
          </w:p>
        </w:tc>
        <w:tc>
          <w:tcPr>
            <w:tcW w:type="dxa" w:w="6192"/>
            <w:shd w:val="clear" w:color="auto" w:fill="EEE8DD"/>
          </w:tcPr>
          <w:p>
            <w:pPr>
              <w:ind w:left="72"/>
            </w:pPr>
            <w:r>
              <w:rPr>
                <w:b w:val="0"/>
                <w:i w:val="0"/>
                <w:color w:val="2C2C2C"/>
                <w:sz w:val="20"/>
              </w:rPr>
              <w:t>Mandatory review if days since policy binding &lt; 60 days</w:t>
            </w:r>
          </w:p>
        </w:tc>
      </w:tr>
      <w:tr>
        <w:tc>
          <w:tcPr>
            <w:tcW w:type="dxa" w:w="3168"/>
            <w:shd w:val="clear" w:color="auto" w:fill="E6DDD0"/>
          </w:tcPr>
          <w:p>
            <w:pPr>
              <w:ind w:left="72"/>
            </w:pPr>
            <w:r>
              <w:rPr>
                <w:b/>
                <w:i w:val="0"/>
                <w:color w:val="1B3A4B"/>
                <w:sz w:val="20"/>
              </w:rPr>
              <w:t>No-Report Property Rule</w:t>
            </w:r>
          </w:p>
        </w:tc>
        <w:tc>
          <w:tcPr>
            <w:tcW w:type="dxa" w:w="6192"/>
            <w:shd w:val="clear" w:color="auto" w:fill="FFFFFF"/>
          </w:tcPr>
          <w:p>
            <w:pPr>
              <w:ind w:left="72"/>
            </w:pPr>
            <w:r>
              <w:rPr>
                <w:b w:val="0"/>
                <w:i w:val="0"/>
                <w:color w:val="2C2C2C"/>
                <w:sz w:val="20"/>
              </w:rPr>
              <w:t>Alert if property_damage = YES AND police_report_available = NO</w:t>
            </w:r>
          </w:p>
        </w:tc>
      </w:tr>
      <w:tr>
        <w:tc>
          <w:tcPr>
            <w:tcW w:type="dxa" w:w="3168"/>
            <w:shd w:val="clear" w:color="auto" w:fill="E6DDD0"/>
          </w:tcPr>
          <w:p>
            <w:pPr>
              <w:ind w:left="72"/>
            </w:pPr>
            <w:r>
              <w:rPr>
                <w:b/>
                <w:i w:val="0"/>
                <w:color w:val="1B3A4B"/>
                <w:sz w:val="20"/>
              </w:rPr>
              <w:t>High-Risk Hobby Rule</w:t>
            </w:r>
          </w:p>
        </w:tc>
        <w:tc>
          <w:tcPr>
            <w:tcW w:type="dxa" w:w="6192"/>
            <w:shd w:val="clear" w:color="auto" w:fill="EEE8DD"/>
          </w:tcPr>
          <w:p>
            <w:pPr>
              <w:ind w:left="72"/>
            </w:pPr>
            <w:r>
              <w:rPr>
                <w:b w:val="0"/>
                <w:i w:val="0"/>
                <w:color w:val="2C2C2C"/>
                <w:sz w:val="20"/>
              </w:rPr>
              <w:t>Auto-route to SIU if insured_hobbies ∈ {chess, cross-fit}</w:t>
            </w:r>
          </w:p>
        </w:tc>
      </w:tr>
    </w:tbl>
    <w:p/>
    <w:p>
      <w:pPr>
        <w:spacing w:before="120" w:after="40"/>
      </w:pPr>
      <w:r>
        <w:rPr>
          <w:b/>
          <w:i w:val="0"/>
          <w:color w:val="4472A8"/>
          <w:sz w:val="22"/>
        </w:rPr>
        <w:t>Recommendation C2 — Severity-Based Escalation</w:t>
      </w:r>
    </w:p>
    <w:p>
      <w:pPr>
        <w:pStyle w:val="ListBullet"/>
        <w:spacing w:before="0" w:after="40"/>
        <w:ind w:left="360" w:hanging="259"/>
      </w:pPr>
      <w:r>
        <w:rPr>
          <w:b w:val="0"/>
          <w:i w:val="0"/>
          <w:color w:val="2C2C2C"/>
          <w:sz w:val="21"/>
        </w:rPr>
        <w:t>Do not assume that moderate-severity (Major Damage) claims are less risky — the data shows the opposite.</w:t>
      </w:r>
    </w:p>
    <w:p>
      <w:pPr>
        <w:pStyle w:val="ListBullet"/>
        <w:spacing w:before="0" w:after="40"/>
        <w:ind w:left="360" w:hanging="259"/>
      </w:pPr>
      <w:r>
        <w:rPr>
          <w:b w:val="0"/>
          <w:i w:val="0"/>
          <w:color w:val="2C2C2C"/>
          <w:sz w:val="21"/>
        </w:rPr>
        <w:t>Escalate all Major Damage claims to Senior Adjusters for a secondary review.</w:t>
      </w:r>
    </w:p>
    <w:p>
      <w:pPr>
        <w:pStyle w:val="ListBullet"/>
        <w:spacing w:before="0" w:after="40"/>
        <w:ind w:left="360" w:hanging="259"/>
      </w:pPr>
      <w:r>
        <w:rPr>
          <w:b w:val="0"/>
          <w:i w:val="0"/>
          <w:color w:val="2C2C2C"/>
          <w:sz w:val="21"/>
        </w:rPr>
        <w:t>Introduce a standardised fraud checklist for Major Damage assessment that verifies physical evidence.</w:t>
      </w:r>
    </w:p>
    <w:p>
      <w:pPr>
        <w:spacing w:before="120" w:after="40"/>
      </w:pPr>
      <w:r>
        <w:rPr>
          <w:b/>
          <w:i w:val="0"/>
          <w:color w:val="4472A8"/>
          <w:sz w:val="22"/>
        </w:rPr>
        <w:t>Recommendation C3 — Deploy Predictive Scoring at Intake</w:t>
      </w:r>
    </w:p>
    <w:p>
      <w:pPr>
        <w:pStyle w:val="ListBullet"/>
        <w:spacing w:before="0" w:after="40"/>
        <w:ind w:left="360" w:hanging="259"/>
      </w:pPr>
      <w:r>
        <w:rPr>
          <w:b w:val="0"/>
          <w:i w:val="0"/>
          <w:color w:val="2C2C2C"/>
          <w:sz w:val="21"/>
        </w:rPr>
        <w:t>Integrate the Tuned Random Forest model into the claims management system.</w:t>
      </w:r>
    </w:p>
    <w:p>
      <w:pPr>
        <w:pStyle w:val="ListBullet"/>
        <w:spacing w:before="0" w:after="40"/>
        <w:ind w:left="360" w:hanging="259"/>
      </w:pPr>
      <w:r>
        <w:rPr>
          <w:b w:val="0"/>
          <w:i w:val="0"/>
          <w:color w:val="2C2C2C"/>
          <w:sz w:val="21"/>
        </w:rPr>
        <w:t>Assign every incoming claim a real-time fraud probability score (0–1).</w:t>
      </w:r>
    </w:p>
    <w:p>
      <w:pPr>
        <w:pStyle w:val="ListBullet"/>
        <w:spacing w:before="0" w:after="40"/>
        <w:ind w:left="360" w:hanging="259"/>
      </w:pPr>
      <w:r>
        <w:rPr>
          <w:b w:val="0"/>
          <w:i w:val="0"/>
          <w:color w:val="2C2C2C"/>
          <w:sz w:val="21"/>
        </w:rPr>
        <w:t>Route claims with score &gt; 0.5 to the Special Investigation Unit (SIU) queue automatically.</w:t>
      </w:r>
    </w:p>
    <w:p>
      <w:pPr>
        <w:pStyle w:val="ListBullet"/>
        <w:spacing w:before="0" w:after="40"/>
        <w:ind w:left="360" w:hanging="259"/>
      </w:pPr>
      <w:r>
        <w:rPr>
          <w:b w:val="0"/>
          <w:i w:val="0"/>
          <w:color w:val="2C2C2C"/>
          <w:sz w:val="21"/>
        </w:rPr>
        <w:t>This approach is expected to flag 81% of actual fraud cases at intake.</w:t>
      </w:r>
    </w:p>
    <w:p>
      <w:pPr>
        <w:keepNext/>
        <w:spacing w:before="160" w:after="40"/>
      </w:pPr>
      <w:r>
        <w:rPr>
          <w:b/>
          <w:i w:val="0"/>
          <w:color w:val="1B3A4B"/>
          <w:sz w:val="24"/>
        </w:rPr>
        <w:t>11.3  Geographic Operations</w:t>
      </w:r>
    </w:p>
    <w:p>
      <w:pPr>
        <w:spacing w:before="0" w:after="80"/>
      </w:pPr>
      <w:r>
        <w:rPr>
          <w:b w:val="0"/>
          <w:i w:val="0"/>
          <w:color w:val="2C2C2C"/>
          <w:sz w:val="21"/>
        </w:rPr>
        <w:t>Fraud is not uniformly distributed. The data reveals clear geographic concentration that should drive resource allocation decisions.</w:t>
      </w:r>
    </w:p>
    <w:p>
      <w:pPr>
        <w:spacing w:before="120" w:after="40"/>
      </w:pPr>
      <w:r>
        <w:rPr>
          <w:b/>
          <w:i w:val="0"/>
          <w:color w:val="4472A8"/>
          <w:sz w:val="22"/>
        </w:rPr>
        <w:t>Recommendation G1 — Regional SIU Deployment</w:t>
      </w:r>
    </w:p>
    <w:p>
      <w:pPr>
        <w:pStyle w:val="ListBullet"/>
        <w:spacing w:before="0" w:after="40"/>
        <w:ind w:left="360" w:hanging="259"/>
      </w:pPr>
      <w:r>
        <w:rPr>
          <w:b w:val="0"/>
          <w:i w:val="0"/>
          <w:color w:val="2C2C2C"/>
          <w:sz w:val="21"/>
        </w:rPr>
        <w:t>Establish dedicated SIU offices or local partnerships in Ohio (OH) and Pennsylvania (PA) — the two highest-risk states (fraud rates &gt;30%).</w:t>
      </w:r>
    </w:p>
    <w:p>
      <w:pPr>
        <w:pStyle w:val="ListBullet"/>
        <w:spacing w:before="0" w:after="40"/>
        <w:ind w:left="360" w:hanging="259"/>
      </w:pPr>
      <w:r>
        <w:rPr>
          <w:b w:val="0"/>
          <w:i w:val="0"/>
          <w:color w:val="2C2C2C"/>
          <w:sz w:val="21"/>
        </w:rPr>
        <w:t>Allocate disproportionate investigative resources to these states relative to premium volume.</w:t>
      </w:r>
    </w:p>
    <w:p>
      <w:pPr>
        <w:spacing w:before="120" w:after="40"/>
      </w:pPr>
      <w:r>
        <w:rPr>
          <w:b/>
          <w:i w:val="0"/>
          <w:color w:val="4472A8"/>
          <w:sz w:val="22"/>
        </w:rPr>
        <w:t>Recommendation G2 — Law Enforcement Collaboration</w:t>
      </w:r>
    </w:p>
    <w:p>
      <w:pPr>
        <w:pStyle w:val="ListBullet"/>
        <w:spacing w:before="0" w:after="40"/>
        <w:ind w:left="360" w:hanging="259"/>
      </w:pPr>
      <w:r>
        <w:rPr>
          <w:b w:val="0"/>
          <w:i w:val="0"/>
          <w:color w:val="2C2C2C"/>
          <w:sz w:val="21"/>
        </w:rPr>
        <w:t>Partner with local police departments in OH and PA hotspot cities to establish fraud reporting channels.</w:t>
      </w:r>
    </w:p>
    <w:p>
      <w:pPr>
        <w:pStyle w:val="ListBullet"/>
        <w:spacing w:before="0" w:after="40"/>
        <w:ind w:left="360" w:hanging="259"/>
      </w:pPr>
      <w:r>
        <w:rPr>
          <w:b w:val="0"/>
          <w:i w:val="0"/>
          <w:color w:val="2C2C2C"/>
          <w:sz w:val="21"/>
        </w:rPr>
        <w:t>Share anonymised fraud patterns with authorities to help break up organised fraud rings.</w:t>
      </w:r>
    </w:p>
    <w:p>
      <w:pPr>
        <w:spacing w:before="120" w:after="40"/>
      </w:pPr>
      <w:r>
        <w:rPr>
          <w:b/>
          <w:i w:val="0"/>
          <w:color w:val="4472A8"/>
          <w:sz w:val="22"/>
        </w:rPr>
        <w:t>Recommendation G3 — Fraud Awareness Campaigns</w:t>
      </w:r>
    </w:p>
    <w:p>
      <w:pPr>
        <w:pStyle w:val="ListBullet"/>
        <w:spacing w:before="0" w:after="40"/>
        <w:ind w:left="360" w:hanging="259"/>
      </w:pPr>
      <w:r>
        <w:rPr>
          <w:b w:val="0"/>
          <w:i w:val="0"/>
          <w:color w:val="2C2C2C"/>
          <w:sz w:val="21"/>
        </w:rPr>
        <w:t>Run targeted consumer fraud-awareness campaigns in high-risk regions to deter opportunistic fraud.</w:t>
      </w:r>
    </w:p>
    <w:p>
      <w:pPr>
        <w:pStyle w:val="ListBullet"/>
        <w:spacing w:before="0" w:after="40"/>
        <w:ind w:left="360" w:hanging="259"/>
      </w:pPr>
      <w:r>
        <w:rPr>
          <w:b w:val="0"/>
          <w:i w:val="0"/>
          <w:color w:val="2C2C2C"/>
          <w:sz w:val="21"/>
        </w:rPr>
        <w:t>Publicise prosecution outcomes in local media to increase perceived risk of committing fraud.</w:t>
      </w:r>
    </w:p>
    <w:p>
      <w:pPr>
        <w:spacing w:before="120" w:after="40"/>
      </w:pPr>
      <w:r>
        <w:rPr>
          <w:b/>
          <w:i w:val="0"/>
          <w:color w:val="4472A8"/>
          <w:sz w:val="22"/>
        </w:rPr>
        <w:t>Recommendation G4 — Geographic Pricing Adjustment</w:t>
      </w:r>
    </w:p>
    <w:p>
      <w:pPr>
        <w:pStyle w:val="ListBullet"/>
        <w:spacing w:before="0" w:after="40"/>
        <w:ind w:left="360" w:hanging="259"/>
      </w:pPr>
      <w:r>
        <w:rPr>
          <w:b w:val="0"/>
          <w:i w:val="0"/>
          <w:color w:val="2C2C2C"/>
          <w:sz w:val="21"/>
        </w:rPr>
        <w:t>Review risk-based pricing models to ensure premiums in OH and PA reflect the elevated fraud exposure.</w:t>
      </w:r>
    </w:p>
    <w:p>
      <w:pPr>
        <w:pStyle w:val="ListBullet"/>
        <w:spacing w:before="0" w:after="40"/>
        <w:ind w:left="360" w:hanging="259"/>
      </w:pPr>
      <w:r>
        <w:rPr>
          <w:b w:val="0"/>
          <w:i w:val="0"/>
          <w:color w:val="2C2C2C"/>
          <w:sz w:val="21"/>
        </w:rPr>
        <w:t>Monitor fraud rates quarterly at city and zip-code level to detect emerging hotspot migration.</w:t>
      </w:r>
    </w:p>
    <w:p>
      <w:pPr>
        <w:keepNext/>
        <w:spacing w:before="160" w:after="40"/>
      </w:pPr>
      <w:r>
        <w:rPr>
          <w:b/>
          <w:i w:val="0"/>
          <w:color w:val="1B3A4B"/>
          <w:sz w:val="24"/>
        </w:rPr>
        <w:t>11.4  Technology &amp; Data Strategy</w:t>
      </w:r>
    </w:p>
    <w:p>
      <w:pPr>
        <w:spacing w:before="120" w:after="40"/>
      </w:pPr>
      <w:r>
        <w:rPr>
          <w:b/>
          <w:i w:val="0"/>
          <w:color w:val="4472A8"/>
          <w:sz w:val="22"/>
        </w:rPr>
        <w:t>Recommendation T1 — Production Model Deployment</w:t>
      </w:r>
    </w:p>
    <w:p>
      <w:pPr>
        <w:pStyle w:val="ListBullet"/>
        <w:spacing w:before="0" w:after="40"/>
        <w:ind w:left="360" w:hanging="259"/>
      </w:pPr>
      <w:r>
        <w:rPr>
          <w:b w:val="0"/>
          <w:i w:val="0"/>
          <w:color w:val="2C2C2C"/>
          <w:sz w:val="21"/>
        </w:rPr>
        <w:t>Deploy the Tuned Random Forest model as a microservice with a REST API endpoint.</w:t>
      </w:r>
    </w:p>
    <w:p>
      <w:pPr>
        <w:pStyle w:val="ListBullet"/>
        <w:spacing w:before="0" w:after="40"/>
        <w:ind w:left="360" w:hanging="259"/>
      </w:pPr>
      <w:r>
        <w:rPr>
          <w:b w:val="0"/>
          <w:i w:val="0"/>
          <w:color w:val="2C2C2C"/>
          <w:sz w:val="21"/>
        </w:rPr>
        <w:t>Integrate with the claims management platform to score claims in real time at intake.</w:t>
      </w:r>
    </w:p>
    <w:p>
      <w:pPr>
        <w:pStyle w:val="ListBullet"/>
        <w:spacing w:before="0" w:after="40"/>
        <w:ind w:left="360" w:hanging="259"/>
      </w:pPr>
      <w:r>
        <w:rPr>
          <w:b w:val="0"/>
          <w:i w:val="0"/>
          <w:color w:val="2C2C2C"/>
          <w:sz w:val="21"/>
        </w:rPr>
        <w:t>Establish a feedback loop: capture SIU investigation outcomes to continuously label new fraud cases for retraining.</w:t>
      </w:r>
    </w:p>
    <w:p>
      <w:pPr>
        <w:spacing w:before="120" w:after="40"/>
      </w:pPr>
      <w:r>
        <w:rPr>
          <w:b/>
          <w:i w:val="0"/>
          <w:color w:val="4472A8"/>
          <w:sz w:val="22"/>
        </w:rPr>
        <w:t>Recommendation T2 — Model Monitoring &amp; Retraining</w:t>
      </w:r>
    </w:p>
    <w:p>
      <w:pPr>
        <w:pStyle w:val="ListBullet"/>
        <w:spacing w:before="0" w:after="40"/>
        <w:ind w:left="360" w:hanging="259"/>
      </w:pPr>
      <w:r>
        <w:rPr>
          <w:b w:val="0"/>
          <w:i w:val="0"/>
          <w:color w:val="2C2C2C"/>
          <w:sz w:val="21"/>
        </w:rPr>
        <w:t>Monitor model performance monthly: track Sensitivity, Specificity, and AUC on recent claims.</w:t>
      </w:r>
    </w:p>
    <w:p>
      <w:pPr>
        <w:pStyle w:val="ListBullet"/>
        <w:spacing w:before="0" w:after="40"/>
        <w:ind w:left="360" w:hanging="259"/>
      </w:pPr>
      <w:r>
        <w:rPr>
          <w:b w:val="0"/>
          <w:i w:val="0"/>
          <w:color w:val="2C2C2C"/>
          <w:sz w:val="21"/>
        </w:rPr>
        <w:t>Retrain the model quarterly using a rolling window of the most recent 24 months of labelled claims.</w:t>
      </w:r>
    </w:p>
    <w:p>
      <w:pPr>
        <w:pStyle w:val="ListBullet"/>
        <w:spacing w:before="0" w:after="40"/>
        <w:ind w:left="360" w:hanging="259"/>
      </w:pPr>
      <w:r>
        <w:rPr>
          <w:b w:val="0"/>
          <w:i w:val="0"/>
          <w:color w:val="2C2C2C"/>
          <w:sz w:val="21"/>
        </w:rPr>
        <w:t>Alert data science team if Validation AUC drops below 0.85.</w:t>
      </w:r>
    </w:p>
    <w:p>
      <w:pPr>
        <w:spacing w:before="120" w:after="40"/>
      </w:pPr>
      <w:r>
        <w:rPr>
          <w:b/>
          <w:i w:val="0"/>
          <w:color w:val="4472A8"/>
          <w:sz w:val="22"/>
        </w:rPr>
        <w:t>Recommendation T3 — Data Enrichment</w:t>
      </w:r>
    </w:p>
    <w:p>
      <w:pPr>
        <w:spacing w:before="0" w:after="80"/>
      </w:pPr>
      <w:r>
        <w:rPr>
          <w:b w:val="0"/>
          <w:i w:val="0"/>
          <w:color w:val="2C2C2C"/>
          <w:sz w:val="21"/>
        </w:rPr>
        <w:t>The current feature set is strong but can be enriched to improve model performance:</w:t>
      </w:r>
    </w:p>
    <w:p>
      <w:pPr>
        <w:pStyle w:val="ListBullet"/>
        <w:spacing w:before="0" w:after="40"/>
        <w:ind w:left="360" w:hanging="259"/>
      </w:pPr>
      <w:r>
        <w:rPr>
          <w:b w:val="0"/>
          <w:i w:val="0"/>
          <w:color w:val="2C2C2C"/>
          <w:sz w:val="21"/>
        </w:rPr>
        <w:t>Telematics data: driving behaviour, speed, braking patterns from connected vehicles.</w:t>
      </w:r>
    </w:p>
    <w:p>
      <w:pPr>
        <w:pStyle w:val="ListBullet"/>
        <w:spacing w:before="0" w:after="40"/>
        <w:ind w:left="360" w:hanging="259"/>
      </w:pPr>
      <w:r>
        <w:rPr>
          <w:b w:val="0"/>
          <w:i w:val="0"/>
          <w:color w:val="2C2C2C"/>
          <w:sz w:val="21"/>
        </w:rPr>
        <w:t>Social media / lifestyle signals: cross-reference hobby declarations with public profiles.</w:t>
      </w:r>
    </w:p>
    <w:p>
      <w:pPr>
        <w:pStyle w:val="ListBullet"/>
        <w:spacing w:before="0" w:after="40"/>
        <w:ind w:left="360" w:hanging="259"/>
      </w:pPr>
      <w:r>
        <w:rPr>
          <w:b w:val="0"/>
          <w:i w:val="0"/>
          <w:color w:val="2C2C2C"/>
          <w:sz w:val="21"/>
        </w:rPr>
        <w:t>Claims network graph: identify policyholders, adjusters, and repair shops that co-appear frequently in fraud cases (network fraud detection).</w:t>
      </w:r>
    </w:p>
    <w:p>
      <w:pPr>
        <w:pStyle w:val="ListBullet"/>
        <w:spacing w:before="0" w:after="40"/>
        <w:ind w:left="360" w:hanging="259"/>
      </w:pPr>
      <w:r>
        <w:rPr>
          <w:b w:val="0"/>
          <w:i w:val="0"/>
          <w:color w:val="2C2C2C"/>
          <w:sz w:val="21"/>
        </w:rPr>
        <w:t>Third-party databases: vehicle history (CARFAX), medical provider records, police report databases.</w:t>
      </w:r>
    </w:p>
    <w:p>
      <w:pPr>
        <w:spacing w:before="120" w:after="40"/>
      </w:pPr>
      <w:r>
        <w:rPr>
          <w:b/>
          <w:i w:val="0"/>
          <w:color w:val="4472A8"/>
          <w:sz w:val="22"/>
        </w:rPr>
        <w:t>Recommendation T4 — Explore Advanced Modelling</w:t>
      </w:r>
    </w:p>
    <w:p>
      <w:pPr>
        <w:pStyle w:val="ListBullet"/>
        <w:spacing w:before="0" w:after="40"/>
        <w:ind w:left="360" w:hanging="259"/>
      </w:pPr>
      <w:r>
        <w:rPr>
          <w:b w:val="0"/>
          <w:i w:val="0"/>
          <w:color w:val="2C2C2C"/>
          <w:sz w:val="21"/>
        </w:rPr>
        <w:t>Evaluate Gradient Boosting (XGBoost, LightGBM) as the next model iteration — typically outperforms Random Forest on tabular data.</w:t>
      </w:r>
    </w:p>
    <w:p>
      <w:pPr>
        <w:pStyle w:val="ListBullet"/>
        <w:spacing w:before="0" w:after="40"/>
        <w:ind w:left="360" w:hanging="259"/>
      </w:pPr>
      <w:r>
        <w:rPr>
          <w:b w:val="0"/>
          <w:i w:val="0"/>
          <w:color w:val="2C2C2C"/>
          <w:sz w:val="21"/>
        </w:rPr>
        <w:t>Explore anomaly detection models (Isolation Forest, Autoencoders) to catch novel fraud patterns not present in historical data.</w:t>
      </w:r>
    </w:p>
    <w:p>
      <w:pPr>
        <w:pStyle w:val="ListBullet"/>
        <w:spacing w:before="0" w:after="40"/>
        <w:ind w:left="360" w:hanging="259"/>
      </w:pPr>
      <w:r>
        <w:rPr>
          <w:b w:val="0"/>
          <w:i w:val="0"/>
          <w:color w:val="2C2C2C"/>
          <w:sz w:val="21"/>
        </w:rPr>
        <w:t>Investigate SMOTE or cost-sensitive learning as alternatives to oversampling for better precision.</w:t>
      </w:r>
    </w:p>
    <w:p>
      <w:pPr>
        <w:pBdr>
          <w:bottom w:val="single" w:sz="4" w:space="1" w:color="D4C4A8"/>
        </w:pBdr>
        <w:spacing w:before="80" w:after="80"/>
      </w:pPr>
    </w:p>
    <w:p>
      <w:pPr>
        <w:keepNext/>
        <w:spacing w:before="280" w:after="80"/>
        <w:pBdr>
          <w:left w:val="thick" w:sz="24" w:space="6" w:color="C9A456"/>
        </w:pBdr>
      </w:pPr>
      <w:r>
        <w:rPr>
          <w:b/>
          <w:i w:val="0"/>
          <w:color w:val="1B3A4B"/>
          <w:sz w:val="28"/>
        </w:rPr>
        <w:t>12. LIMITATIONS &amp; FUTURE WORK</w:t>
      </w:r>
    </w:p>
    <w:p>
      <w:pPr>
        <w:keepNext/>
        <w:spacing w:before="160" w:after="40"/>
      </w:pPr>
      <w:r>
        <w:rPr>
          <w:b/>
          <w:i w:val="0"/>
          <w:color w:val="1B3A4B"/>
          <w:sz w:val="24"/>
        </w:rPr>
        <w:t>Current Limitations</w:t>
      </w:r>
    </w:p>
    <w:p>
      <w:pPr>
        <w:pStyle w:val="ListBullet"/>
        <w:spacing w:before="0" w:after="40"/>
        <w:ind w:left="360" w:hanging="259"/>
      </w:pPr>
      <w:r>
        <w:rPr>
          <w:b w:val="0"/>
          <w:i w:val="0"/>
          <w:color w:val="2C2C2C"/>
          <w:sz w:val="21"/>
        </w:rPr>
        <w:t>Dataset size: 1,000 records is small for production ML — models trained on larger datasets generalise better and capture rarer fraud patterns.</w:t>
      </w:r>
    </w:p>
    <w:p>
      <w:pPr>
        <w:pStyle w:val="ListBullet"/>
        <w:spacing w:before="0" w:after="40"/>
        <w:ind w:left="360" w:hanging="259"/>
      </w:pPr>
      <w:r>
        <w:rPr>
          <w:b w:val="0"/>
          <w:i w:val="0"/>
          <w:color w:val="2C2C2C"/>
          <w:sz w:val="21"/>
        </w:rPr>
        <w:t>Class imbalance handling: RandomOverSampler creates exact duplicate minority samples; SMOTE or cost-sensitive learning may yield better precision.</w:t>
      </w:r>
    </w:p>
    <w:p>
      <w:pPr>
        <w:pStyle w:val="ListBullet"/>
        <w:spacing w:before="0" w:after="40"/>
        <w:ind w:left="360" w:hanging="259"/>
      </w:pPr>
      <w:r>
        <w:rPr>
          <w:b w:val="0"/>
          <w:i w:val="0"/>
          <w:color w:val="2C2C2C"/>
          <w:sz w:val="21"/>
        </w:rPr>
        <w:t>Feature scope: No network-level features (claim adjuster ID, repair shop, IP address) that are highly predictive of organised fraud.</w:t>
      </w:r>
    </w:p>
    <w:p>
      <w:pPr>
        <w:pStyle w:val="ListBullet"/>
        <w:spacing w:before="0" w:after="40"/>
        <w:ind w:left="360" w:hanging="259"/>
      </w:pPr>
      <w:r>
        <w:rPr>
          <w:b w:val="0"/>
          <w:i w:val="0"/>
          <w:color w:val="2C2C2C"/>
          <w:sz w:val="21"/>
        </w:rPr>
        <w:t>Temporal drift: Fraud patterns evolve; a static model trained on historical data will degrade over time without periodic retraining.</w:t>
      </w:r>
    </w:p>
    <w:p>
      <w:pPr>
        <w:pStyle w:val="ListBullet"/>
        <w:spacing w:before="0" w:after="40"/>
        <w:ind w:left="360" w:hanging="259"/>
      </w:pPr>
      <w:r>
        <w:rPr>
          <w:b w:val="0"/>
          <w:i w:val="0"/>
          <w:color w:val="2C2C2C"/>
          <w:sz w:val="21"/>
        </w:rPr>
        <w:t>ROC-AUC approximation: Validation AUC values (0.877, 0.893) are based on the held-out set and may vary slightly with different random seeds.</w:t>
      </w:r>
    </w:p>
    <w:p>
      <w:pPr>
        <w:keepNext/>
        <w:spacing w:before="160" w:after="40"/>
      </w:pPr>
      <w:r>
        <w:rPr>
          <w:b/>
          <w:i w:val="0"/>
          <w:color w:val="1B3A4B"/>
          <w:sz w:val="24"/>
        </w:rPr>
        <w:t>Recommended Future Work</w:t>
      </w:r>
    </w:p>
    <w:p>
      <w:pPr>
        <w:pStyle w:val="ListBullet"/>
        <w:spacing w:before="0" w:after="40"/>
        <w:ind w:left="360" w:hanging="259"/>
      </w:pPr>
      <w:r>
        <w:rPr>
          <w:b w:val="0"/>
          <w:i w:val="0"/>
          <w:color w:val="2C2C2C"/>
          <w:sz w:val="21"/>
        </w:rPr>
        <w:t>Collect a larger labelled dataset (target: 10,000+ records) to improve model robustness.</w:t>
      </w:r>
    </w:p>
    <w:p>
      <w:pPr>
        <w:pStyle w:val="ListBullet"/>
        <w:spacing w:before="0" w:after="40"/>
        <w:ind w:left="360" w:hanging="259"/>
      </w:pPr>
      <w:r>
        <w:rPr>
          <w:b w:val="0"/>
          <w:i w:val="0"/>
          <w:color w:val="2C2C2C"/>
          <w:sz w:val="21"/>
        </w:rPr>
        <w:t>Implement a real-time streaming pipeline (Apache Kafka + ML serving) for sub-second fraud scoring at claim intake.</w:t>
      </w:r>
    </w:p>
    <w:p>
      <w:pPr>
        <w:pStyle w:val="ListBullet"/>
        <w:spacing w:before="0" w:after="40"/>
        <w:ind w:left="360" w:hanging="259"/>
      </w:pPr>
      <w:r>
        <w:rPr>
          <w:b w:val="0"/>
          <w:i w:val="0"/>
          <w:color w:val="2C2C2C"/>
          <w:sz w:val="21"/>
        </w:rPr>
        <w:t>Build a network fraud detection layer to identify organised fraud rings across claims, policyholders, and service providers.</w:t>
      </w:r>
    </w:p>
    <w:p>
      <w:pPr>
        <w:pStyle w:val="ListBullet"/>
        <w:spacing w:before="0" w:after="40"/>
        <w:ind w:left="360" w:hanging="259"/>
      </w:pPr>
      <w:r>
        <w:rPr>
          <w:b w:val="0"/>
          <w:i w:val="0"/>
          <w:color w:val="2C2C2C"/>
          <w:sz w:val="21"/>
        </w:rPr>
        <w:t>Conduct a cost-benefit analysis quantifying the financial impact of false negatives (missed fraud) vs false positives (wrongly rejected legitimate claims) to optimise the decision threshold.</w:t>
      </w:r>
    </w:p>
    <w:p>
      <w:pPr>
        <w:pStyle w:val="ListBullet"/>
        <w:spacing w:before="0" w:after="40"/>
        <w:ind w:left="360" w:hanging="259"/>
      </w:pPr>
      <w:r>
        <w:rPr>
          <w:b w:val="0"/>
          <w:i w:val="0"/>
          <w:color w:val="2C2C2C"/>
          <w:sz w:val="21"/>
        </w:rPr>
        <w:t>Explore explainability frameworks (SHAP, LIME) to make the Random Forest model interpretable for regulators and claims adjusters.</w:t>
      </w:r>
    </w:p>
    <w:p>
      <w:pPr>
        <w:pBdr>
          <w:bottom w:val="single" w:sz="4" w:space="1" w:color="D4C4A8"/>
        </w:pBdr>
        <w:spacing w:before="80" w:after="80"/>
      </w:pPr>
    </w:p>
    <w:p>
      <w:pPr>
        <w:keepNext/>
        <w:spacing w:before="280" w:after="80"/>
        <w:pBdr>
          <w:left w:val="thick" w:sz="24" w:space="6" w:color="C9A456"/>
        </w:pBdr>
      </w:pPr>
      <w:r>
        <w:rPr>
          <w:b/>
          <w:i w:val="0"/>
          <w:color w:val="1B3A4B"/>
          <w:sz w:val="28"/>
        </w:rPr>
        <w:t>13. CONCLUSION</w:t>
      </w:r>
    </w:p>
    <w:p>
      <w:pPr>
        <w:spacing w:before="0" w:after="80"/>
      </w:pPr>
      <w:r>
        <w:rPr>
          <w:b w:val="0"/>
          <w:i w:val="0"/>
          <w:color w:val="2C2C2C"/>
          <w:sz w:val="21"/>
        </w:rPr>
        <w:t>This analysis demonstrates that fraudulent insurance claims exhibit identifiable, statistically significant patterns that can be reliably detected using machine learning. The Tuned Random Forest model, achieving 84.67% accuracy and an AUC-ROC of 0.893 on the validation set, provides Global Insure with a production-ready tool to flag suspicious claims at the point of intake — before any payout is made.</w:t>
      </w:r>
    </w:p>
    <w:p>
      <w:pPr>
        <w:spacing w:before="0" w:after="80"/>
      </w:pPr>
      <w:r>
        <w:rPr>
          <w:b w:val="0"/>
          <w:i w:val="0"/>
          <w:color w:val="2C2C2C"/>
          <w:sz w:val="21"/>
        </w:rPr>
        <w:t>The strongest fraud signals identified — hobby type (chess/cross-fit), incident severity paradox (Major Damage = more fraud), vehicle-to-injury claim ratio, geographic hotspots (OH &amp; PA), and documentation gaps — are not only statistically confirmed by the model but are also operationally actionable without requiring complex infrastructure changes.</w:t>
      </w:r>
    </w:p>
    <w:p>
      <w:pPr>
        <w:spacing w:before="0" w:after="80"/>
      </w:pPr>
      <w:r>
        <w:rPr>
          <w:b w:val="0"/>
          <w:i w:val="0"/>
          <w:color w:val="2C2C2C"/>
          <w:sz w:val="21"/>
        </w:rPr>
        <w:t>The recommendations in this report span the full insurance value chain: from underwriting risk scoring and claims automation rules, to geographic SIU deployment and long-term data enrichment strategy. Implemented together, they represent a comprehensive, evidence-based approach to reducing fraud losses and protecting honest policyholders.</w:t>
      </w:r>
    </w:p>
    <w:tbl>
      <w:tblPr>
        <w:tblW w:type="auto" w:w="0"/>
        <w:jc w:val="center"/>
        <w:tblLook w:firstColumn="1" w:firstRow="1" w:lastColumn="0" w:lastRow="0" w:noHBand="0" w:noVBand="1" w:val="04A0"/>
      </w:tblPr>
      <w:tblGrid>
        <w:gridCol w:w="9360"/>
      </w:tblGrid>
      <w:tr>
        <w:tc>
          <w:tcPr>
            <w:tcW w:type="dxa" w:w="9360"/>
            <w:shd w:val="clear" w:color="auto" w:fill="F0EBE1"/>
            <w:tcBorders>
              <w:top w:val="single" w:sz="6" w:space="0" w:color="C9A456"/>
              <w:bottom w:val="single" w:sz="6" w:space="0" w:color="C9A456"/>
              <w:left w:val="single" w:sz="6" w:space="0" w:color="C9A456"/>
              <w:right w:val="single" w:sz="6" w:space="0" w:color="C9A456"/>
            </w:tcBorders>
          </w:tcPr>
          <w:p>
            <w:pPr>
              <w:spacing w:before="80" w:after="80"/>
              <w:ind w:left="144"/>
              <w:jc w:val="left"/>
            </w:pPr>
            <w:r>
              <w:rPr>
                <w:b w:val="0"/>
                <w:i/>
                <w:color w:val="2C2C2C"/>
                <w:sz w:val="21"/>
              </w:rPr>
              <w:t>Bottom Line: With the right model deployed and the right business rules in place, Global Insure can identify approximately 4 in 5 fraudulent claims before payment — transforming fraud detection from a reactive, post-payout investigation into a proactive, data-driven prevention capability.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