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18" w:rsidRPr="002A555F" w:rsidRDefault="009F1718" w:rsidP="009F1718">
      <w:pPr>
        <w:pStyle w:val="Ttulo"/>
        <w:rPr>
          <w:lang w:val="pt-BR"/>
        </w:rPr>
      </w:pPr>
      <w:r w:rsidRPr="002A555F">
        <w:rPr>
          <w:lang w:val="pt-BR"/>
        </w:rPr>
        <w:t>O Aprendizad</w:t>
      </w:r>
      <w:r>
        <w:rPr>
          <w:lang w:val="pt-BR"/>
        </w:rPr>
        <w:t>o através de um</w:t>
      </w:r>
      <w:r>
        <w:rPr>
          <w:lang w:val="pt-BR"/>
        </w:rPr>
        <w:br/>
        <w:t>Jogo Colaborativo-Competitivo contra Dengue</w:t>
      </w:r>
    </w:p>
    <w:p w:rsidR="009F1718" w:rsidRPr="006C1C1B" w:rsidRDefault="006C1C1B" w:rsidP="009F1718">
      <w:pPr>
        <w:pStyle w:val="Author"/>
        <w:rPr>
          <w:lang w:val="pt-BR"/>
        </w:rPr>
      </w:pPr>
      <w:r w:rsidRPr="006C1C1B">
        <w:rPr>
          <w:lang w:val="pt-BR"/>
        </w:rPr>
        <w:t>D</w:t>
      </w:r>
      <w:r>
        <w:rPr>
          <w:lang w:val="pt-BR"/>
        </w:rPr>
        <w:t xml:space="preserve">iego </w:t>
      </w:r>
      <w:proofErr w:type="spellStart"/>
      <w:r>
        <w:rPr>
          <w:lang w:val="pt-BR"/>
        </w:rPr>
        <w:t>Buchinger</w:t>
      </w:r>
      <w:proofErr w:type="spellEnd"/>
      <w:r>
        <w:rPr>
          <w:lang w:val="pt-BR"/>
        </w:rPr>
        <w:t xml:space="preserve">, Marcelo da Silva </w:t>
      </w:r>
      <w:proofErr w:type="spellStart"/>
      <w:proofErr w:type="gramStart"/>
      <w:r>
        <w:rPr>
          <w:lang w:val="pt-BR"/>
        </w:rPr>
        <w:t>Hounsell</w:t>
      </w:r>
      <w:proofErr w:type="spellEnd"/>
      <w:proofErr w:type="gramEnd"/>
    </w:p>
    <w:p w:rsidR="009F1718" w:rsidRPr="006C1C1B" w:rsidRDefault="006C1C1B" w:rsidP="009F1718">
      <w:pPr>
        <w:spacing w:before="240"/>
        <w:jc w:val="center"/>
        <w:rPr>
          <w:rStyle w:val="AddressChar"/>
        </w:rPr>
      </w:pPr>
      <w:r w:rsidRPr="006C1C1B">
        <w:rPr>
          <w:rStyle w:val="AddressChar"/>
        </w:rPr>
        <w:t>Programa de Pós Graduação Stricto Sensu em Computaç</w:t>
      </w:r>
      <w:r>
        <w:rPr>
          <w:rStyle w:val="AddressChar"/>
        </w:rPr>
        <w:t xml:space="preserve">ão Aplicada (PPGCA) – Universidade do Estado de Santa Catarina (UDESC), Joinville – Santa Catarina – </w:t>
      </w:r>
      <w:proofErr w:type="gramStart"/>
      <w:r>
        <w:rPr>
          <w:rStyle w:val="AddressChar"/>
        </w:rPr>
        <w:t>Brasil</w:t>
      </w:r>
      <w:proofErr w:type="gramEnd"/>
    </w:p>
    <w:p w:rsidR="009F1718" w:rsidRPr="00A6622F" w:rsidRDefault="006C1C1B" w:rsidP="009F1718">
      <w:pPr>
        <w:pStyle w:val="Email"/>
        <w:rPr>
          <w:lang w:val="pt-BR"/>
        </w:rPr>
      </w:pPr>
      <w:r w:rsidRPr="00A6622F">
        <w:rPr>
          <w:lang w:val="pt-BR"/>
        </w:rPr>
        <w:t>diego.buchinger</w:t>
      </w:r>
      <w:r w:rsidR="009F1718" w:rsidRPr="00A6622F">
        <w:rPr>
          <w:lang w:val="pt-BR"/>
        </w:rPr>
        <w:t>@</w:t>
      </w:r>
      <w:r w:rsidRPr="00A6622F">
        <w:rPr>
          <w:lang w:val="pt-BR"/>
        </w:rPr>
        <w:t>outlook.com, marcelo.hounsell@udesc.br</w:t>
      </w:r>
    </w:p>
    <w:p w:rsidR="009F1718" w:rsidRPr="00A6622F" w:rsidRDefault="009F1718" w:rsidP="009F1718">
      <w:pPr>
        <w:pStyle w:val="Email"/>
        <w:rPr>
          <w:lang w:val="pt-BR"/>
        </w:rPr>
        <w:sectPr w:rsidR="009F1718" w:rsidRPr="00A6622F">
          <w:headerReference w:type="even" r:id="rId9"/>
          <w:headerReference w:type="default" r:id="rId10"/>
          <w:footerReference w:type="even" r:id="rId11"/>
          <w:footerReference w:type="first" r:id="rId12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9F1718" w:rsidRPr="00957C84" w:rsidRDefault="009F1718" w:rsidP="009F1718">
      <w:pPr>
        <w:pStyle w:val="Abstract"/>
        <w:rPr>
          <w:lang w:val="en-US"/>
        </w:rPr>
      </w:pPr>
      <w:r w:rsidRPr="00957C84">
        <w:rPr>
          <w:b/>
          <w:lang w:val="en-US"/>
        </w:rPr>
        <w:lastRenderedPageBreak/>
        <w:t>Abstract.</w:t>
      </w:r>
      <w:r w:rsidRPr="00957C84">
        <w:rPr>
          <w:lang w:val="en-US"/>
        </w:rPr>
        <w:t xml:space="preserve"> </w:t>
      </w:r>
      <w:r>
        <w:rPr>
          <w:lang w:val="en-US"/>
        </w:rPr>
        <w:t xml:space="preserve">The dengue fever disease is a public health problem in many countries and, currently, the </w:t>
      </w:r>
      <w:r w:rsidR="00D50A5B">
        <w:rPr>
          <w:lang w:val="en-US"/>
        </w:rPr>
        <w:t>praxis</w:t>
      </w:r>
      <w:r>
        <w:rPr>
          <w:lang w:val="en-US"/>
        </w:rPr>
        <w:t xml:space="preserve"> for controlling this disease is raising the population awareness about this problem</w:t>
      </w:r>
      <w:r w:rsidRPr="00957C84">
        <w:rPr>
          <w:lang w:val="en-US"/>
        </w:rPr>
        <w:t>.</w:t>
      </w:r>
      <w:r>
        <w:rPr>
          <w:lang w:val="en-US"/>
        </w:rPr>
        <w:t xml:space="preserve"> Thus, the use of Serious Games with collaborative and competitive interactions </w:t>
      </w:r>
      <w:r w:rsidR="00D50A5B">
        <w:rPr>
          <w:lang w:val="en-US"/>
        </w:rPr>
        <w:t xml:space="preserve">altogether </w:t>
      </w:r>
      <w:r>
        <w:rPr>
          <w:lang w:val="en-US"/>
        </w:rPr>
        <w:t xml:space="preserve">could increase motivation and provide learning. A group of 43 children/teenagers played the game </w:t>
      </w:r>
      <w:r w:rsidR="006C1C1B">
        <w:rPr>
          <w:lang w:val="en-US"/>
        </w:rPr>
        <w:t>Sherlock Dengue 8</w:t>
      </w:r>
      <w:r>
        <w:rPr>
          <w:lang w:val="en-US"/>
        </w:rPr>
        <w:t xml:space="preserve"> and their learning was evaluated. The results have shown </w:t>
      </w:r>
      <w:r w:rsidR="00D50A5B">
        <w:rPr>
          <w:lang w:val="en-US"/>
        </w:rPr>
        <w:t>increase of 19% on</w:t>
      </w:r>
      <w:r>
        <w:rPr>
          <w:lang w:val="en-US"/>
        </w:rPr>
        <w:t xml:space="preserve"> knowledge and </w:t>
      </w:r>
      <w:r w:rsidR="00D50A5B">
        <w:rPr>
          <w:lang w:val="en-US"/>
        </w:rPr>
        <w:t xml:space="preserve">42% on </w:t>
      </w:r>
      <w:r>
        <w:rPr>
          <w:lang w:val="en-US"/>
        </w:rPr>
        <w:t xml:space="preserve">confidence about the subject, and also, a </w:t>
      </w:r>
      <w:r w:rsidR="00D50A5B">
        <w:rPr>
          <w:lang w:val="en-US"/>
        </w:rPr>
        <w:t xml:space="preserve">moderate </w:t>
      </w:r>
      <w:r>
        <w:rPr>
          <w:lang w:val="en-US"/>
        </w:rPr>
        <w:t>relationship between the in-game score and learning has found.</w:t>
      </w:r>
      <w:r w:rsidR="00FA6D62">
        <w:rPr>
          <w:lang w:val="en-US"/>
        </w:rPr>
        <w:t xml:space="preserve"> The collected data indicate that a collaborative-competitive game has the potential to be an effective tool for dengue </w:t>
      </w:r>
      <w:r w:rsidR="00D50A5B">
        <w:rPr>
          <w:lang w:val="en-US"/>
        </w:rPr>
        <w:t>learning</w:t>
      </w:r>
      <w:r w:rsidR="00FA6D62">
        <w:rPr>
          <w:lang w:val="en-US"/>
        </w:rPr>
        <w:t>.</w:t>
      </w:r>
    </w:p>
    <w:p w:rsidR="009F1718" w:rsidRPr="00676E05" w:rsidRDefault="009F1718" w:rsidP="009F1718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Pr="00A33D14">
        <w:t xml:space="preserve">A dengue </w:t>
      </w:r>
      <w:r>
        <w:t>v</w:t>
      </w:r>
      <w:r w:rsidRPr="00A33D14">
        <w:t>em se mostra</w:t>
      </w:r>
      <w:r>
        <w:t>n</w:t>
      </w:r>
      <w:r w:rsidRPr="00A33D14">
        <w:t>do um problema de</w:t>
      </w:r>
      <w:r>
        <w:t xml:space="preserve"> saúde pública em muitos países e </w:t>
      </w:r>
      <w:r w:rsidRPr="00A33D14">
        <w:t xml:space="preserve">a prática </w:t>
      </w:r>
      <w:r>
        <w:t xml:space="preserve">mais </w:t>
      </w:r>
      <w:r w:rsidRPr="00A33D14">
        <w:t>adotada para o controle desta doença é</w:t>
      </w:r>
      <w:r>
        <w:t xml:space="preserve"> a conscientização da população. Assim,</w:t>
      </w:r>
      <w:r w:rsidRPr="00A33D14">
        <w:t xml:space="preserve"> </w:t>
      </w:r>
      <w:r>
        <w:t>propõe-se o</w:t>
      </w:r>
      <w:r w:rsidRPr="00A33D14">
        <w:t xml:space="preserve"> </w:t>
      </w:r>
      <w:r>
        <w:t xml:space="preserve">uso de Jogos Sérios com interações colaborativas e competitivas </w:t>
      </w:r>
      <w:r w:rsidR="00D50A5B">
        <w:t xml:space="preserve">juntas </w:t>
      </w:r>
      <w:r>
        <w:t>como</w:t>
      </w:r>
      <w:r w:rsidRPr="00A33D14">
        <w:t xml:space="preserve"> um meio de aumentar a motivação e</w:t>
      </w:r>
      <w:r>
        <w:t xml:space="preserve"> trazer aprendizado. Avaliou-se a aprendizagem associada ao uso do jogo </w:t>
      </w:r>
      <w:r w:rsidR="006C1C1B">
        <w:t xml:space="preserve">Sherlock Dengue </w:t>
      </w:r>
      <w:proofErr w:type="gramStart"/>
      <w:r w:rsidR="006C1C1B">
        <w:t>8</w:t>
      </w:r>
      <w:proofErr w:type="gramEnd"/>
      <w:r>
        <w:t xml:space="preserve"> com um grupo de 43 </w:t>
      </w:r>
      <w:r w:rsidR="00D50A5B">
        <w:t>crianças/adolescentes</w:t>
      </w:r>
      <w:r>
        <w:t xml:space="preserve">, obtendo-se um aumento </w:t>
      </w:r>
      <w:r w:rsidR="00D50A5B">
        <w:t>médio de 19%</w:t>
      </w:r>
      <w:r>
        <w:t xml:space="preserve"> </w:t>
      </w:r>
      <w:r w:rsidR="00D50A5B">
        <w:t xml:space="preserve">no </w:t>
      </w:r>
      <w:r>
        <w:t xml:space="preserve">conhecimento e </w:t>
      </w:r>
      <w:r w:rsidR="00D50A5B">
        <w:t xml:space="preserve">42% na </w:t>
      </w:r>
      <w:r>
        <w:t xml:space="preserve">confiança </w:t>
      </w:r>
      <w:r w:rsidR="00703032">
        <w:t>sobre o assunto</w:t>
      </w:r>
      <w:r>
        <w:t xml:space="preserve">, </w:t>
      </w:r>
      <w:r w:rsidR="006C1C1B">
        <w:t>além de</w:t>
      </w:r>
      <w:r>
        <w:t xml:space="preserve"> uma correlação </w:t>
      </w:r>
      <w:r w:rsidR="00D50A5B">
        <w:t xml:space="preserve">moderada </w:t>
      </w:r>
      <w:r>
        <w:t>entr</w:t>
      </w:r>
      <w:r w:rsidR="006C1C1B">
        <w:t>e a pontuação obtida no jogo e o</w:t>
      </w:r>
      <w:r>
        <w:t xml:space="preserve"> aprendizado. Os dados obtidos indicam que um jogo colaborativo-comp</w:t>
      </w:r>
      <w:r w:rsidR="00703032">
        <w:t xml:space="preserve">etitivo tem potencial de ser </w:t>
      </w:r>
      <w:r w:rsidR="00D50A5B">
        <w:t>eficaz para o aprendizado sobre</w:t>
      </w:r>
      <w:r w:rsidR="00FA6D62">
        <w:t xml:space="preserve"> d</w:t>
      </w:r>
      <w:r>
        <w:t>engue.</w:t>
      </w:r>
    </w:p>
    <w:p w:rsidR="009F1718" w:rsidRPr="003F2CF7" w:rsidRDefault="009F1718" w:rsidP="009F1718">
      <w:pPr>
        <w:pStyle w:val="Ttulo1"/>
        <w:rPr>
          <w:lang w:val="pt-BR"/>
        </w:rPr>
      </w:pPr>
      <w:r w:rsidRPr="003F2CF7">
        <w:rPr>
          <w:lang w:val="pt-BR"/>
        </w:rPr>
        <w:t>1. Introdução</w:t>
      </w:r>
    </w:p>
    <w:p w:rsidR="009F1718" w:rsidRPr="00531BB7" w:rsidRDefault="009F1718" w:rsidP="009F1718">
      <w:pPr>
        <w:rPr>
          <w:lang w:val="pt-BR"/>
        </w:rPr>
      </w:pPr>
      <w:r w:rsidRPr="003F2CF7">
        <w:rPr>
          <w:lang w:val="pt-BR"/>
        </w:rPr>
        <w:t xml:space="preserve">Uma das doenças que vem preocupando a população mundial, </w:t>
      </w:r>
      <w:r>
        <w:rPr>
          <w:lang w:val="pt-BR"/>
        </w:rPr>
        <w:t xml:space="preserve">principalmente nos países tropicais e subtropicais é a dengue. A doença da dengue é uma das </w:t>
      </w:r>
      <w:proofErr w:type="spellStart"/>
      <w:r>
        <w:rPr>
          <w:lang w:val="pt-BR"/>
        </w:rPr>
        <w:t>arboviroses</w:t>
      </w:r>
      <w:proofErr w:type="spellEnd"/>
      <w:r>
        <w:rPr>
          <w:lang w:val="pt-BR"/>
        </w:rPr>
        <w:t xml:space="preserve"> que mais mata no mundo, sendo que o número de casos notificados da doença continua a crescer</w:t>
      </w:r>
      <w:r w:rsidR="005C49E7">
        <w:rPr>
          <w:lang w:val="pt-BR"/>
        </w:rPr>
        <w:t>, inclusive no Brasil [</w:t>
      </w:r>
      <w:proofErr w:type="spellStart"/>
      <w:r w:rsidR="005C49E7">
        <w:rPr>
          <w:lang w:val="pt-BR"/>
        </w:rPr>
        <w:t>Guzman</w:t>
      </w:r>
      <w:proofErr w:type="spellEnd"/>
      <w:r w:rsidR="005C49E7">
        <w:rPr>
          <w:lang w:val="pt-BR"/>
        </w:rPr>
        <w:t xml:space="preserve"> e </w:t>
      </w:r>
      <w:proofErr w:type="spellStart"/>
      <w:r w:rsidR="005C49E7">
        <w:rPr>
          <w:lang w:val="pt-BR"/>
        </w:rPr>
        <w:t>Istúriz</w:t>
      </w:r>
      <w:proofErr w:type="spellEnd"/>
      <w:r w:rsidR="005C49E7">
        <w:rPr>
          <w:lang w:val="pt-BR"/>
        </w:rPr>
        <w:t>, 2010]</w:t>
      </w:r>
      <w:r>
        <w:rPr>
          <w:lang w:val="pt-BR"/>
        </w:rPr>
        <w:t xml:space="preserve">. A dengue é uma doença transmitida por mosquitos do gênero Aedes: o </w:t>
      </w:r>
      <w:r w:rsidRPr="00531BB7">
        <w:rPr>
          <w:i/>
          <w:lang w:val="pt-BR"/>
        </w:rPr>
        <w:t>Aedes aegypti</w:t>
      </w:r>
      <w:r>
        <w:rPr>
          <w:lang w:val="pt-BR"/>
        </w:rPr>
        <w:t xml:space="preserve"> e o </w:t>
      </w:r>
      <w:r w:rsidRPr="00531BB7">
        <w:rPr>
          <w:i/>
          <w:lang w:val="pt-BR"/>
        </w:rPr>
        <w:t xml:space="preserve">Aedes </w:t>
      </w:r>
      <w:proofErr w:type="spellStart"/>
      <w:r w:rsidRPr="00531BB7">
        <w:rPr>
          <w:i/>
          <w:lang w:val="pt-BR"/>
        </w:rPr>
        <w:t>albopictus</w:t>
      </w:r>
      <w:proofErr w:type="spellEnd"/>
      <w:r>
        <w:rPr>
          <w:lang w:val="pt-BR"/>
        </w:rPr>
        <w:t>, sendo que o vírus se instala no mosquito quando este pica um ser infectado pela d</w:t>
      </w:r>
      <w:r w:rsidR="006C1C1B">
        <w:rPr>
          <w:lang w:val="pt-BR"/>
        </w:rPr>
        <w:t>oença [</w:t>
      </w:r>
      <w:proofErr w:type="spellStart"/>
      <w:r w:rsidR="006C1C1B">
        <w:rPr>
          <w:lang w:val="pt-BR"/>
        </w:rPr>
        <w:t>Rajapakse</w:t>
      </w:r>
      <w:proofErr w:type="spellEnd"/>
      <w:r w:rsidR="006C1C1B">
        <w:rPr>
          <w:lang w:val="pt-BR"/>
        </w:rPr>
        <w:t xml:space="preserve"> </w:t>
      </w:r>
      <w:proofErr w:type="gramStart"/>
      <w:r w:rsidR="006C1C1B">
        <w:rPr>
          <w:lang w:val="pt-BR"/>
        </w:rPr>
        <w:t>et</w:t>
      </w:r>
      <w:proofErr w:type="gramEnd"/>
      <w:r w:rsidR="006C1C1B">
        <w:rPr>
          <w:lang w:val="pt-BR"/>
        </w:rPr>
        <w:t xml:space="preserve"> al., 2012].</w:t>
      </w:r>
    </w:p>
    <w:p w:rsidR="009F1718" w:rsidRDefault="009F1718" w:rsidP="009F1718">
      <w:pPr>
        <w:rPr>
          <w:lang w:val="pt-BR"/>
        </w:rPr>
      </w:pPr>
      <w:r>
        <w:rPr>
          <w:lang w:val="pt-BR"/>
        </w:rPr>
        <w:tab/>
        <w:t xml:space="preserve">Atualmente, pesquisas estão sendo realizadas a fim de criar uma </w:t>
      </w:r>
      <w:r w:rsidR="006C1C1B">
        <w:rPr>
          <w:lang w:val="pt-BR"/>
        </w:rPr>
        <w:t>vacina para a doença a fim de</w:t>
      </w:r>
      <w:r>
        <w:rPr>
          <w:lang w:val="pt-BR"/>
        </w:rPr>
        <w:t xml:space="preserve"> imunizar as pessoas [</w:t>
      </w:r>
      <w:proofErr w:type="spellStart"/>
      <w:r>
        <w:rPr>
          <w:lang w:val="pt-BR"/>
        </w:rPr>
        <w:t>Ratnam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et</w:t>
      </w:r>
      <w:proofErr w:type="gramEnd"/>
      <w:r>
        <w:rPr>
          <w:lang w:val="pt-BR"/>
        </w:rPr>
        <w:t xml:space="preserve"> al., 2013]. Enquanto uma vacina efetiva não for produzida, a medida mais eficaz é o combate à reprodução do mosquito transmissor</w:t>
      </w:r>
      <w:r w:rsidR="006C1C1B">
        <w:rPr>
          <w:lang w:val="pt-BR"/>
        </w:rPr>
        <w:t>,</w:t>
      </w:r>
      <w:r>
        <w:rPr>
          <w:lang w:val="pt-BR"/>
        </w:rPr>
        <w:t xml:space="preserve"> através da eliminação ou tratamento dos possíveis locais que possam servir </w:t>
      </w:r>
      <w:r w:rsidR="00C97C0B">
        <w:rPr>
          <w:lang w:val="pt-BR"/>
        </w:rPr>
        <w:t>como</w:t>
      </w:r>
      <w:r>
        <w:rPr>
          <w:lang w:val="pt-BR"/>
        </w:rPr>
        <w:t xml:space="preserve"> depósito de ovos dos mosquitos vetores da doença. Entretanto, para combater o mosquito da dengue desta forma, é necessária a colaboração de toda a população</w:t>
      </w:r>
      <w:r w:rsidR="00C97C0B">
        <w:rPr>
          <w:lang w:val="pt-BR"/>
        </w:rPr>
        <w:t>,</w:t>
      </w:r>
      <w:r>
        <w:rPr>
          <w:lang w:val="pt-BR"/>
        </w:rPr>
        <w:t xml:space="preserve"> e por isso é necessário investir em campanhas de conscientização.</w:t>
      </w:r>
    </w:p>
    <w:p w:rsidR="009F1718" w:rsidRDefault="009F1718" w:rsidP="009F1718">
      <w:pPr>
        <w:rPr>
          <w:lang w:val="pt-BR"/>
        </w:rPr>
      </w:pPr>
      <w:r>
        <w:rPr>
          <w:lang w:val="pt-BR"/>
        </w:rPr>
        <w:lastRenderedPageBreak/>
        <w:tab/>
        <w:t>A conscientização de crianças e adolescentes, contudo, vem se mostrando como uma tarefa complexa. Os ditos Nativos Digitais – ou geração Z – veem o ensino tradicional como entediante e pouco motivador, pois estão acostumados – e possuem gosto – por aplicações multimídia e novidades tecnológicas [</w:t>
      </w:r>
      <w:proofErr w:type="spellStart"/>
      <w:r>
        <w:rPr>
          <w:lang w:val="pt-BR"/>
        </w:rPr>
        <w:t>Prensky</w:t>
      </w:r>
      <w:proofErr w:type="spellEnd"/>
      <w:r>
        <w:rPr>
          <w:lang w:val="pt-BR"/>
        </w:rPr>
        <w:t>, 2003]. Dessa forma, pesquisadores sugerem o uso de Jogos Sérios</w:t>
      </w:r>
      <w:r w:rsidR="00C97C0B">
        <w:rPr>
          <w:lang w:val="pt-BR"/>
        </w:rPr>
        <w:t xml:space="preserve"> (JS - </w:t>
      </w:r>
      <w:proofErr w:type="spellStart"/>
      <w:r w:rsidRPr="00A15B87">
        <w:rPr>
          <w:i/>
          <w:lang w:val="pt-BR"/>
        </w:rPr>
        <w:t>Serious</w:t>
      </w:r>
      <w:proofErr w:type="spellEnd"/>
      <w:r w:rsidRPr="00A15B87">
        <w:rPr>
          <w:i/>
          <w:lang w:val="pt-BR"/>
        </w:rPr>
        <w:t xml:space="preserve"> Games</w:t>
      </w:r>
      <w:r>
        <w:rPr>
          <w:lang w:val="pt-BR"/>
        </w:rPr>
        <w:t>) como jogos que são criados especificamente para serem utilizados como ferramentas de ensino, adicionando conteúdos educacionais no design do jogo, mas não abrindo mão do aspecto de entretenimento [</w:t>
      </w:r>
      <w:proofErr w:type="spellStart"/>
      <w:r>
        <w:rPr>
          <w:lang w:val="pt-BR"/>
        </w:rPr>
        <w:t>Susi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et</w:t>
      </w:r>
      <w:proofErr w:type="gramEnd"/>
      <w:r>
        <w:rPr>
          <w:lang w:val="pt-BR"/>
        </w:rPr>
        <w:t xml:space="preserve"> al., 2007].</w:t>
      </w:r>
    </w:p>
    <w:p w:rsidR="009F1718" w:rsidRPr="003F2CF7" w:rsidRDefault="009F1718" w:rsidP="009F1718">
      <w:pPr>
        <w:rPr>
          <w:lang w:val="pt-BR"/>
        </w:rPr>
      </w:pPr>
      <w:r>
        <w:rPr>
          <w:lang w:val="pt-BR"/>
        </w:rPr>
        <w:tab/>
        <w:t>E</w:t>
      </w:r>
      <w:r w:rsidRPr="00A15B87">
        <w:rPr>
          <w:lang w:val="pt-BR"/>
        </w:rPr>
        <w:t xml:space="preserve">studos </w:t>
      </w:r>
      <w:r>
        <w:rPr>
          <w:lang w:val="pt-BR"/>
        </w:rPr>
        <w:t xml:space="preserve">recentes </w:t>
      </w:r>
      <w:r w:rsidRPr="00A15B87">
        <w:rPr>
          <w:lang w:val="pt-BR"/>
        </w:rPr>
        <w:t>têm indicado que a integração de ambiente</w:t>
      </w:r>
      <w:r>
        <w:rPr>
          <w:lang w:val="pt-BR"/>
        </w:rPr>
        <w:t>s colaborativos e competitivos pode</w:t>
      </w:r>
      <w:r w:rsidRPr="00A15B87">
        <w:rPr>
          <w:lang w:val="pt-BR"/>
        </w:rPr>
        <w:t xml:space="preserve"> </w:t>
      </w:r>
      <w:r>
        <w:rPr>
          <w:lang w:val="pt-BR"/>
        </w:rPr>
        <w:t xml:space="preserve">ser </w:t>
      </w:r>
      <w:r w:rsidRPr="00A15B87">
        <w:rPr>
          <w:lang w:val="pt-BR"/>
        </w:rPr>
        <w:t xml:space="preserve">eficaz </w:t>
      </w:r>
      <w:r w:rsidR="00176487">
        <w:rPr>
          <w:lang w:val="pt-BR"/>
        </w:rPr>
        <w:t>para aprendizagem</w:t>
      </w:r>
      <w:r>
        <w:rPr>
          <w:lang w:val="pt-BR"/>
        </w:rPr>
        <w:t xml:space="preserve"> [</w:t>
      </w:r>
      <w:proofErr w:type="spellStart"/>
      <w:r w:rsidRPr="00A15B87">
        <w:rPr>
          <w:lang w:val="pt-BR"/>
        </w:rPr>
        <w:t>F</w:t>
      </w:r>
      <w:r>
        <w:rPr>
          <w:lang w:val="pt-BR"/>
        </w:rPr>
        <w:t>ong-Ling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et</w:t>
      </w:r>
      <w:proofErr w:type="gramEnd"/>
      <w:r>
        <w:rPr>
          <w:lang w:val="pt-BR"/>
        </w:rPr>
        <w:t xml:space="preserve"> al., 2009]</w:t>
      </w:r>
      <w:r w:rsidRPr="00A15B87">
        <w:rPr>
          <w:lang w:val="pt-BR"/>
        </w:rPr>
        <w:t>.</w:t>
      </w:r>
      <w:r>
        <w:rPr>
          <w:lang w:val="pt-BR"/>
        </w:rPr>
        <w:t xml:space="preserve"> </w:t>
      </w:r>
      <w:r>
        <w:rPr>
          <w:lang w:val="pt-BR"/>
        </w:rPr>
        <w:tab/>
        <w:t>Assim, criou-se um novo Jogo Sério Colaborativo-Competitivo (JSCC) que abordasse a temática da doença da dengue e, com base neste jogo, avaliou-se a sua eficácia na aprendizagem sobre a doença. Este artigo mostrará a fundamentação do jogo, a forma de avaliação adotada, os resultados obtidos e suas análises.</w:t>
      </w:r>
      <w:proofErr w:type="gramStart"/>
      <w:r>
        <w:rPr>
          <w:lang w:val="pt-BR"/>
        </w:rPr>
        <w:tab/>
      </w:r>
      <w:proofErr w:type="gramEnd"/>
    </w:p>
    <w:p w:rsidR="009F1718" w:rsidRPr="003F2CF7" w:rsidRDefault="009F1718" w:rsidP="009F1718">
      <w:pPr>
        <w:pStyle w:val="Ttulo1"/>
        <w:rPr>
          <w:lang w:val="pt-BR"/>
        </w:rPr>
      </w:pPr>
      <w:r w:rsidRPr="003F2CF7">
        <w:rPr>
          <w:lang w:val="pt-BR"/>
        </w:rPr>
        <w:t>2. Trabalhos Relacionados</w:t>
      </w:r>
    </w:p>
    <w:p w:rsidR="009F1718" w:rsidRDefault="009F1718" w:rsidP="009F1718">
      <w:pPr>
        <w:rPr>
          <w:lang w:val="pt-BR"/>
        </w:rPr>
      </w:pPr>
      <w:r>
        <w:rPr>
          <w:lang w:val="pt-BR"/>
        </w:rPr>
        <w:t>A busca por trabalhos relacionados foi realizada inicialmente através da procura de JSCC sobre dengue, contudo nenhum trabalho foi encontrado. Assim, subdividiu-se a pesquisa em duas ramificações: uma procurando por JSCC abordando qualquer temática e outra procurando por jogos sobre dengue.</w:t>
      </w:r>
    </w:p>
    <w:p w:rsidR="009F1718" w:rsidRDefault="009F1718" w:rsidP="009F1718">
      <w:pPr>
        <w:rPr>
          <w:lang w:val="pt-BR"/>
        </w:rPr>
      </w:pPr>
      <w:r>
        <w:rPr>
          <w:lang w:val="pt-BR"/>
        </w:rPr>
        <w:tab/>
        <w:t xml:space="preserve">Através de uma revisão de literatura sobre JSCC foram encontrados 17 artigos que apresentavam aspectos de 12 jogos diferentes (i.e. alguns artigos </w:t>
      </w:r>
      <w:r w:rsidR="00C97C0B">
        <w:rPr>
          <w:lang w:val="pt-BR"/>
        </w:rPr>
        <w:t>tratavam de um</w:t>
      </w:r>
      <w:r>
        <w:rPr>
          <w:lang w:val="pt-BR"/>
        </w:rPr>
        <w:t xml:space="preserve"> mesmo jogo). O mapeamento desta pesquisa foi apresentado por </w:t>
      </w:r>
      <w:proofErr w:type="spellStart"/>
      <w:r w:rsidR="00C97C0B" w:rsidRPr="00C97C0B">
        <w:rPr>
          <w:lang w:val="pt-BR"/>
        </w:rPr>
        <w:t>Buchinger</w:t>
      </w:r>
      <w:proofErr w:type="spellEnd"/>
      <w:r w:rsidR="00C97C0B" w:rsidRPr="00C97C0B">
        <w:rPr>
          <w:lang w:val="pt-BR"/>
        </w:rPr>
        <w:t xml:space="preserve"> e </w:t>
      </w:r>
      <w:proofErr w:type="spellStart"/>
      <w:r w:rsidR="00C97C0B" w:rsidRPr="00C97C0B">
        <w:rPr>
          <w:lang w:val="pt-BR"/>
        </w:rPr>
        <w:t>Hounsell</w:t>
      </w:r>
      <w:proofErr w:type="spellEnd"/>
      <w:r w:rsidR="00C97C0B" w:rsidRPr="00C97C0B">
        <w:rPr>
          <w:lang w:val="pt-BR"/>
        </w:rPr>
        <w:t xml:space="preserve"> (2013)</w:t>
      </w:r>
      <w:r>
        <w:rPr>
          <w:lang w:val="pt-BR"/>
        </w:rPr>
        <w:t xml:space="preserve">, onde se destacou que não foi encontrada nenhuma </w:t>
      </w:r>
      <w:proofErr w:type="spellStart"/>
      <w:r w:rsidRPr="00AA050E">
        <w:rPr>
          <w:i/>
          <w:lang w:val="pt-BR"/>
        </w:rPr>
        <w:t>guideline</w:t>
      </w:r>
      <w:proofErr w:type="spellEnd"/>
      <w:r>
        <w:rPr>
          <w:lang w:val="pt-BR"/>
        </w:rPr>
        <w:t xml:space="preserve"> para a elaboração de JSCC. Entretanto, as características de cada jogo apresentado, junto das experiências ressaltadas nos 17 artigos</w:t>
      </w:r>
      <w:r w:rsidR="00C97C0B">
        <w:rPr>
          <w:lang w:val="pt-BR"/>
        </w:rPr>
        <w:t>,</w:t>
      </w:r>
      <w:r>
        <w:rPr>
          <w:lang w:val="pt-BR"/>
        </w:rPr>
        <w:t xml:space="preserve"> serviram como base para a discussão posterior do game design do JSCC sobre dengue que viria a ser desenvolvido.</w:t>
      </w:r>
    </w:p>
    <w:p w:rsidR="009F1718" w:rsidRDefault="009F1718" w:rsidP="009F1718">
      <w:pPr>
        <w:rPr>
          <w:lang w:val="pt-BR"/>
        </w:rPr>
      </w:pPr>
      <w:r>
        <w:rPr>
          <w:lang w:val="pt-BR"/>
        </w:rPr>
        <w:tab/>
        <w:t>Na segunda etapa da pesquisa verificou-se que, excluindo as pesquisas em medicina, não existem muitos trabalhos científicos e JS voltados para a temática da dengue. Dentre os trabalhos encontrados na pesquisa, destaca-se a iniciativa da academia</w:t>
      </w:r>
      <w:r w:rsidR="00C97C0B">
        <w:rPr>
          <w:lang w:val="pt-BR"/>
        </w:rPr>
        <w:t>,</w:t>
      </w:r>
      <w:r>
        <w:rPr>
          <w:lang w:val="pt-BR"/>
        </w:rPr>
        <w:t xml:space="preserve"> na elaboração de JS sobre dengue, principalmente nos países tropicais e subtropicais – que são mais atingidos pela doença – e também de empresas</w:t>
      </w:r>
      <w:r w:rsidR="00C97C0B">
        <w:rPr>
          <w:lang w:val="pt-BR"/>
        </w:rPr>
        <w:t>,</w:t>
      </w:r>
      <w:r>
        <w:rPr>
          <w:lang w:val="pt-BR"/>
        </w:rPr>
        <w:t xml:space="preserve"> através do desenvolvimento de jogos </w:t>
      </w:r>
      <w:r w:rsidRPr="005602EB">
        <w:rPr>
          <w:i/>
          <w:lang w:val="pt-BR"/>
        </w:rPr>
        <w:t>web</w:t>
      </w:r>
      <w:r>
        <w:rPr>
          <w:lang w:val="pt-BR"/>
        </w:rPr>
        <w:t xml:space="preserve"> voltados principalmente para o entretenimento.</w:t>
      </w:r>
    </w:p>
    <w:p w:rsidR="009F1718" w:rsidRDefault="009F1718" w:rsidP="009F1718">
      <w:pPr>
        <w:rPr>
          <w:lang w:val="pt-BR"/>
        </w:rPr>
      </w:pPr>
      <w:r>
        <w:rPr>
          <w:lang w:val="pt-BR"/>
        </w:rPr>
        <w:tab/>
        <w:t xml:space="preserve">Nas Filipinas, Lennon e </w:t>
      </w:r>
      <w:proofErr w:type="spellStart"/>
      <w:r>
        <w:rPr>
          <w:lang w:val="pt-BR"/>
        </w:rPr>
        <w:t>Coombs</w:t>
      </w:r>
      <w:proofErr w:type="spellEnd"/>
      <w:r>
        <w:rPr>
          <w:lang w:val="pt-BR"/>
        </w:rPr>
        <w:t xml:space="preserve"> (2007) realizaram </w:t>
      </w:r>
      <w:r w:rsidRPr="005602EB">
        <w:rPr>
          <w:lang w:val="pt-BR"/>
        </w:rPr>
        <w:t xml:space="preserve">um estudo sobre a influência de um jogo de tabuleiro </w:t>
      </w:r>
      <w:r>
        <w:rPr>
          <w:lang w:val="pt-BR"/>
        </w:rPr>
        <w:t>(</w:t>
      </w:r>
      <w:r w:rsidRPr="005602EB">
        <w:rPr>
          <w:lang w:val="pt-BR"/>
        </w:rPr>
        <w:t>“</w:t>
      </w:r>
      <w:proofErr w:type="spellStart"/>
      <w:r w:rsidRPr="00D92EBE">
        <w:rPr>
          <w:i/>
          <w:lang w:val="pt-BR"/>
        </w:rPr>
        <w:t>Goodbye</w:t>
      </w:r>
      <w:proofErr w:type="spellEnd"/>
      <w:r w:rsidRPr="00D92EBE">
        <w:rPr>
          <w:i/>
          <w:lang w:val="pt-BR"/>
        </w:rPr>
        <w:t>-</w:t>
      </w:r>
      <w:proofErr w:type="spellStart"/>
      <w:r w:rsidRPr="00D92EBE">
        <w:rPr>
          <w:i/>
          <w:lang w:val="pt-BR"/>
        </w:rPr>
        <w:t>to</w:t>
      </w:r>
      <w:proofErr w:type="spellEnd"/>
      <w:r w:rsidRPr="00D92EBE">
        <w:rPr>
          <w:i/>
          <w:lang w:val="pt-BR"/>
        </w:rPr>
        <w:t>-Dengue</w:t>
      </w:r>
      <w:r w:rsidRPr="005602EB">
        <w:rPr>
          <w:lang w:val="pt-BR"/>
        </w:rPr>
        <w:t>”</w:t>
      </w:r>
      <w:r w:rsidR="00AB47AA">
        <w:rPr>
          <w:lang w:val="pt-BR"/>
        </w:rPr>
        <w:t xml:space="preserve"> - GD</w:t>
      </w:r>
      <w:r>
        <w:rPr>
          <w:lang w:val="pt-BR"/>
        </w:rPr>
        <w:t xml:space="preserve">) </w:t>
      </w:r>
      <w:r w:rsidRPr="005602EB">
        <w:rPr>
          <w:lang w:val="pt-BR"/>
        </w:rPr>
        <w:t xml:space="preserve">no processo de aprendizagem da dengue. </w:t>
      </w:r>
      <w:r>
        <w:rPr>
          <w:lang w:val="pt-BR"/>
        </w:rPr>
        <w:t>O jogo utiliza-se de</w:t>
      </w:r>
      <w:r w:rsidRPr="005602EB">
        <w:rPr>
          <w:lang w:val="pt-BR"/>
        </w:rPr>
        <w:t xml:space="preserve"> cartas interativas que apre</w:t>
      </w:r>
      <w:r>
        <w:rPr>
          <w:lang w:val="pt-BR"/>
        </w:rPr>
        <w:t>sentam informações sobre dengue e</w:t>
      </w:r>
      <w:r w:rsidRPr="005602EB">
        <w:rPr>
          <w:lang w:val="pt-BR"/>
        </w:rPr>
        <w:t xml:space="preserve"> </w:t>
      </w:r>
      <w:r>
        <w:rPr>
          <w:lang w:val="pt-BR"/>
        </w:rPr>
        <w:t>o</w:t>
      </w:r>
      <w:r w:rsidRPr="005602EB">
        <w:rPr>
          <w:lang w:val="pt-BR"/>
        </w:rPr>
        <w:t xml:space="preserve"> conhecimento adquirido é reforçado no jogo através de perguntas. Durante este estudo, foi realizada uma análise de eficácia de aprend</w:t>
      </w:r>
      <w:r>
        <w:rPr>
          <w:lang w:val="pt-BR"/>
        </w:rPr>
        <w:t xml:space="preserve">izagem, atitudes-crenças e </w:t>
      </w:r>
      <w:proofErr w:type="gramStart"/>
      <w:r>
        <w:rPr>
          <w:lang w:val="pt-BR"/>
        </w:rPr>
        <w:t>auto</w:t>
      </w:r>
      <w:r w:rsidRPr="005602EB">
        <w:rPr>
          <w:lang w:val="pt-BR"/>
        </w:rPr>
        <w:t xml:space="preserve"> eficácia</w:t>
      </w:r>
      <w:proofErr w:type="gramEnd"/>
      <w:r>
        <w:rPr>
          <w:lang w:val="pt-BR"/>
        </w:rPr>
        <w:t>. Dividiram-se os participantes em dois subgrupos</w:t>
      </w:r>
      <w:r w:rsidRPr="005602EB">
        <w:rPr>
          <w:lang w:val="pt-BR"/>
        </w:rPr>
        <w:t xml:space="preserve">: um que utilizou apenas o jogo como fonte de conhecimento e outro que teve apenas aulas teóricas sobre o assunto. O resultado indicou que o grupo que teve apenas aulas obteve melhores resultados de aprendizagem, enquanto que atitudes-crenças e </w:t>
      </w:r>
      <w:proofErr w:type="gramStart"/>
      <w:r w:rsidRPr="005602EB">
        <w:rPr>
          <w:lang w:val="pt-BR"/>
        </w:rPr>
        <w:t>auto eficácia</w:t>
      </w:r>
      <w:proofErr w:type="gramEnd"/>
      <w:r w:rsidRPr="005602EB">
        <w:rPr>
          <w:lang w:val="pt-BR"/>
        </w:rPr>
        <w:t xml:space="preserve"> aumentaram em ambos os grupos de maneira não significativa. Lennon e </w:t>
      </w:r>
      <w:proofErr w:type="spellStart"/>
      <w:r w:rsidRPr="005602EB">
        <w:rPr>
          <w:lang w:val="pt-BR"/>
        </w:rPr>
        <w:t>Coombs</w:t>
      </w:r>
      <w:proofErr w:type="spellEnd"/>
      <w:r w:rsidRPr="005602EB">
        <w:rPr>
          <w:lang w:val="pt-BR"/>
        </w:rPr>
        <w:t xml:space="preserve"> (2007)</w:t>
      </w:r>
      <w:r>
        <w:rPr>
          <w:lang w:val="pt-BR"/>
        </w:rPr>
        <w:t xml:space="preserve"> argumentam que o grupo que teve</w:t>
      </w:r>
      <w:r w:rsidRPr="005602EB">
        <w:rPr>
          <w:lang w:val="pt-BR"/>
        </w:rPr>
        <w:t xml:space="preserve"> apenas aulas sofre</w:t>
      </w:r>
      <w:r>
        <w:rPr>
          <w:lang w:val="pt-BR"/>
        </w:rPr>
        <w:t>u</w:t>
      </w:r>
      <w:r w:rsidRPr="005602EB">
        <w:rPr>
          <w:lang w:val="pt-BR"/>
        </w:rPr>
        <w:t xml:space="preserve"> grande influência das habilidades de ensino do professor, e que no caso específico do experimento realizado, os professores escolhidos eram os melhores avaliados nas escolas.</w:t>
      </w:r>
    </w:p>
    <w:p w:rsidR="009F1718" w:rsidRPr="005602EB" w:rsidRDefault="009F1718" w:rsidP="009F1718">
      <w:pPr>
        <w:rPr>
          <w:lang w:val="pt-BR"/>
        </w:rPr>
      </w:pPr>
      <w:r>
        <w:rPr>
          <w:lang w:val="pt-BR"/>
        </w:rPr>
        <w:lastRenderedPageBreak/>
        <w:tab/>
      </w:r>
      <w:r w:rsidR="00176487">
        <w:rPr>
          <w:lang w:val="pt-BR"/>
        </w:rPr>
        <w:t>N</w:t>
      </w:r>
      <w:r w:rsidRPr="005602EB">
        <w:rPr>
          <w:lang w:val="pt-BR"/>
        </w:rPr>
        <w:t>a Venezuela,</w:t>
      </w:r>
      <w:r>
        <w:rPr>
          <w:lang w:val="pt-BR"/>
        </w:rPr>
        <w:t xml:space="preserve"> </w:t>
      </w:r>
      <w:r w:rsidR="00176487">
        <w:rPr>
          <w:lang w:val="pt-BR"/>
        </w:rPr>
        <w:t xml:space="preserve">Vivas e Guevara de </w:t>
      </w:r>
      <w:proofErr w:type="spellStart"/>
      <w:r w:rsidR="00176487">
        <w:rPr>
          <w:lang w:val="pt-BR"/>
        </w:rPr>
        <w:t>Sequeda</w:t>
      </w:r>
      <w:proofErr w:type="spellEnd"/>
      <w:r w:rsidR="00176487">
        <w:rPr>
          <w:lang w:val="pt-BR"/>
        </w:rPr>
        <w:t xml:space="preserve"> (2003) realizaram</w:t>
      </w:r>
      <w:r>
        <w:rPr>
          <w:lang w:val="pt-BR"/>
        </w:rPr>
        <w:t xml:space="preserve"> </w:t>
      </w:r>
      <w:r w:rsidRPr="005602EB">
        <w:rPr>
          <w:lang w:val="pt-BR"/>
        </w:rPr>
        <w:t>um estudo sobre a eficácia de um jogo</w:t>
      </w:r>
      <w:r>
        <w:rPr>
          <w:lang w:val="pt-BR"/>
        </w:rPr>
        <w:t xml:space="preserve"> (</w:t>
      </w:r>
      <w:r w:rsidRPr="005602EB">
        <w:rPr>
          <w:lang w:val="pt-BR"/>
        </w:rPr>
        <w:t>“</w:t>
      </w:r>
      <w:r w:rsidRPr="00D92EBE">
        <w:rPr>
          <w:i/>
          <w:lang w:val="pt-BR"/>
        </w:rPr>
        <w:t xml:space="preserve">Jugando em </w:t>
      </w:r>
      <w:proofErr w:type="spellStart"/>
      <w:r w:rsidRPr="00D92EBE">
        <w:rPr>
          <w:i/>
          <w:lang w:val="pt-BR"/>
        </w:rPr>
        <w:t>Salud</w:t>
      </w:r>
      <w:proofErr w:type="spellEnd"/>
      <w:r w:rsidRPr="00D92EBE">
        <w:rPr>
          <w:i/>
          <w:lang w:val="pt-BR"/>
        </w:rPr>
        <w:t>: dengue</w:t>
      </w:r>
      <w:r w:rsidRPr="005602EB">
        <w:rPr>
          <w:lang w:val="pt-BR"/>
        </w:rPr>
        <w:t>”</w:t>
      </w:r>
      <w:r w:rsidR="00AB47AA">
        <w:rPr>
          <w:lang w:val="pt-BR"/>
        </w:rPr>
        <w:t xml:space="preserve"> - JSD</w:t>
      </w:r>
      <w:r>
        <w:rPr>
          <w:lang w:val="pt-BR"/>
        </w:rPr>
        <w:t>)</w:t>
      </w:r>
      <w:r w:rsidRPr="005602EB">
        <w:rPr>
          <w:lang w:val="pt-BR"/>
        </w:rPr>
        <w:t xml:space="preserve"> como ferramenta de aprendizado, controle e prevenção contra a dengue</w:t>
      </w:r>
      <w:r>
        <w:rPr>
          <w:lang w:val="pt-BR"/>
        </w:rPr>
        <w:t xml:space="preserve"> no ensino às </w:t>
      </w:r>
      <w:r w:rsidRPr="005602EB">
        <w:rPr>
          <w:lang w:val="pt-BR"/>
        </w:rPr>
        <w:t>crianças que estudam no ensino fundamental</w:t>
      </w:r>
      <w:r w:rsidR="00176487">
        <w:rPr>
          <w:lang w:val="pt-BR"/>
        </w:rPr>
        <w:t>. A</w:t>
      </w:r>
      <w:r>
        <w:rPr>
          <w:lang w:val="pt-BR"/>
        </w:rPr>
        <w:t xml:space="preserve"> eficácia do jogo </w:t>
      </w:r>
      <w:r w:rsidR="00176487">
        <w:rPr>
          <w:lang w:val="pt-BR"/>
        </w:rPr>
        <w:t xml:space="preserve">foi testada </w:t>
      </w:r>
      <w:r>
        <w:rPr>
          <w:lang w:val="pt-BR"/>
        </w:rPr>
        <w:t xml:space="preserve">através de um </w:t>
      </w:r>
      <w:r w:rsidRPr="005602EB">
        <w:rPr>
          <w:lang w:val="pt-BR"/>
        </w:rPr>
        <w:t xml:space="preserve">experimento </w:t>
      </w:r>
      <w:r>
        <w:rPr>
          <w:lang w:val="pt-BR"/>
        </w:rPr>
        <w:t>envolvendo</w:t>
      </w:r>
      <w:r w:rsidRPr="005602EB">
        <w:rPr>
          <w:lang w:val="pt-BR"/>
        </w:rPr>
        <w:t xml:space="preserve"> três grupos: um grupo que usou o jogo três vezes por semana durante 60 dias e seus professores </w:t>
      </w:r>
      <w:r>
        <w:rPr>
          <w:lang w:val="pt-BR"/>
        </w:rPr>
        <w:t>receberam</w:t>
      </w:r>
      <w:r w:rsidRPr="005602EB">
        <w:rPr>
          <w:lang w:val="pt-BR"/>
        </w:rPr>
        <w:t xml:space="preserve"> novos ma</w:t>
      </w:r>
      <w:r w:rsidR="00C97C0B">
        <w:rPr>
          <w:lang w:val="pt-BR"/>
        </w:rPr>
        <w:t>teriais teóricos sobre a doença;</w:t>
      </w:r>
      <w:r w:rsidRPr="005602EB">
        <w:rPr>
          <w:lang w:val="pt-BR"/>
        </w:rPr>
        <w:t xml:space="preserve"> outro grupo que </w:t>
      </w:r>
      <w:r>
        <w:rPr>
          <w:lang w:val="pt-BR"/>
        </w:rPr>
        <w:t>recebeu</w:t>
      </w:r>
      <w:r w:rsidR="00C97C0B">
        <w:rPr>
          <w:lang w:val="pt-BR"/>
        </w:rPr>
        <w:t xml:space="preserve"> apenas os novos materiais;</w:t>
      </w:r>
      <w:r w:rsidRPr="005602EB">
        <w:rPr>
          <w:lang w:val="pt-BR"/>
        </w:rPr>
        <w:t xml:space="preserve"> e o último grupo que seguiu apenas o programa de ensino regular (grupo de controle). </w:t>
      </w:r>
      <w:r>
        <w:rPr>
          <w:lang w:val="pt-BR"/>
        </w:rPr>
        <w:t>Todos</w:t>
      </w:r>
      <w:r w:rsidRPr="005602EB">
        <w:rPr>
          <w:lang w:val="pt-BR"/>
        </w:rPr>
        <w:t xml:space="preserve"> foram avaliados através de questionários antes e após o período do programa, sendo verificado um aumento significativo no conhecimento sobre dengue nos dois primeiros grupos, e </w:t>
      </w:r>
      <w:r w:rsidR="00C97C0B">
        <w:rPr>
          <w:lang w:val="pt-BR"/>
        </w:rPr>
        <w:t xml:space="preserve">na </w:t>
      </w:r>
      <w:r w:rsidRPr="005602EB">
        <w:rPr>
          <w:lang w:val="pt-BR"/>
        </w:rPr>
        <w:t>aceitação do jogo.</w:t>
      </w:r>
    </w:p>
    <w:p w:rsidR="009F1718" w:rsidRPr="005602EB" w:rsidRDefault="009F1718" w:rsidP="009F1718">
      <w:pPr>
        <w:rPr>
          <w:lang w:val="pt-BR"/>
        </w:rPr>
      </w:pPr>
      <w:r>
        <w:rPr>
          <w:lang w:val="pt-BR"/>
        </w:rPr>
        <w:tab/>
        <w:t xml:space="preserve">No Brasil, Silva </w:t>
      </w:r>
      <w:proofErr w:type="gramStart"/>
      <w:r>
        <w:rPr>
          <w:lang w:val="pt-BR"/>
        </w:rPr>
        <w:t>et</w:t>
      </w:r>
      <w:proofErr w:type="gramEnd"/>
      <w:r>
        <w:rPr>
          <w:lang w:val="pt-BR"/>
        </w:rPr>
        <w:t xml:space="preserve"> al. (2011) apresentaram</w:t>
      </w:r>
      <w:r w:rsidRPr="005602EB">
        <w:rPr>
          <w:lang w:val="pt-BR"/>
        </w:rPr>
        <w:t xml:space="preserve"> a proposta de um </w:t>
      </w:r>
      <w:r w:rsidRPr="00C76A93">
        <w:rPr>
          <w:i/>
          <w:lang w:val="pt-BR"/>
        </w:rPr>
        <w:t xml:space="preserve">Role </w:t>
      </w:r>
      <w:proofErr w:type="spellStart"/>
      <w:r w:rsidRPr="00C76A93">
        <w:rPr>
          <w:i/>
          <w:lang w:val="pt-BR"/>
        </w:rPr>
        <w:t>Playing</w:t>
      </w:r>
      <w:proofErr w:type="spellEnd"/>
      <w:r w:rsidRPr="00C76A93">
        <w:rPr>
          <w:i/>
          <w:lang w:val="pt-BR"/>
        </w:rPr>
        <w:t xml:space="preserve"> Game</w:t>
      </w:r>
      <w:r w:rsidRPr="005602EB">
        <w:rPr>
          <w:lang w:val="pt-BR"/>
        </w:rPr>
        <w:t xml:space="preserve"> (RPG) sobre dengue que enfatiza também a cultura e a geografia </w:t>
      </w:r>
      <w:r>
        <w:rPr>
          <w:lang w:val="pt-BR"/>
        </w:rPr>
        <w:t>do nordeste brasileiro. O jogo (</w:t>
      </w:r>
      <w:r w:rsidRPr="005602EB">
        <w:rPr>
          <w:lang w:val="pt-BR"/>
        </w:rPr>
        <w:t>“E</w:t>
      </w:r>
      <w:r w:rsidR="00A6622F">
        <w:rPr>
          <w:lang w:val="pt-BR"/>
        </w:rPr>
        <w:t>xterminadores de D</w:t>
      </w:r>
      <w:r w:rsidRPr="005602EB">
        <w:rPr>
          <w:lang w:val="pt-BR"/>
        </w:rPr>
        <w:t>engue”</w:t>
      </w:r>
      <w:r w:rsidR="00AB47AA">
        <w:rPr>
          <w:lang w:val="pt-BR"/>
        </w:rPr>
        <w:t xml:space="preserve"> - ED</w:t>
      </w:r>
      <w:r>
        <w:rPr>
          <w:lang w:val="pt-BR"/>
        </w:rPr>
        <w:t>)</w:t>
      </w:r>
      <w:r w:rsidRPr="005602EB">
        <w:rPr>
          <w:lang w:val="pt-BR"/>
        </w:rPr>
        <w:t xml:space="preserve"> põe o jogador sobre o controle de um personagem que tem um de seus parentes infectados pelo vírus da doença. O jogador possui os objetivos de eliminar os mosquitos Aedes Aegypti em batalhas no estilo RPG, eliminar os depósitos do mosquito, além de procurar e trazer medicamentos para o parent</w:t>
      </w:r>
      <w:r>
        <w:rPr>
          <w:lang w:val="pt-BR"/>
        </w:rPr>
        <w:t xml:space="preserve">e infectado. </w:t>
      </w:r>
      <w:r>
        <w:rPr>
          <w:lang w:val="pt-BR"/>
        </w:rPr>
        <w:tab/>
        <w:t xml:space="preserve">Também no Brasil, Pereira </w:t>
      </w:r>
      <w:proofErr w:type="gramStart"/>
      <w:r>
        <w:rPr>
          <w:lang w:val="pt-BR"/>
        </w:rPr>
        <w:t>et</w:t>
      </w:r>
      <w:proofErr w:type="gramEnd"/>
      <w:r>
        <w:rPr>
          <w:lang w:val="pt-BR"/>
        </w:rPr>
        <w:t xml:space="preserve"> al. (2011)</w:t>
      </w:r>
      <w:r w:rsidRPr="005602EB">
        <w:rPr>
          <w:lang w:val="pt-BR"/>
        </w:rPr>
        <w:t xml:space="preserve"> apresenta</w:t>
      </w:r>
      <w:r>
        <w:rPr>
          <w:lang w:val="pt-BR"/>
        </w:rPr>
        <w:t>ram</w:t>
      </w:r>
      <w:r w:rsidRPr="005602EB">
        <w:rPr>
          <w:lang w:val="pt-BR"/>
        </w:rPr>
        <w:t xml:space="preserve"> o jogo “Contra Dengue”</w:t>
      </w:r>
      <w:r w:rsidR="00AB47AA">
        <w:rPr>
          <w:lang w:val="pt-BR"/>
        </w:rPr>
        <w:t xml:space="preserve"> (CD)</w:t>
      </w:r>
      <w:r w:rsidRPr="005602EB">
        <w:rPr>
          <w:lang w:val="pt-BR"/>
        </w:rPr>
        <w:t xml:space="preserve">. </w:t>
      </w:r>
      <w:r w:rsidR="00B957A1">
        <w:rPr>
          <w:lang w:val="pt-BR"/>
        </w:rPr>
        <w:t>Neste jogo, o</w:t>
      </w:r>
      <w:r w:rsidRPr="005602EB">
        <w:rPr>
          <w:lang w:val="pt-BR"/>
        </w:rPr>
        <w:t>s jogadores devem explorar o ambiente, passando por obstáculos, eliminando os possíveis depósitos para o mosquito vetor, e procurando por itens qu</w:t>
      </w:r>
      <w:r>
        <w:rPr>
          <w:lang w:val="pt-BR"/>
        </w:rPr>
        <w:t>e restauram seus pontos de vida</w:t>
      </w:r>
      <w:r w:rsidRPr="005602EB">
        <w:rPr>
          <w:lang w:val="pt-BR"/>
        </w:rPr>
        <w:t xml:space="preserve"> e que forneçam pontos. Ambos os jogos são voltados para crianças e adolescentes</w:t>
      </w:r>
      <w:r w:rsidR="00B957A1">
        <w:rPr>
          <w:lang w:val="pt-BR"/>
        </w:rPr>
        <w:t>,</w:t>
      </w:r>
      <w:r w:rsidRPr="005602EB">
        <w:rPr>
          <w:lang w:val="pt-BR"/>
        </w:rPr>
        <w:t xml:space="preserve"> e nenhum estudo sobre seu uso foi mencionado.</w:t>
      </w:r>
    </w:p>
    <w:p w:rsidR="009F1718" w:rsidRPr="005602EB" w:rsidRDefault="009F1718" w:rsidP="009F1718">
      <w:pPr>
        <w:rPr>
          <w:lang w:val="pt-BR"/>
        </w:rPr>
      </w:pPr>
      <w:r>
        <w:rPr>
          <w:lang w:val="pt-BR"/>
        </w:rPr>
        <w:tab/>
      </w:r>
      <w:r w:rsidRPr="005602EB">
        <w:rPr>
          <w:lang w:val="pt-BR"/>
        </w:rPr>
        <w:t xml:space="preserve">Outro projeto que vem sendo desenvolvido no Brasil é o </w:t>
      </w:r>
      <w:r w:rsidR="00B957A1" w:rsidRPr="00B957A1">
        <w:rPr>
          <w:lang w:val="pt-BR"/>
        </w:rPr>
        <w:t>Sherlock Dengue</w:t>
      </w:r>
      <w:r w:rsidR="00AB47AA">
        <w:rPr>
          <w:lang w:val="pt-BR"/>
        </w:rPr>
        <w:t xml:space="preserve"> (SD)</w:t>
      </w:r>
      <w:r w:rsidR="00B957A1">
        <w:rPr>
          <w:lang w:val="pt-BR"/>
        </w:rPr>
        <w:t xml:space="preserve"> [Sherlock Dengue, 2015]</w:t>
      </w:r>
      <w:r w:rsidRPr="005602EB">
        <w:rPr>
          <w:lang w:val="pt-BR"/>
        </w:rPr>
        <w:t xml:space="preserve">. Este projeto envolve o desenvolvimento de </w:t>
      </w:r>
      <w:r w:rsidR="00B957A1">
        <w:rPr>
          <w:lang w:val="pt-BR"/>
        </w:rPr>
        <w:t>JS</w:t>
      </w:r>
      <w:r w:rsidRPr="005602EB">
        <w:rPr>
          <w:lang w:val="pt-BR"/>
        </w:rPr>
        <w:t xml:space="preserve"> utilizando diferentes tecnologias e design, mas mantendo o foco na divulgação e ensino de informações sobre a dengue de maneira inte</w:t>
      </w:r>
      <w:r>
        <w:rPr>
          <w:lang w:val="pt-BR"/>
        </w:rPr>
        <w:t>rativa. O projeto conta com oito versões distintas (sendo a oitava versão tópico deste artigo),</w:t>
      </w:r>
      <w:r w:rsidRPr="005602EB">
        <w:rPr>
          <w:lang w:val="pt-BR"/>
        </w:rPr>
        <w:t xml:space="preserve"> voltadas principalmente para crianças e adolescentes, com exceção da sétima versão que </w:t>
      </w:r>
      <w:r>
        <w:rPr>
          <w:lang w:val="pt-BR"/>
        </w:rPr>
        <w:t xml:space="preserve">tem </w:t>
      </w:r>
      <w:r w:rsidR="00B957A1">
        <w:rPr>
          <w:lang w:val="pt-BR"/>
        </w:rPr>
        <w:t xml:space="preserve">como público-alvo os </w:t>
      </w:r>
      <w:r>
        <w:rPr>
          <w:lang w:val="pt-BR"/>
        </w:rPr>
        <w:t>especialistas da área da saúde.</w:t>
      </w:r>
    </w:p>
    <w:p w:rsidR="009F1718" w:rsidRDefault="009F1718" w:rsidP="009F1718">
      <w:pPr>
        <w:rPr>
          <w:lang w:val="pt-BR"/>
        </w:rPr>
      </w:pPr>
      <w:r>
        <w:rPr>
          <w:lang w:val="pt-BR"/>
        </w:rPr>
        <w:tab/>
      </w:r>
      <w:r w:rsidRPr="005602EB">
        <w:rPr>
          <w:lang w:val="pt-BR"/>
        </w:rPr>
        <w:t xml:space="preserve">Para sumarizar os dados dos estudos </w:t>
      </w:r>
      <w:r>
        <w:rPr>
          <w:lang w:val="pt-BR"/>
        </w:rPr>
        <w:t>ressaltados é apresentada a Tabela 1</w:t>
      </w:r>
      <w:r w:rsidRPr="005602EB">
        <w:rPr>
          <w:lang w:val="pt-BR"/>
        </w:rPr>
        <w:t>. Note que fora</w:t>
      </w:r>
      <w:r>
        <w:rPr>
          <w:lang w:val="pt-BR"/>
        </w:rPr>
        <w:t xml:space="preserve">m incluídas apenas as versões dois e seis </w:t>
      </w:r>
      <w:r w:rsidRPr="005602EB">
        <w:rPr>
          <w:lang w:val="pt-BR"/>
        </w:rPr>
        <w:t xml:space="preserve">do projeto </w:t>
      </w:r>
      <w:r w:rsidR="00B957A1" w:rsidRPr="00B957A1">
        <w:rPr>
          <w:lang w:val="pt-BR"/>
        </w:rPr>
        <w:t>Sherlock Dengue</w:t>
      </w:r>
      <w:r w:rsidRPr="005602EB">
        <w:rPr>
          <w:lang w:val="pt-BR"/>
        </w:rPr>
        <w:t xml:space="preserve">, porque somente nestas duas versões foram realizados estudos avaliativos. Pode-se observar a predominância de crianças e adolescentes como público alvo, o uso de questionários para coleta de dados e uma tendência na avaliação de aprendizagem e aceitação dos </w:t>
      </w:r>
      <w:r>
        <w:rPr>
          <w:lang w:val="pt-BR"/>
        </w:rPr>
        <w:t>jogos</w:t>
      </w:r>
      <w:r w:rsidRPr="005602EB">
        <w:rPr>
          <w:lang w:val="pt-BR"/>
        </w:rPr>
        <w:t>. Pode-se considerar que a avaliação de aceitação é uma forma de verificar a motivação dos participantes, pois a aceitação é um pré-requisito da motivação.</w:t>
      </w:r>
    </w:p>
    <w:p w:rsidR="009F1718" w:rsidRDefault="009F1718" w:rsidP="00176487">
      <w:pPr>
        <w:tabs>
          <w:tab w:val="clear" w:pos="720"/>
          <w:tab w:val="left" w:pos="709"/>
        </w:tabs>
        <w:rPr>
          <w:lang w:val="pt-BR"/>
        </w:rPr>
      </w:pPr>
      <w:r>
        <w:rPr>
          <w:lang w:val="pt-BR"/>
        </w:rPr>
        <w:tab/>
      </w:r>
      <w:r w:rsidRPr="00465C27">
        <w:rPr>
          <w:lang w:val="pt-BR"/>
        </w:rPr>
        <w:t>Existem também vários jogos não apresentados na literatura cie</w:t>
      </w:r>
      <w:r>
        <w:rPr>
          <w:lang w:val="pt-BR"/>
        </w:rPr>
        <w:t xml:space="preserve">ntífica (e.g. Contra a Dengue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, Colorir, Dengue, </w:t>
      </w:r>
      <w:r w:rsidRPr="00DF45F9">
        <w:rPr>
          <w:i/>
          <w:lang w:val="pt-BR"/>
        </w:rPr>
        <w:t xml:space="preserve">Dengue </w:t>
      </w:r>
      <w:proofErr w:type="spellStart"/>
      <w:r w:rsidRPr="00DF45F9">
        <w:rPr>
          <w:i/>
          <w:lang w:val="pt-BR"/>
        </w:rPr>
        <w:t>Buster</w:t>
      </w:r>
      <w:proofErr w:type="spellEnd"/>
      <w:r>
        <w:rPr>
          <w:lang w:val="pt-BR"/>
        </w:rPr>
        <w:t>, Hugo Contra Dengue</w:t>
      </w:r>
      <w:r w:rsidRPr="00465C27">
        <w:rPr>
          <w:lang w:val="pt-BR"/>
        </w:rPr>
        <w:t xml:space="preserve">) – geralmente com estilo e aparência de aplicativos Flash 2D – que abordam </w:t>
      </w:r>
      <w:r>
        <w:rPr>
          <w:lang w:val="pt-BR"/>
        </w:rPr>
        <w:t>o tema da doença da</w:t>
      </w:r>
      <w:r w:rsidRPr="00465C27">
        <w:rPr>
          <w:lang w:val="pt-BR"/>
        </w:rPr>
        <w:t xml:space="preserve"> dengue, mas </w:t>
      </w:r>
      <w:r>
        <w:rPr>
          <w:lang w:val="pt-BR"/>
        </w:rPr>
        <w:t>possuem</w:t>
      </w:r>
      <w:r w:rsidRPr="00465C27">
        <w:rPr>
          <w:lang w:val="pt-BR"/>
        </w:rPr>
        <w:t xml:space="preserve"> e apresenta</w:t>
      </w:r>
      <w:r>
        <w:rPr>
          <w:lang w:val="pt-BR"/>
        </w:rPr>
        <w:t>m</w:t>
      </w:r>
      <w:r w:rsidRPr="00465C27">
        <w:rPr>
          <w:lang w:val="pt-BR"/>
        </w:rPr>
        <w:t xml:space="preserve"> pouco conteúdo sobre a doença, dando maior ênfase para os aspectos interativos do jogo. </w:t>
      </w:r>
      <w:r>
        <w:rPr>
          <w:lang w:val="pt-BR"/>
        </w:rPr>
        <w:t>E</w:t>
      </w:r>
      <w:r w:rsidRPr="00465C27">
        <w:rPr>
          <w:lang w:val="pt-BR"/>
        </w:rPr>
        <w:t>m alguns casos</w:t>
      </w:r>
      <w:r>
        <w:rPr>
          <w:lang w:val="pt-BR"/>
        </w:rPr>
        <w:t>, inclusive,</w:t>
      </w:r>
      <w:r w:rsidRPr="00465C27">
        <w:rPr>
          <w:lang w:val="pt-BR"/>
        </w:rPr>
        <w:t xml:space="preserve"> não há um vínculo </w:t>
      </w:r>
      <w:r>
        <w:rPr>
          <w:lang w:val="pt-BR"/>
        </w:rPr>
        <w:t xml:space="preserve">direto </w:t>
      </w:r>
      <w:r w:rsidRPr="00465C27">
        <w:rPr>
          <w:lang w:val="pt-BR"/>
        </w:rPr>
        <w:t xml:space="preserve">entre as informações sobre a dengue e a </w:t>
      </w:r>
      <w:proofErr w:type="spellStart"/>
      <w:r w:rsidRPr="00465C27">
        <w:rPr>
          <w:lang w:val="pt-BR"/>
        </w:rPr>
        <w:t>jogabilidade</w:t>
      </w:r>
      <w:proofErr w:type="spellEnd"/>
      <w:r w:rsidRPr="00465C27">
        <w:rPr>
          <w:lang w:val="pt-BR"/>
        </w:rPr>
        <w:t>: a informação é apresentada separadamente do jogo.</w:t>
      </w:r>
    </w:p>
    <w:p w:rsidR="009F1718" w:rsidRDefault="00176487" w:rsidP="009F1718">
      <w:pPr>
        <w:rPr>
          <w:lang w:val="pt-BR"/>
        </w:rPr>
      </w:pPr>
      <w:r>
        <w:rPr>
          <w:lang w:val="pt-BR"/>
        </w:rPr>
        <w:tab/>
        <w:t xml:space="preserve">Nenhum dos jogos encontrados adota um design colaborativo-competitivo que, entende-se ser uma alternativa engajadora para a aprendizagem. Então, apesar de não ser tão frequente a avaliação da aprendizagem, este trabalho analisa este aspecto para um jogo de natureza </w:t>
      </w:r>
      <w:proofErr w:type="gramStart"/>
      <w:r>
        <w:rPr>
          <w:lang w:val="pt-BR"/>
        </w:rPr>
        <w:t>colaborativa</w:t>
      </w:r>
      <w:proofErr w:type="gramEnd"/>
      <w:r>
        <w:rPr>
          <w:lang w:val="pt-BR"/>
        </w:rPr>
        <w:t xml:space="preserve">-competitiva. Entretanto, para diminuir o impacto das </w:t>
      </w:r>
      <w:r>
        <w:rPr>
          <w:lang w:val="pt-BR"/>
        </w:rPr>
        <w:lastRenderedPageBreak/>
        <w:t>respostas pelo método de “chute”, incluiu-se a possibilidade dos participantes relatarem sua confiança na resposta, sendo que este dado também foi avaliado.</w:t>
      </w:r>
    </w:p>
    <w:p w:rsidR="009F1718" w:rsidRPr="00465C27" w:rsidRDefault="009F1718" w:rsidP="009F1718">
      <w:pPr>
        <w:pStyle w:val="Legenda"/>
        <w:rPr>
          <w:lang w:val="pt-BR"/>
        </w:rPr>
      </w:pPr>
      <w:r w:rsidRPr="00465C27">
        <w:rPr>
          <w:lang w:val="pt-BR"/>
        </w:rPr>
        <w:t>Tabela 1. Características dos trabalhos relacionados</w:t>
      </w:r>
    </w:p>
    <w:tbl>
      <w:tblPr>
        <w:tblW w:w="861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304"/>
        <w:gridCol w:w="1304"/>
        <w:gridCol w:w="1020"/>
        <w:gridCol w:w="1134"/>
        <w:gridCol w:w="1191"/>
        <w:gridCol w:w="1247"/>
      </w:tblGrid>
      <w:tr w:rsidR="00AB47AA" w:rsidRPr="00F22388" w:rsidTr="00AB47AA">
        <w:trPr>
          <w:jc w:val="center"/>
        </w:trPr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B47AA" w:rsidRPr="00F22388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b/>
                <w:iCs/>
                <w:sz w:val="18"/>
                <w:szCs w:val="18"/>
                <w:lang w:val="pt-BR"/>
              </w:rPr>
            </w:pPr>
            <w:r w:rsidRPr="00F22388">
              <w:rPr>
                <w:rFonts w:ascii="Times New Roman" w:hAnsi="Times New Roman"/>
                <w:b/>
                <w:iCs/>
                <w:sz w:val="18"/>
                <w:szCs w:val="18"/>
                <w:lang w:val="pt-BR"/>
              </w:rPr>
              <w:t>Características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AB47AA" w:rsidRPr="0014496F" w:rsidRDefault="00AB47AA" w:rsidP="00326A9D">
            <w:pPr>
              <w:pStyle w:val="Figure"/>
              <w:spacing w:before="60" w:after="60"/>
              <w:rPr>
                <w:rFonts w:ascii="Times New Roman" w:hAnsi="Times New Roman"/>
                <w:b/>
                <w:i/>
                <w:iCs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b/>
                <w:iCs/>
                <w:sz w:val="18"/>
                <w:szCs w:val="18"/>
                <w:lang w:val="pt-BR"/>
              </w:rPr>
              <w:t>GD</w:t>
            </w:r>
            <w:r>
              <w:rPr>
                <w:rFonts w:ascii="Times New Roman" w:hAnsi="Times New Roman"/>
                <w:b/>
                <w:iCs/>
                <w:sz w:val="18"/>
                <w:szCs w:val="18"/>
                <w:lang w:val="pt-BR"/>
              </w:rPr>
              <w:t>*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AB47AA" w:rsidRPr="0014496F" w:rsidRDefault="00AB47AA" w:rsidP="00F22388">
            <w:pPr>
              <w:pStyle w:val="Figure"/>
              <w:spacing w:before="60" w:after="60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 w:rsidRPr="00F22388">
              <w:rPr>
                <w:rFonts w:ascii="Times New Roman" w:hAnsi="Times New Roman"/>
                <w:b/>
                <w:iCs/>
                <w:sz w:val="18"/>
                <w:szCs w:val="18"/>
              </w:rPr>
              <w:t>JSD*</w:t>
            </w:r>
          </w:p>
        </w:tc>
        <w:tc>
          <w:tcPr>
            <w:tcW w:w="1020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AB47AA" w:rsidRPr="0014496F" w:rsidRDefault="00AB47AA" w:rsidP="00A6622F">
            <w:pPr>
              <w:pStyle w:val="Figure"/>
              <w:spacing w:before="60" w:after="60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Cs/>
                <w:sz w:val="18"/>
                <w:szCs w:val="18"/>
              </w:rPr>
              <w:t>ED*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b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Cs/>
                <w:sz w:val="18"/>
                <w:szCs w:val="18"/>
              </w:rPr>
              <w:t>CD*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AB47AA" w:rsidRPr="00F22388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b/>
                <w:i/>
                <w:iCs/>
                <w:sz w:val="18"/>
                <w:szCs w:val="18"/>
                <w:lang w:val="pt-BR"/>
              </w:rPr>
            </w:pPr>
            <w:r w:rsidRPr="00F22388">
              <w:rPr>
                <w:rFonts w:ascii="Times New Roman" w:hAnsi="Times New Roman"/>
                <w:b/>
                <w:i/>
                <w:iCs/>
                <w:sz w:val="18"/>
                <w:szCs w:val="18"/>
                <w:lang w:val="pt-BR"/>
              </w:rPr>
              <w:t>S</w:t>
            </w:r>
            <w:r>
              <w:rPr>
                <w:rFonts w:ascii="Times New Roman" w:hAnsi="Times New Roman"/>
                <w:b/>
                <w:i/>
                <w:iCs/>
                <w:sz w:val="18"/>
                <w:szCs w:val="18"/>
                <w:lang w:val="pt-BR"/>
              </w:rPr>
              <w:t>D</w:t>
            </w:r>
            <w:r w:rsidRPr="00F22388">
              <w:rPr>
                <w:rFonts w:ascii="Times New Roman" w:hAnsi="Times New Roman"/>
                <w:b/>
                <w:iCs/>
                <w:sz w:val="18"/>
                <w:szCs w:val="18"/>
                <w:lang w:val="pt-BR"/>
              </w:rPr>
              <w:t xml:space="preserve"> 2</w:t>
            </w:r>
            <w:r>
              <w:rPr>
                <w:rFonts w:ascii="Times New Roman" w:hAnsi="Times New Roman"/>
                <w:b/>
                <w:iCs/>
                <w:sz w:val="18"/>
                <w:szCs w:val="18"/>
                <w:lang w:val="pt-BR"/>
              </w:rPr>
              <w:t>*</w:t>
            </w:r>
          </w:p>
        </w:tc>
        <w:tc>
          <w:tcPr>
            <w:tcW w:w="1247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AB47AA" w:rsidRPr="0014496F" w:rsidRDefault="00AB47AA" w:rsidP="00F22388">
            <w:pPr>
              <w:pStyle w:val="Figure"/>
              <w:spacing w:before="60" w:after="60"/>
              <w:rPr>
                <w:rFonts w:ascii="Times New Roman" w:hAnsi="Times New Roman"/>
                <w:b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i/>
                <w:iCs/>
                <w:sz w:val="18"/>
                <w:szCs w:val="18"/>
                <w:lang w:val="pt-BR"/>
              </w:rPr>
              <w:t>SD</w:t>
            </w:r>
            <w:r w:rsidRPr="0014496F">
              <w:rPr>
                <w:rFonts w:ascii="Times New Roman" w:hAnsi="Times New Roman"/>
                <w:b/>
                <w:iCs/>
                <w:sz w:val="18"/>
                <w:szCs w:val="18"/>
                <w:lang w:val="pt-BR"/>
              </w:rPr>
              <w:t xml:space="preserve"> 6</w:t>
            </w:r>
            <w:r>
              <w:rPr>
                <w:rFonts w:ascii="Times New Roman" w:hAnsi="Times New Roman"/>
                <w:b/>
                <w:iCs/>
                <w:sz w:val="18"/>
                <w:szCs w:val="18"/>
                <w:lang w:val="pt-BR"/>
              </w:rPr>
              <w:t>*</w:t>
            </w:r>
          </w:p>
        </w:tc>
      </w:tr>
      <w:tr w:rsidR="00AB47AA" w:rsidTr="00AB47AA">
        <w:trPr>
          <w:jc w:val="center"/>
        </w:trPr>
        <w:tc>
          <w:tcPr>
            <w:tcW w:w="141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b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b/>
                <w:sz w:val="18"/>
                <w:szCs w:val="18"/>
                <w:lang w:val="pt-BR"/>
              </w:rPr>
              <w:t>Público Alvo</w:t>
            </w:r>
          </w:p>
        </w:tc>
        <w:tc>
          <w:tcPr>
            <w:tcW w:w="1304" w:type="dxa"/>
            <w:vAlign w:val="center"/>
          </w:tcPr>
          <w:p w:rsidR="00AB47AA" w:rsidRPr="0014496F" w:rsidRDefault="00AB47AA" w:rsidP="00326A9D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</w:rPr>
            </w:pPr>
            <w:r w:rsidRPr="0014496F">
              <w:rPr>
                <w:rFonts w:ascii="Times New Roman" w:hAnsi="Times New Roman"/>
                <w:sz w:val="18"/>
                <w:szCs w:val="18"/>
              </w:rPr>
              <w:t>Crianças e adolescentes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Crianças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Crianças e adolescen-tes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Crianças e adolescentes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Crianças e adol</w:t>
            </w:r>
            <w:r w:rsidRPr="00F22388">
              <w:rPr>
                <w:rFonts w:ascii="Times New Roman" w:hAnsi="Times New Roman"/>
                <w:sz w:val="18"/>
                <w:szCs w:val="18"/>
                <w:lang w:val="pt-BR"/>
              </w:rPr>
              <w:t>escen</w:t>
            </w:r>
            <w:r w:rsidRPr="0014496F">
              <w:rPr>
                <w:rFonts w:ascii="Times New Roman" w:hAnsi="Times New Roman"/>
                <w:sz w:val="18"/>
                <w:szCs w:val="18"/>
              </w:rPr>
              <w:t>tes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Crianças, adolescentes e especialistas em saúde</w:t>
            </w:r>
          </w:p>
        </w:tc>
      </w:tr>
      <w:tr w:rsidR="00AB47AA" w:rsidRPr="00BB531E" w:rsidTr="00AB47AA">
        <w:trPr>
          <w:jc w:val="center"/>
        </w:trPr>
        <w:tc>
          <w:tcPr>
            <w:tcW w:w="1417" w:type="dxa"/>
            <w:tcBorders>
              <w:right w:val="single" w:sz="6" w:space="0" w:color="000000"/>
            </w:tcBorders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b/>
                <w:sz w:val="18"/>
                <w:szCs w:val="18"/>
              </w:rPr>
            </w:pPr>
            <w:r w:rsidRPr="0014496F">
              <w:rPr>
                <w:rFonts w:ascii="Times New Roman" w:hAnsi="Times New Roman"/>
                <w:b/>
                <w:sz w:val="18"/>
                <w:szCs w:val="18"/>
              </w:rPr>
              <w:t>Número de Participantes</w:t>
            </w:r>
          </w:p>
        </w:tc>
        <w:tc>
          <w:tcPr>
            <w:tcW w:w="1304" w:type="dxa"/>
            <w:shd w:val="clear" w:color="auto" w:fill="F2F2F2"/>
            <w:vAlign w:val="center"/>
          </w:tcPr>
          <w:p w:rsidR="00AB47AA" w:rsidRPr="0014496F" w:rsidRDefault="00AB47AA" w:rsidP="00326A9D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168 crianças e adolescentes</w:t>
            </w:r>
          </w:p>
        </w:tc>
        <w:tc>
          <w:tcPr>
            <w:tcW w:w="1304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621 alunos entre 8 e 16 anos</w:t>
            </w:r>
          </w:p>
        </w:tc>
        <w:tc>
          <w:tcPr>
            <w:tcW w:w="1020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-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-</w:t>
            </w:r>
          </w:p>
        </w:tc>
        <w:tc>
          <w:tcPr>
            <w:tcW w:w="1191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71 alunos entre 9 e 24 anos</w:t>
            </w:r>
          </w:p>
        </w:tc>
        <w:tc>
          <w:tcPr>
            <w:tcW w:w="1247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32 alunos entre 18 a 39 anos</w:t>
            </w:r>
          </w:p>
        </w:tc>
      </w:tr>
      <w:tr w:rsidR="00AB47AA" w:rsidRPr="000E0BE9" w:rsidTr="00AB47AA">
        <w:trPr>
          <w:jc w:val="center"/>
        </w:trPr>
        <w:tc>
          <w:tcPr>
            <w:tcW w:w="141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b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b/>
                <w:sz w:val="18"/>
                <w:szCs w:val="18"/>
                <w:lang w:val="pt-BR"/>
              </w:rPr>
              <w:t>Métodos para Coleta de Dados</w:t>
            </w:r>
          </w:p>
        </w:tc>
        <w:tc>
          <w:tcPr>
            <w:tcW w:w="1304" w:type="dxa"/>
            <w:vAlign w:val="center"/>
          </w:tcPr>
          <w:p w:rsidR="00AB47AA" w:rsidRPr="0014496F" w:rsidRDefault="00AB47AA" w:rsidP="00326A9D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Questionário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Questionário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-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Questionário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Questionário</w:t>
            </w:r>
          </w:p>
        </w:tc>
      </w:tr>
      <w:tr w:rsidR="00AB47AA" w:rsidRPr="000E0BE9" w:rsidTr="00AB47AA">
        <w:trPr>
          <w:jc w:val="center"/>
        </w:trPr>
        <w:tc>
          <w:tcPr>
            <w:tcW w:w="1417" w:type="dxa"/>
            <w:tcBorders>
              <w:right w:val="single" w:sz="6" w:space="0" w:color="000000"/>
            </w:tcBorders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b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b/>
                <w:sz w:val="18"/>
                <w:szCs w:val="18"/>
                <w:lang w:val="pt-BR"/>
              </w:rPr>
              <w:t>Realizou pré e pós-teste?</w:t>
            </w:r>
          </w:p>
        </w:tc>
        <w:tc>
          <w:tcPr>
            <w:tcW w:w="1304" w:type="dxa"/>
            <w:shd w:val="clear" w:color="auto" w:fill="F2F2F2"/>
            <w:vAlign w:val="center"/>
          </w:tcPr>
          <w:p w:rsidR="00AB47AA" w:rsidRPr="0014496F" w:rsidRDefault="00AB47AA" w:rsidP="00326A9D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Sim</w:t>
            </w:r>
          </w:p>
        </w:tc>
        <w:tc>
          <w:tcPr>
            <w:tcW w:w="1304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Sim</w:t>
            </w:r>
          </w:p>
        </w:tc>
        <w:tc>
          <w:tcPr>
            <w:tcW w:w="1020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-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-</w:t>
            </w:r>
          </w:p>
        </w:tc>
        <w:tc>
          <w:tcPr>
            <w:tcW w:w="1191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Não</w:t>
            </w:r>
          </w:p>
        </w:tc>
        <w:tc>
          <w:tcPr>
            <w:tcW w:w="1247" w:type="dxa"/>
            <w:shd w:val="clear" w:color="auto" w:fill="F2F2F2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Não</w:t>
            </w:r>
          </w:p>
        </w:tc>
      </w:tr>
      <w:tr w:rsidR="00AB47AA" w:rsidRPr="000E0BE9" w:rsidTr="00AB47AA">
        <w:trPr>
          <w:jc w:val="center"/>
        </w:trPr>
        <w:tc>
          <w:tcPr>
            <w:tcW w:w="141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b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b/>
                <w:sz w:val="18"/>
                <w:szCs w:val="18"/>
                <w:lang w:val="pt-BR"/>
              </w:rPr>
              <w:t>O que foi Avaliado?</w:t>
            </w:r>
          </w:p>
        </w:tc>
        <w:tc>
          <w:tcPr>
            <w:tcW w:w="1304" w:type="dxa"/>
            <w:vAlign w:val="center"/>
          </w:tcPr>
          <w:p w:rsidR="00AB47AA" w:rsidRPr="0014496F" w:rsidRDefault="00AB47AA" w:rsidP="00326A9D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Aprendizagem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Aprendizagem e aceitação do jogo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-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Aceitação do jogo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B47AA" w:rsidRPr="0014496F" w:rsidRDefault="00AB47AA" w:rsidP="009F1F1E">
            <w:pPr>
              <w:pStyle w:val="Figure"/>
              <w:spacing w:before="60" w:after="60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14496F">
              <w:rPr>
                <w:rFonts w:ascii="Times New Roman" w:hAnsi="Times New Roman"/>
                <w:sz w:val="18"/>
                <w:szCs w:val="18"/>
                <w:lang w:val="pt-BR"/>
              </w:rPr>
              <w:t>Aceitação do jogo e colaboração</w:t>
            </w:r>
          </w:p>
        </w:tc>
      </w:tr>
    </w:tbl>
    <w:p w:rsidR="00A6622F" w:rsidRPr="00F22388" w:rsidRDefault="00A6622F" w:rsidP="00F22388">
      <w:pPr>
        <w:pStyle w:val="Ttulo1"/>
        <w:tabs>
          <w:tab w:val="clear" w:pos="720"/>
          <w:tab w:val="left" w:pos="709"/>
        </w:tabs>
        <w:spacing w:before="0"/>
        <w:ind w:left="426" w:right="567"/>
        <w:jc w:val="both"/>
        <w:rPr>
          <w:b w:val="0"/>
          <w:sz w:val="19"/>
          <w:szCs w:val="19"/>
          <w:lang w:val="pt-BR"/>
        </w:rPr>
      </w:pPr>
      <w:r w:rsidRPr="00F22388">
        <w:rPr>
          <w:b w:val="0"/>
          <w:sz w:val="19"/>
          <w:szCs w:val="19"/>
          <w:lang w:val="pt-BR"/>
        </w:rPr>
        <w:t xml:space="preserve">* </w:t>
      </w:r>
      <w:r w:rsidR="00AB47AA" w:rsidRPr="00F22388">
        <w:rPr>
          <w:b w:val="0"/>
          <w:sz w:val="19"/>
          <w:szCs w:val="19"/>
          <w:lang w:val="pt-BR"/>
        </w:rPr>
        <w:t xml:space="preserve">GD - </w:t>
      </w:r>
      <w:proofErr w:type="spellStart"/>
      <w:r w:rsidR="00AB47AA" w:rsidRPr="00F22388">
        <w:rPr>
          <w:b w:val="0"/>
          <w:i/>
          <w:sz w:val="19"/>
          <w:szCs w:val="19"/>
          <w:lang w:val="pt-BR"/>
        </w:rPr>
        <w:t>Goodbye</w:t>
      </w:r>
      <w:proofErr w:type="spellEnd"/>
      <w:r w:rsidR="00AB47AA" w:rsidRPr="00F22388">
        <w:rPr>
          <w:b w:val="0"/>
          <w:i/>
          <w:sz w:val="19"/>
          <w:szCs w:val="19"/>
          <w:lang w:val="pt-BR"/>
        </w:rPr>
        <w:t>-</w:t>
      </w:r>
      <w:proofErr w:type="spellStart"/>
      <w:r w:rsidR="00AB47AA" w:rsidRPr="00F22388">
        <w:rPr>
          <w:b w:val="0"/>
          <w:i/>
          <w:sz w:val="19"/>
          <w:szCs w:val="19"/>
          <w:lang w:val="pt-BR"/>
        </w:rPr>
        <w:t>to</w:t>
      </w:r>
      <w:proofErr w:type="spellEnd"/>
      <w:r w:rsidR="00AB47AA" w:rsidRPr="00F22388">
        <w:rPr>
          <w:b w:val="0"/>
          <w:i/>
          <w:sz w:val="19"/>
          <w:szCs w:val="19"/>
          <w:lang w:val="pt-BR"/>
        </w:rPr>
        <w:t>-Dengue</w:t>
      </w:r>
      <w:proofErr w:type="gramStart"/>
      <w:r w:rsidR="00AB47AA" w:rsidRPr="00F22388">
        <w:rPr>
          <w:b w:val="0"/>
          <w:sz w:val="19"/>
          <w:szCs w:val="19"/>
          <w:lang w:val="pt-BR"/>
        </w:rPr>
        <w:t xml:space="preserve"> </w:t>
      </w:r>
      <w:r w:rsidR="00AB47AA">
        <w:rPr>
          <w:b w:val="0"/>
          <w:sz w:val="19"/>
          <w:szCs w:val="19"/>
          <w:lang w:val="pt-BR"/>
        </w:rPr>
        <w:t xml:space="preserve"> </w:t>
      </w:r>
      <w:proofErr w:type="gramEnd"/>
      <w:r w:rsidR="00F22388" w:rsidRPr="00F22388">
        <w:rPr>
          <w:b w:val="0"/>
          <w:sz w:val="19"/>
          <w:szCs w:val="19"/>
          <w:lang w:val="pt-BR"/>
        </w:rPr>
        <w:t xml:space="preserve">JSD - </w:t>
      </w:r>
      <w:r w:rsidR="00F22388" w:rsidRPr="00F22388">
        <w:rPr>
          <w:b w:val="0"/>
          <w:i/>
          <w:sz w:val="19"/>
          <w:szCs w:val="19"/>
          <w:lang w:val="pt-BR"/>
        </w:rPr>
        <w:t xml:space="preserve">Jugando em </w:t>
      </w:r>
      <w:proofErr w:type="spellStart"/>
      <w:r w:rsidR="00F22388" w:rsidRPr="00F22388">
        <w:rPr>
          <w:b w:val="0"/>
          <w:i/>
          <w:sz w:val="19"/>
          <w:szCs w:val="19"/>
          <w:lang w:val="pt-BR"/>
        </w:rPr>
        <w:t>Salud</w:t>
      </w:r>
      <w:proofErr w:type="spellEnd"/>
      <w:r w:rsidR="00F22388" w:rsidRPr="00F22388">
        <w:rPr>
          <w:b w:val="0"/>
          <w:i/>
          <w:sz w:val="19"/>
          <w:szCs w:val="19"/>
          <w:lang w:val="pt-BR"/>
        </w:rPr>
        <w:t>: dengue</w:t>
      </w:r>
      <w:r w:rsidR="00F22388" w:rsidRPr="00F22388">
        <w:rPr>
          <w:b w:val="0"/>
          <w:sz w:val="19"/>
          <w:szCs w:val="19"/>
          <w:lang w:val="pt-BR"/>
        </w:rPr>
        <w:t xml:space="preserve">; ED - Exterminadores de Dengue; </w:t>
      </w:r>
      <w:r w:rsidR="00AB47AA">
        <w:rPr>
          <w:b w:val="0"/>
          <w:sz w:val="19"/>
          <w:szCs w:val="19"/>
          <w:lang w:val="pt-BR"/>
        </w:rPr>
        <w:br/>
        <w:t xml:space="preserve">   </w:t>
      </w:r>
      <w:r w:rsidR="00F22388" w:rsidRPr="00F22388">
        <w:rPr>
          <w:b w:val="0"/>
          <w:sz w:val="19"/>
          <w:szCs w:val="19"/>
          <w:lang w:val="pt-BR"/>
        </w:rPr>
        <w:t xml:space="preserve">CD - Contra </w:t>
      </w:r>
      <w:r w:rsidR="00F22388">
        <w:rPr>
          <w:b w:val="0"/>
          <w:sz w:val="19"/>
          <w:szCs w:val="19"/>
          <w:lang w:val="pt-BR"/>
        </w:rPr>
        <w:t>Dengue;</w:t>
      </w:r>
      <w:r w:rsidR="00AB47AA">
        <w:rPr>
          <w:b w:val="0"/>
          <w:sz w:val="19"/>
          <w:szCs w:val="19"/>
          <w:lang w:val="pt-BR"/>
        </w:rPr>
        <w:t xml:space="preserve"> </w:t>
      </w:r>
      <w:r w:rsidR="00F22388" w:rsidRPr="00F22388">
        <w:rPr>
          <w:b w:val="0"/>
          <w:sz w:val="19"/>
          <w:szCs w:val="19"/>
          <w:lang w:val="pt-BR"/>
        </w:rPr>
        <w:t>SD - Sherlock Dengue;</w:t>
      </w:r>
    </w:p>
    <w:p w:rsidR="009F1718" w:rsidRPr="000971D0" w:rsidRDefault="009F1718" w:rsidP="009F1718">
      <w:pPr>
        <w:pStyle w:val="Ttulo1"/>
        <w:jc w:val="both"/>
        <w:rPr>
          <w:lang w:val="pt-BR"/>
        </w:rPr>
      </w:pPr>
      <w:r>
        <w:rPr>
          <w:lang w:val="pt-BR"/>
        </w:rPr>
        <w:t>3</w:t>
      </w:r>
      <w:r w:rsidRPr="000971D0">
        <w:rPr>
          <w:lang w:val="pt-BR"/>
        </w:rPr>
        <w:t>. Metodologia Científica</w:t>
      </w:r>
    </w:p>
    <w:p w:rsidR="009F1718" w:rsidRDefault="009F1718" w:rsidP="009F1718">
      <w:pPr>
        <w:rPr>
          <w:lang w:val="pt-BR"/>
        </w:rPr>
      </w:pPr>
      <w:r>
        <w:rPr>
          <w:lang w:val="pt-BR"/>
        </w:rPr>
        <w:t>Para as etapas inicias de pesquisa foram realizadas pesquisas bibliográficas com o intuito de conhecer os trabalhos relacionados e aprofundar o conhecimento nas etapas associadas ao desenvolvimento de um JSCC sobre dengue</w:t>
      </w:r>
      <w:r w:rsidRPr="000971D0">
        <w:rPr>
          <w:lang w:val="pt-BR"/>
        </w:rPr>
        <w:t>.</w:t>
      </w:r>
      <w:r>
        <w:rPr>
          <w:lang w:val="pt-BR"/>
        </w:rPr>
        <w:t xml:space="preserve"> Em uma segunda etapa foram realizadas pesquisas exploratórias que fomentaram discussões sobre o </w:t>
      </w:r>
      <w:r w:rsidRPr="009547F5">
        <w:rPr>
          <w:i/>
          <w:lang w:val="pt-BR"/>
        </w:rPr>
        <w:t>game design</w:t>
      </w:r>
      <w:r>
        <w:rPr>
          <w:lang w:val="pt-BR"/>
        </w:rPr>
        <w:t xml:space="preserve"> do jogo e em sequência a etapa de desenvolvimento do jogo. Posteriormente foram realizados testes pilotos – para verificar o funcionamento do jogo – realização de alguns ajustes e</w:t>
      </w:r>
      <w:r w:rsidR="00B957A1">
        <w:rPr>
          <w:lang w:val="pt-BR"/>
        </w:rPr>
        <w:t>,</w:t>
      </w:r>
      <w:r>
        <w:rPr>
          <w:lang w:val="pt-BR"/>
        </w:rPr>
        <w:t xml:space="preserve"> por fim</w:t>
      </w:r>
      <w:r w:rsidR="00B957A1">
        <w:rPr>
          <w:lang w:val="pt-BR"/>
        </w:rPr>
        <w:t>,</w:t>
      </w:r>
      <w:r>
        <w:rPr>
          <w:lang w:val="pt-BR"/>
        </w:rPr>
        <w:t xml:space="preserve"> fez-se uso do jogo em uma única seção de até duas horas. Para mensurar o aprendizado foi desenvolvido um instrumento avaliativo aplicado antes (pré-teste) e após (pós-teste) o uso do jogo. Os resultados obtidos foram compilados e analisados com uso de estatística descritiva e indutiva.</w:t>
      </w:r>
    </w:p>
    <w:p w:rsidR="00EC49FE" w:rsidRPr="00B47567" w:rsidRDefault="00B47567" w:rsidP="00603861">
      <w:pPr>
        <w:pStyle w:val="Ttulo1"/>
        <w:rPr>
          <w:sz w:val="24"/>
          <w:szCs w:val="24"/>
          <w:lang w:val="pt-BR"/>
        </w:rPr>
      </w:pPr>
      <w:r w:rsidRPr="00B47567">
        <w:rPr>
          <w:sz w:val="24"/>
          <w:szCs w:val="24"/>
          <w:lang w:val="pt-BR"/>
        </w:rPr>
        <w:t>3.1</w:t>
      </w:r>
      <w:r w:rsidR="00EC49FE" w:rsidRPr="00B47567">
        <w:rPr>
          <w:sz w:val="24"/>
          <w:szCs w:val="24"/>
          <w:lang w:val="pt-BR"/>
        </w:rPr>
        <w:t xml:space="preserve">. </w:t>
      </w:r>
      <w:r w:rsidRPr="00B47567">
        <w:rPr>
          <w:sz w:val="24"/>
          <w:szCs w:val="24"/>
          <w:lang w:val="pt-BR"/>
        </w:rPr>
        <w:t xml:space="preserve">Materiais: </w:t>
      </w:r>
      <w:r w:rsidR="00036613" w:rsidRPr="00B47567">
        <w:rPr>
          <w:sz w:val="24"/>
          <w:szCs w:val="24"/>
          <w:lang w:val="pt-BR"/>
        </w:rPr>
        <w:t xml:space="preserve">O Jogo Sério </w:t>
      </w:r>
      <w:r w:rsidR="00B957A1">
        <w:rPr>
          <w:i/>
          <w:sz w:val="24"/>
          <w:szCs w:val="24"/>
          <w:lang w:val="pt-BR"/>
        </w:rPr>
        <w:t xml:space="preserve">Sherlock Dengue </w:t>
      </w:r>
      <w:proofErr w:type="gramStart"/>
      <w:r w:rsidR="00B957A1">
        <w:rPr>
          <w:i/>
          <w:sz w:val="24"/>
          <w:szCs w:val="24"/>
          <w:lang w:val="pt-BR"/>
        </w:rPr>
        <w:t>8</w:t>
      </w:r>
      <w:proofErr w:type="gramEnd"/>
      <w:r w:rsidR="00B957A1">
        <w:rPr>
          <w:i/>
          <w:sz w:val="24"/>
          <w:szCs w:val="24"/>
          <w:lang w:val="pt-BR"/>
        </w:rPr>
        <w:t xml:space="preserve"> </w:t>
      </w:r>
      <w:r w:rsidR="00B957A1" w:rsidRPr="00B957A1">
        <w:rPr>
          <w:i/>
          <w:sz w:val="24"/>
          <w:szCs w:val="24"/>
          <w:lang w:val="pt-BR"/>
        </w:rPr>
        <w:t xml:space="preserve">The </w:t>
      </w:r>
      <w:proofErr w:type="spellStart"/>
      <w:r w:rsidR="00B957A1" w:rsidRPr="00B957A1">
        <w:rPr>
          <w:i/>
          <w:sz w:val="24"/>
          <w:szCs w:val="24"/>
          <w:lang w:val="pt-BR"/>
        </w:rPr>
        <w:t>Neighborhood</w:t>
      </w:r>
      <w:proofErr w:type="spellEnd"/>
    </w:p>
    <w:p w:rsidR="002347D5" w:rsidRDefault="00B47567">
      <w:pPr>
        <w:rPr>
          <w:lang w:val="pt-BR"/>
        </w:rPr>
      </w:pPr>
      <w:r>
        <w:rPr>
          <w:lang w:val="pt-BR"/>
        </w:rPr>
        <w:t>T</w:t>
      </w:r>
      <w:r w:rsidR="00BA1A22">
        <w:rPr>
          <w:lang w:val="pt-BR"/>
        </w:rPr>
        <w:t xml:space="preserve">omando-se como base o </w:t>
      </w:r>
      <w:r w:rsidR="00BA1A22" w:rsidRPr="000E61B9">
        <w:rPr>
          <w:i/>
          <w:lang w:val="pt-BR"/>
        </w:rPr>
        <w:t>game design</w:t>
      </w:r>
      <w:r w:rsidR="00BA1A22">
        <w:rPr>
          <w:lang w:val="pt-BR"/>
        </w:rPr>
        <w:t xml:space="preserve"> legado da série</w:t>
      </w:r>
      <w:r>
        <w:rPr>
          <w:lang w:val="pt-BR"/>
        </w:rPr>
        <w:t xml:space="preserve"> </w:t>
      </w:r>
      <w:r w:rsidR="00B957A1" w:rsidRPr="00B957A1">
        <w:rPr>
          <w:lang w:val="pt-BR"/>
        </w:rPr>
        <w:t>Sherlock Dengue</w:t>
      </w:r>
      <w:r>
        <w:rPr>
          <w:lang w:val="pt-BR"/>
        </w:rPr>
        <w:t xml:space="preserve"> [</w:t>
      </w:r>
      <w:r w:rsidR="00B957A1" w:rsidRPr="00B957A1">
        <w:rPr>
          <w:lang w:val="pt-BR"/>
        </w:rPr>
        <w:t>Sherlock Dengue, 2015</w:t>
      </w:r>
      <w:r>
        <w:rPr>
          <w:lang w:val="pt-BR"/>
        </w:rPr>
        <w:t>]</w:t>
      </w:r>
      <w:r w:rsidR="00BA1A22">
        <w:rPr>
          <w:lang w:val="pt-BR"/>
        </w:rPr>
        <w:t xml:space="preserve">, e </w:t>
      </w:r>
      <w:r w:rsidR="00356C75" w:rsidRPr="00356C75">
        <w:rPr>
          <w:lang w:val="pt-BR"/>
        </w:rPr>
        <w:t>o material</w:t>
      </w:r>
      <w:r w:rsidR="002F31BD">
        <w:rPr>
          <w:lang w:val="pt-BR"/>
        </w:rPr>
        <w:t xml:space="preserve"> revisado durante a busca por trabalhos correlatos, elaborou-se o </w:t>
      </w:r>
      <w:r w:rsidR="002F31BD" w:rsidRPr="000E61B9">
        <w:rPr>
          <w:i/>
          <w:lang w:val="pt-BR"/>
        </w:rPr>
        <w:t>game design</w:t>
      </w:r>
      <w:r w:rsidR="002F31BD">
        <w:rPr>
          <w:lang w:val="pt-BR"/>
        </w:rPr>
        <w:t xml:space="preserve"> de um </w:t>
      </w:r>
      <w:r w:rsidR="00BA1A22">
        <w:rPr>
          <w:lang w:val="pt-BR"/>
        </w:rPr>
        <w:t xml:space="preserve">novo </w:t>
      </w:r>
      <w:r w:rsidR="002F31BD">
        <w:rPr>
          <w:lang w:val="pt-BR"/>
        </w:rPr>
        <w:t>JSCC sobre dengue</w:t>
      </w:r>
      <w:r>
        <w:rPr>
          <w:lang w:val="pt-BR"/>
        </w:rPr>
        <w:t>:</w:t>
      </w:r>
      <w:r w:rsidR="00BA1A22">
        <w:rPr>
          <w:lang w:val="pt-BR"/>
        </w:rPr>
        <w:t xml:space="preserve"> o </w:t>
      </w:r>
      <w:r w:rsidR="00B957A1" w:rsidRPr="00B957A1">
        <w:rPr>
          <w:lang w:val="pt-BR"/>
        </w:rPr>
        <w:t xml:space="preserve">Sherlock Dengue </w:t>
      </w:r>
      <w:proofErr w:type="gramStart"/>
      <w:r w:rsidR="00B957A1" w:rsidRPr="00B957A1">
        <w:rPr>
          <w:lang w:val="pt-BR"/>
        </w:rPr>
        <w:t>8</w:t>
      </w:r>
      <w:proofErr w:type="gramEnd"/>
      <w:r w:rsidR="00B957A1" w:rsidRPr="00B957A1">
        <w:rPr>
          <w:lang w:val="pt-BR"/>
        </w:rPr>
        <w:t xml:space="preserve"> </w:t>
      </w:r>
      <w:r w:rsidR="00B957A1" w:rsidRPr="00B957A1">
        <w:rPr>
          <w:i/>
          <w:lang w:val="pt-BR"/>
        </w:rPr>
        <w:t xml:space="preserve">The </w:t>
      </w:r>
      <w:proofErr w:type="spellStart"/>
      <w:r w:rsidR="00B957A1" w:rsidRPr="00B957A1">
        <w:rPr>
          <w:i/>
          <w:lang w:val="pt-BR"/>
        </w:rPr>
        <w:t>Neighborhood</w:t>
      </w:r>
      <w:proofErr w:type="spellEnd"/>
      <w:r w:rsidR="002F31BD">
        <w:rPr>
          <w:lang w:val="pt-BR"/>
        </w:rPr>
        <w:t xml:space="preserve">. </w:t>
      </w:r>
      <w:r w:rsidR="002347D5">
        <w:rPr>
          <w:lang w:val="pt-BR"/>
        </w:rPr>
        <w:t xml:space="preserve">O público alvo selecionado é composto por crianças e adolescentes entre </w:t>
      </w:r>
      <w:proofErr w:type="gramStart"/>
      <w:r w:rsidR="002347D5">
        <w:rPr>
          <w:lang w:val="pt-BR"/>
        </w:rPr>
        <w:t>9</w:t>
      </w:r>
      <w:proofErr w:type="gramEnd"/>
      <w:r w:rsidR="002347D5">
        <w:rPr>
          <w:lang w:val="pt-BR"/>
        </w:rPr>
        <w:t xml:space="preserve"> e 16 anos. O jogo foi desenvolvido para computador, contando com versões para Windows, Linux (inclusive Linux Educacional utilizado nas escolas do Brasil) e </w:t>
      </w:r>
      <w:proofErr w:type="spellStart"/>
      <w:r w:rsidR="002347D5">
        <w:rPr>
          <w:lang w:val="pt-BR"/>
        </w:rPr>
        <w:t>MacOS</w:t>
      </w:r>
      <w:proofErr w:type="spellEnd"/>
      <w:r w:rsidR="002347D5">
        <w:rPr>
          <w:lang w:val="pt-BR"/>
        </w:rPr>
        <w:t xml:space="preserve">, sendo que a versão mais recente </w:t>
      </w:r>
      <w:r w:rsidR="00B957A1">
        <w:rPr>
          <w:lang w:val="pt-BR"/>
        </w:rPr>
        <w:t xml:space="preserve">do jogo </w:t>
      </w:r>
      <w:r w:rsidR="002347D5">
        <w:rPr>
          <w:lang w:val="pt-BR"/>
        </w:rPr>
        <w:t>permite tanto partidas colaborativo-competitivo (</w:t>
      </w:r>
      <w:proofErr w:type="gramStart"/>
      <w:r w:rsidR="002347D5">
        <w:rPr>
          <w:lang w:val="pt-BR"/>
        </w:rPr>
        <w:t>2</w:t>
      </w:r>
      <w:proofErr w:type="gramEnd"/>
      <w:r w:rsidR="002347D5">
        <w:rPr>
          <w:lang w:val="pt-BR"/>
        </w:rPr>
        <w:t xml:space="preserve"> </w:t>
      </w:r>
      <w:r w:rsidR="002347D5" w:rsidRPr="002347D5">
        <w:rPr>
          <w:i/>
          <w:lang w:val="pt-BR"/>
        </w:rPr>
        <w:t>versus</w:t>
      </w:r>
      <w:r w:rsidR="002347D5">
        <w:rPr>
          <w:lang w:val="pt-BR"/>
        </w:rPr>
        <w:t xml:space="preserve"> 2), assim como pa</w:t>
      </w:r>
      <w:r w:rsidR="00B957A1">
        <w:rPr>
          <w:lang w:val="pt-BR"/>
        </w:rPr>
        <w:t>rtidas somente colaborativas, somente</w:t>
      </w:r>
      <w:r w:rsidR="002347D5">
        <w:rPr>
          <w:lang w:val="pt-BR"/>
        </w:rPr>
        <w:t xml:space="preserve"> competitivas, ou ainda, individuais.</w:t>
      </w:r>
    </w:p>
    <w:p w:rsidR="000E5B1F" w:rsidRDefault="002347D5">
      <w:pPr>
        <w:rPr>
          <w:lang w:val="pt-BR"/>
        </w:rPr>
      </w:pPr>
      <w:r>
        <w:rPr>
          <w:lang w:val="pt-BR"/>
        </w:rPr>
        <w:tab/>
        <w:t xml:space="preserve">O </w:t>
      </w:r>
      <w:r w:rsidR="00B957A1" w:rsidRPr="00B957A1">
        <w:rPr>
          <w:lang w:val="pt-BR"/>
        </w:rPr>
        <w:t xml:space="preserve">Sherlock Dengue </w:t>
      </w:r>
      <w:proofErr w:type="gramStart"/>
      <w:r w:rsidR="00B957A1" w:rsidRPr="00B957A1">
        <w:rPr>
          <w:lang w:val="pt-BR"/>
        </w:rPr>
        <w:t>8</w:t>
      </w:r>
      <w:proofErr w:type="gramEnd"/>
      <w:r>
        <w:rPr>
          <w:lang w:val="pt-BR"/>
        </w:rPr>
        <w:t xml:space="preserve"> é</w:t>
      </w:r>
      <w:r w:rsidR="000E61B9">
        <w:rPr>
          <w:lang w:val="pt-BR"/>
        </w:rPr>
        <w:t xml:space="preserve"> um jogo 3D online do tipo investigativo e </w:t>
      </w:r>
      <w:proofErr w:type="spellStart"/>
      <w:r w:rsidR="000E61B9" w:rsidRPr="000E61B9">
        <w:rPr>
          <w:i/>
          <w:lang w:val="pt-BR"/>
        </w:rPr>
        <w:t>arcade</w:t>
      </w:r>
      <w:proofErr w:type="spellEnd"/>
      <w:r w:rsidR="000E61B9">
        <w:rPr>
          <w:lang w:val="pt-BR"/>
        </w:rPr>
        <w:t xml:space="preserve">, no qual os jogadores assumem o papel de inspetores da dengue e podem participam de inspeções (partidas). No modo colaborativo-competitivo, chamado no jogo de duelo de pares, </w:t>
      </w:r>
      <w:r w:rsidR="000E61B9" w:rsidRPr="000E61B9">
        <w:rPr>
          <w:lang w:val="pt-BR"/>
        </w:rPr>
        <w:t xml:space="preserve">duas duplas de </w:t>
      </w:r>
      <w:r w:rsidR="000E61B9">
        <w:rPr>
          <w:lang w:val="pt-BR"/>
        </w:rPr>
        <w:t xml:space="preserve">jogadores </w:t>
      </w:r>
      <w:r w:rsidR="000E61B9" w:rsidRPr="000E61B9">
        <w:rPr>
          <w:lang w:val="pt-BR"/>
        </w:rPr>
        <w:t xml:space="preserve">se enfrentam em uma partida. Os jogadores devem </w:t>
      </w:r>
      <w:r w:rsidR="000E61B9" w:rsidRPr="000E61B9">
        <w:rPr>
          <w:lang w:val="pt-BR"/>
        </w:rPr>
        <w:lastRenderedPageBreak/>
        <w:t>encontrar e eliminar os depósitos utilizados pelo mosquito transmissor da dengue que estão espalhados pelo cenário virtual</w:t>
      </w:r>
      <w:r w:rsidR="000E61B9">
        <w:rPr>
          <w:lang w:val="pt-BR"/>
        </w:rPr>
        <w:t xml:space="preserve"> </w:t>
      </w:r>
      <w:r w:rsidR="000E61B9" w:rsidRPr="000E61B9">
        <w:rPr>
          <w:lang w:val="pt-BR"/>
        </w:rPr>
        <w:t xml:space="preserve">a fim de ganhar pontos. Todavia, para eliminar tais depósitos, deve-se responder a uma pergunta sobre a doença. A fim de obter o conhecimento necessário para responder as perguntas, os jogadores devem encontrar livros e </w:t>
      </w:r>
      <w:proofErr w:type="spellStart"/>
      <w:r w:rsidR="000E61B9" w:rsidRPr="00B957A1">
        <w:rPr>
          <w:i/>
          <w:lang w:val="pt-BR"/>
        </w:rPr>
        <w:t>tablets</w:t>
      </w:r>
      <w:proofErr w:type="spellEnd"/>
      <w:r w:rsidR="000E61B9" w:rsidRPr="000E61B9">
        <w:rPr>
          <w:lang w:val="pt-BR"/>
        </w:rPr>
        <w:t xml:space="preserve"> que contém informações sobre a doença da dengue. Através da leitura dessas informações, os inspetores terão o conhecimento para responder as perguntas quando encontrarem os depósitos</w:t>
      </w:r>
      <w:r w:rsidR="00B957A1">
        <w:rPr>
          <w:lang w:val="pt-BR"/>
        </w:rPr>
        <w:t>,</w:t>
      </w:r>
      <w:r w:rsidR="000E61B9" w:rsidRPr="000E61B9">
        <w:rPr>
          <w:lang w:val="pt-BR"/>
        </w:rPr>
        <w:t xml:space="preserve"> e assim ganhar pontos.</w:t>
      </w:r>
    </w:p>
    <w:p w:rsidR="000E61B9" w:rsidRPr="000E61B9" w:rsidRDefault="001443BB">
      <w:pPr>
        <w:rPr>
          <w:lang w:val="pt-BR"/>
        </w:rPr>
      </w:pPr>
      <w:r>
        <w:rPr>
          <w:lang w:val="pt-BR"/>
        </w:rPr>
        <w:tab/>
        <w:t>Ressalta-se que o jogo desenvolvido é gratuito e possui materiais de apoio ao jogador (manual) e ao professor</w:t>
      </w:r>
      <w:r w:rsidR="00B47567">
        <w:rPr>
          <w:lang w:val="pt-BR"/>
        </w:rPr>
        <w:t xml:space="preserve"> (plano de ensino)</w:t>
      </w:r>
      <w:r w:rsidR="00176487">
        <w:rPr>
          <w:lang w:val="pt-BR"/>
        </w:rPr>
        <w:t>. Para utilizá-lo,</w:t>
      </w:r>
      <w:r>
        <w:rPr>
          <w:lang w:val="pt-BR"/>
        </w:rPr>
        <w:t xml:space="preserve"> deve</w:t>
      </w:r>
      <w:r w:rsidR="00176487">
        <w:rPr>
          <w:lang w:val="pt-BR"/>
        </w:rPr>
        <w:t xml:space="preserve">-se realizar apenas um cadastro, </w:t>
      </w:r>
      <w:r>
        <w:rPr>
          <w:lang w:val="pt-BR"/>
        </w:rPr>
        <w:t xml:space="preserve">através do próprio jogo. </w:t>
      </w:r>
      <w:r w:rsidR="00782F39">
        <w:rPr>
          <w:lang w:val="pt-BR"/>
        </w:rPr>
        <w:t xml:space="preserve">Outras </w:t>
      </w:r>
      <w:r>
        <w:rPr>
          <w:lang w:val="pt-BR"/>
        </w:rPr>
        <w:t>funcionalidades adicionais</w:t>
      </w:r>
      <w:r w:rsidR="00782F39">
        <w:rPr>
          <w:lang w:val="pt-BR"/>
        </w:rPr>
        <w:t xml:space="preserve"> presentes no jogo são</w:t>
      </w:r>
      <w:r>
        <w:rPr>
          <w:lang w:val="pt-BR"/>
        </w:rPr>
        <w:t xml:space="preserve">: (a) modo tutorial, que ensina a como jogar no próprio jogo; (b) conquistas, os jogadores ganham medalhas por realizarem determinadas ações no jogo; (c) </w:t>
      </w:r>
      <w:r w:rsidRPr="001443BB">
        <w:rPr>
          <w:i/>
          <w:lang w:val="pt-BR"/>
        </w:rPr>
        <w:t>ranking</w:t>
      </w:r>
      <w:r>
        <w:rPr>
          <w:lang w:val="pt-BR"/>
        </w:rPr>
        <w:t xml:space="preserve"> para cada modo de jogo e subdividido em categorias de escolaridade; e (d) disponibilidade de dez </w:t>
      </w:r>
      <w:proofErr w:type="spellStart"/>
      <w:r>
        <w:rPr>
          <w:lang w:val="pt-BR"/>
        </w:rPr>
        <w:t>avatares</w:t>
      </w:r>
      <w:proofErr w:type="spellEnd"/>
      <w:r>
        <w:rPr>
          <w:lang w:val="pt-BR"/>
        </w:rPr>
        <w:t>.</w:t>
      </w:r>
      <w:r w:rsidR="00B47567">
        <w:rPr>
          <w:lang w:val="pt-BR"/>
        </w:rPr>
        <w:t xml:space="preserve"> Maiores detalhes sobre o projeto e o funcionamento do jogo podem ser verificados em </w:t>
      </w:r>
      <w:r w:rsidR="00B957A1" w:rsidRPr="00B957A1">
        <w:rPr>
          <w:lang w:val="pt-BR"/>
        </w:rPr>
        <w:t>Sherlock Dengue</w:t>
      </w:r>
      <w:r w:rsidR="00B47567" w:rsidRPr="00B957A1">
        <w:rPr>
          <w:lang w:val="pt-BR"/>
        </w:rPr>
        <w:t xml:space="preserve"> (</w:t>
      </w:r>
      <w:r w:rsidR="00B957A1" w:rsidRPr="00B957A1">
        <w:rPr>
          <w:lang w:val="pt-BR"/>
        </w:rPr>
        <w:t>2015</w:t>
      </w:r>
      <w:r w:rsidR="00B47567" w:rsidRPr="00B957A1">
        <w:rPr>
          <w:lang w:val="pt-BR"/>
        </w:rPr>
        <w:t>)</w:t>
      </w:r>
      <w:r w:rsidR="00B47567">
        <w:rPr>
          <w:lang w:val="pt-BR"/>
        </w:rPr>
        <w:t>.</w:t>
      </w:r>
    </w:p>
    <w:p w:rsidR="000E5B1F" w:rsidRPr="000E5B1F" w:rsidRDefault="00B47567" w:rsidP="000E5B1F">
      <w:pPr>
        <w:pStyle w:val="Ttulo1"/>
        <w:rPr>
          <w:lang w:val="pt-BR"/>
        </w:rPr>
      </w:pPr>
      <w:r>
        <w:rPr>
          <w:lang w:val="pt-BR"/>
        </w:rPr>
        <w:t>3.2</w:t>
      </w:r>
      <w:r w:rsidR="000E5B1F" w:rsidRPr="000E5B1F">
        <w:rPr>
          <w:lang w:val="pt-BR"/>
        </w:rPr>
        <w:t xml:space="preserve">. </w:t>
      </w:r>
      <w:r>
        <w:rPr>
          <w:lang w:val="pt-BR"/>
        </w:rPr>
        <w:t>Métodos</w:t>
      </w:r>
    </w:p>
    <w:p w:rsidR="006431C3" w:rsidRDefault="006431C3">
      <w:pPr>
        <w:rPr>
          <w:lang w:val="pt-BR"/>
        </w:rPr>
      </w:pPr>
      <w:r>
        <w:rPr>
          <w:lang w:val="pt-BR"/>
        </w:rPr>
        <w:t>Com o propósito de realizar uma avaliação de aprendizagem foi elaborado um questionário de conhecimento sobre dengue, baseado em algumas</w:t>
      </w:r>
      <w:r w:rsidR="007436AB">
        <w:rPr>
          <w:lang w:val="pt-BR"/>
        </w:rPr>
        <w:t xml:space="preserve"> das</w:t>
      </w:r>
      <w:r>
        <w:rPr>
          <w:lang w:val="pt-BR"/>
        </w:rPr>
        <w:t xml:space="preserve"> informações que são apresentadas no decorrer do jogo. O questionário consiste em dez questões de múltipla escolha, de níveis de dificuldade variado, sendo que cada questão possui quatro alternativas de resposta. </w:t>
      </w:r>
      <w:r w:rsidR="007436AB">
        <w:rPr>
          <w:lang w:val="pt-BR"/>
        </w:rPr>
        <w:t xml:space="preserve">Além disso, </w:t>
      </w:r>
      <w:r w:rsidR="007E0B07">
        <w:rPr>
          <w:lang w:val="pt-BR"/>
        </w:rPr>
        <w:t xml:space="preserve">a fim de evitar possíveis resultados inconsistentes devido ao método de “chute”, </w:t>
      </w:r>
      <w:r w:rsidR="007436AB">
        <w:rPr>
          <w:lang w:val="pt-BR"/>
        </w:rPr>
        <w:t xml:space="preserve">teve-se a preocupação de avaliar o grau de </w:t>
      </w:r>
      <w:r w:rsidR="007E0B07">
        <w:rPr>
          <w:lang w:val="pt-BR"/>
        </w:rPr>
        <w:t>confiança</w:t>
      </w:r>
      <w:r w:rsidR="007436AB">
        <w:rPr>
          <w:lang w:val="pt-BR"/>
        </w:rPr>
        <w:t xml:space="preserve"> nas respostas </w:t>
      </w:r>
      <w:r w:rsidR="007E0B07">
        <w:rPr>
          <w:lang w:val="pt-BR"/>
        </w:rPr>
        <w:t>dos participantes</w:t>
      </w:r>
      <w:r w:rsidR="007436AB">
        <w:rPr>
          <w:lang w:val="pt-BR"/>
        </w:rPr>
        <w:t>. Dessa forma, cada questão possui um espaço reservado para que o participante indique qual o grau de confiança na resposta registrada. O questionário pode ser visualizado</w:t>
      </w:r>
      <w:r>
        <w:rPr>
          <w:lang w:val="pt-BR"/>
        </w:rPr>
        <w:t xml:space="preserve"> </w:t>
      </w:r>
      <w:r w:rsidR="00C01F7D">
        <w:rPr>
          <w:lang w:val="pt-BR"/>
        </w:rPr>
        <w:t>no manual do jogo [Sherlock Dengue, 2015]</w:t>
      </w:r>
      <w:r w:rsidR="007436AB">
        <w:rPr>
          <w:lang w:val="pt-BR"/>
        </w:rPr>
        <w:t>.</w:t>
      </w:r>
    </w:p>
    <w:p w:rsidR="00C7218B" w:rsidRDefault="007436AB">
      <w:pPr>
        <w:rPr>
          <w:lang w:val="pt-BR"/>
        </w:rPr>
      </w:pPr>
      <w:r>
        <w:rPr>
          <w:lang w:val="pt-BR"/>
        </w:rPr>
        <w:tab/>
        <w:t>Para realizar a avaliação e obter os</w:t>
      </w:r>
      <w:r w:rsidR="00511B88">
        <w:rPr>
          <w:lang w:val="pt-BR"/>
        </w:rPr>
        <w:t xml:space="preserve"> dados foram promovidos mutirões de conscientização sobre dengue </w:t>
      </w:r>
      <w:r w:rsidR="00AE348C">
        <w:rPr>
          <w:lang w:val="pt-BR"/>
        </w:rPr>
        <w:t xml:space="preserve">no município de </w:t>
      </w:r>
      <w:r w:rsidR="00C01F7D">
        <w:rPr>
          <w:lang w:val="pt-BR"/>
        </w:rPr>
        <w:t>Joinville</w:t>
      </w:r>
      <w:r w:rsidR="00AE348C">
        <w:rPr>
          <w:lang w:val="pt-BR"/>
        </w:rPr>
        <w:t xml:space="preserve"> (</w:t>
      </w:r>
      <w:r w:rsidR="00C01F7D">
        <w:rPr>
          <w:lang w:val="pt-BR"/>
        </w:rPr>
        <w:t>Santa Catarina</w:t>
      </w:r>
      <w:r>
        <w:rPr>
          <w:lang w:val="pt-BR"/>
        </w:rPr>
        <w:t xml:space="preserve">) </w:t>
      </w:r>
      <w:r w:rsidR="007E0B07">
        <w:rPr>
          <w:lang w:val="pt-BR"/>
        </w:rPr>
        <w:t xml:space="preserve">com o público-alvo, contando com o apoio da Secretaria Municipal de Saúde da cidade. </w:t>
      </w:r>
      <w:r w:rsidR="006431C3">
        <w:rPr>
          <w:lang w:val="pt-BR"/>
        </w:rPr>
        <w:t>Os mutirões incluíam as seguintes etapas principais</w:t>
      </w:r>
      <w:r w:rsidR="00C7218B">
        <w:rPr>
          <w:lang w:val="pt-BR"/>
        </w:rPr>
        <w:t>:</w:t>
      </w:r>
    </w:p>
    <w:p w:rsidR="00C7218B" w:rsidRDefault="00B46744" w:rsidP="00C7218B">
      <w:pPr>
        <w:numPr>
          <w:ilvl w:val="0"/>
          <w:numId w:val="22"/>
        </w:numPr>
        <w:tabs>
          <w:tab w:val="clear" w:pos="720"/>
          <w:tab w:val="left" w:pos="709"/>
        </w:tabs>
        <w:ind w:left="709" w:hanging="425"/>
        <w:rPr>
          <w:lang w:val="pt-BR"/>
        </w:rPr>
      </w:pPr>
      <w:r>
        <w:rPr>
          <w:lang w:val="pt-BR"/>
        </w:rPr>
        <w:t>Explicações de quais atividades seriam</w:t>
      </w:r>
      <w:r w:rsidR="007436AB">
        <w:rPr>
          <w:lang w:val="pt-BR"/>
        </w:rPr>
        <w:t xml:space="preserve"> realizadas</w:t>
      </w:r>
      <w:r w:rsidR="00C7218B">
        <w:rPr>
          <w:lang w:val="pt-BR"/>
        </w:rPr>
        <w:t xml:space="preserve"> durante o mutirão;</w:t>
      </w:r>
    </w:p>
    <w:p w:rsidR="00C7218B" w:rsidRDefault="00C7218B" w:rsidP="00A6622F">
      <w:pPr>
        <w:numPr>
          <w:ilvl w:val="0"/>
          <w:numId w:val="22"/>
        </w:numPr>
        <w:tabs>
          <w:tab w:val="clear" w:pos="720"/>
          <w:tab w:val="left" w:pos="709"/>
        </w:tabs>
        <w:spacing w:before="0"/>
        <w:ind w:left="709" w:hanging="425"/>
        <w:rPr>
          <w:lang w:val="pt-BR"/>
        </w:rPr>
      </w:pPr>
      <w:r>
        <w:rPr>
          <w:lang w:val="pt-BR"/>
        </w:rPr>
        <w:t>Aplicação</w:t>
      </w:r>
      <w:r w:rsidR="007436AB">
        <w:rPr>
          <w:lang w:val="pt-BR"/>
        </w:rPr>
        <w:t xml:space="preserve"> do </w:t>
      </w:r>
      <w:r>
        <w:rPr>
          <w:lang w:val="pt-BR"/>
        </w:rPr>
        <w:t>instrumento avaliativo (pré-teste)</w:t>
      </w:r>
    </w:p>
    <w:p w:rsidR="00C7218B" w:rsidRDefault="00C7218B" w:rsidP="00A6622F">
      <w:pPr>
        <w:numPr>
          <w:ilvl w:val="0"/>
          <w:numId w:val="22"/>
        </w:numPr>
        <w:tabs>
          <w:tab w:val="clear" w:pos="720"/>
          <w:tab w:val="left" w:pos="709"/>
        </w:tabs>
        <w:spacing w:before="0"/>
        <w:ind w:left="709" w:hanging="425"/>
        <w:rPr>
          <w:lang w:val="pt-BR"/>
        </w:rPr>
      </w:pPr>
      <w:r>
        <w:rPr>
          <w:lang w:val="pt-BR"/>
        </w:rPr>
        <w:t>Utilização</w:t>
      </w:r>
      <w:r w:rsidR="007436AB">
        <w:rPr>
          <w:lang w:val="pt-BR"/>
        </w:rPr>
        <w:t xml:space="preserve"> do jogo</w:t>
      </w:r>
      <w:r>
        <w:rPr>
          <w:lang w:val="pt-BR"/>
        </w:rPr>
        <w:t xml:space="preserve">: </w:t>
      </w:r>
      <w:r w:rsidR="00AE348C">
        <w:rPr>
          <w:lang w:val="pt-BR"/>
        </w:rPr>
        <w:t>(</w:t>
      </w:r>
      <w:r w:rsidR="00AE348C" w:rsidRPr="00AE348C">
        <w:rPr>
          <w:i/>
          <w:lang w:val="pt-BR"/>
        </w:rPr>
        <w:t>a</w:t>
      </w:r>
      <w:r w:rsidR="00AE348C">
        <w:rPr>
          <w:lang w:val="pt-BR"/>
        </w:rPr>
        <w:t xml:space="preserve">) </w:t>
      </w:r>
      <w:r>
        <w:rPr>
          <w:lang w:val="pt-BR"/>
        </w:rPr>
        <w:t xml:space="preserve">cadastro dos participantes no jogo, </w:t>
      </w:r>
      <w:r w:rsidR="00AE348C">
        <w:rPr>
          <w:lang w:val="pt-BR"/>
        </w:rPr>
        <w:t>(</w:t>
      </w:r>
      <w:r w:rsidR="00AE348C" w:rsidRPr="00AE348C">
        <w:rPr>
          <w:i/>
          <w:lang w:val="pt-BR"/>
        </w:rPr>
        <w:t>b</w:t>
      </w:r>
      <w:r w:rsidR="00AE348C">
        <w:rPr>
          <w:lang w:val="pt-BR"/>
        </w:rPr>
        <w:t>)</w:t>
      </w:r>
      <w:r>
        <w:rPr>
          <w:lang w:val="pt-BR"/>
        </w:rPr>
        <w:t xml:space="preserve"> uso do modo treino</w:t>
      </w:r>
      <w:r w:rsidR="00013E38">
        <w:rPr>
          <w:lang w:val="pt-BR"/>
        </w:rPr>
        <w:t>,</w:t>
      </w:r>
      <w:r>
        <w:rPr>
          <w:lang w:val="pt-BR"/>
        </w:rPr>
        <w:t xml:space="preserve"> que ensina o </w:t>
      </w:r>
      <w:r w:rsidRPr="00C7218B">
        <w:rPr>
          <w:lang w:val="pt-BR"/>
        </w:rPr>
        <w:t>funcionamento</w:t>
      </w:r>
      <w:r>
        <w:rPr>
          <w:lang w:val="pt-BR"/>
        </w:rPr>
        <w:t xml:space="preserve"> do jogo (</w:t>
      </w:r>
      <w:proofErr w:type="spellStart"/>
      <w:r w:rsidRPr="00C7218B">
        <w:rPr>
          <w:i/>
          <w:lang w:val="pt-BR"/>
        </w:rPr>
        <w:t>gameplay</w:t>
      </w:r>
      <w:proofErr w:type="spellEnd"/>
      <w:r>
        <w:rPr>
          <w:lang w:val="pt-BR"/>
        </w:rPr>
        <w:t>) e seus mecanismos,</w:t>
      </w:r>
      <w:r w:rsidR="00013E38">
        <w:rPr>
          <w:lang w:val="pt-BR"/>
        </w:rPr>
        <w:t xml:space="preserve"> por 10 a 20 minutos,</w:t>
      </w:r>
      <w:r>
        <w:rPr>
          <w:lang w:val="pt-BR"/>
        </w:rPr>
        <w:t xml:space="preserve"> </w:t>
      </w:r>
      <w:r w:rsidR="00013E38">
        <w:rPr>
          <w:lang w:val="pt-BR"/>
        </w:rPr>
        <w:t xml:space="preserve">e </w:t>
      </w:r>
      <w:r w:rsidR="00AE348C">
        <w:rPr>
          <w:lang w:val="pt-BR"/>
        </w:rPr>
        <w:t>(</w:t>
      </w:r>
      <w:r w:rsidR="00AE348C" w:rsidRPr="00AE348C">
        <w:rPr>
          <w:i/>
          <w:lang w:val="pt-BR"/>
        </w:rPr>
        <w:t>c</w:t>
      </w:r>
      <w:r w:rsidR="00013E38">
        <w:rPr>
          <w:lang w:val="pt-BR"/>
        </w:rPr>
        <w:t>)</w:t>
      </w:r>
      <w:r>
        <w:rPr>
          <w:lang w:val="pt-BR"/>
        </w:rPr>
        <w:t xml:space="preserve"> uma partida </w:t>
      </w:r>
      <w:proofErr w:type="gramStart"/>
      <w:r>
        <w:rPr>
          <w:lang w:val="pt-BR"/>
        </w:rPr>
        <w:t>colaborativa</w:t>
      </w:r>
      <w:proofErr w:type="gramEnd"/>
      <w:r>
        <w:rPr>
          <w:lang w:val="pt-BR"/>
        </w:rPr>
        <w:t>-competitiva (2vs2) do jogo com duração de 60 minutos;</w:t>
      </w:r>
    </w:p>
    <w:p w:rsidR="00C7218B" w:rsidRDefault="00C7218B" w:rsidP="00A6622F">
      <w:pPr>
        <w:numPr>
          <w:ilvl w:val="0"/>
          <w:numId w:val="22"/>
        </w:numPr>
        <w:tabs>
          <w:tab w:val="clear" w:pos="720"/>
          <w:tab w:val="left" w:pos="709"/>
        </w:tabs>
        <w:spacing w:before="0"/>
        <w:ind w:left="709" w:hanging="425"/>
        <w:rPr>
          <w:lang w:val="pt-BR"/>
        </w:rPr>
      </w:pPr>
      <w:r>
        <w:rPr>
          <w:lang w:val="pt-BR"/>
        </w:rPr>
        <w:t>Nova aplicação do instrumento avaliativo (pós-teste).</w:t>
      </w:r>
    </w:p>
    <w:p w:rsidR="00AE348C" w:rsidRDefault="00C7218B" w:rsidP="0020509E">
      <w:pPr>
        <w:tabs>
          <w:tab w:val="clear" w:pos="720"/>
          <w:tab w:val="left" w:pos="709"/>
        </w:tabs>
        <w:rPr>
          <w:lang w:val="pt-BR"/>
        </w:rPr>
      </w:pPr>
      <w:r>
        <w:rPr>
          <w:lang w:val="pt-BR"/>
        </w:rPr>
        <w:tab/>
        <w:t xml:space="preserve">Deve-se salientar que, em momento algum é mencionado aos participantes que o mesmo </w:t>
      </w:r>
      <w:r w:rsidR="0020509E">
        <w:rPr>
          <w:lang w:val="pt-BR"/>
        </w:rPr>
        <w:t>instrumento avaliativo seria</w:t>
      </w:r>
      <w:r>
        <w:rPr>
          <w:lang w:val="pt-BR"/>
        </w:rPr>
        <w:t xml:space="preserve"> utilizado novamente após o uso do jogo, fato que poderia comprometer os resultados obtidos.</w:t>
      </w:r>
    </w:p>
    <w:p w:rsidR="00DD5DAF" w:rsidRDefault="00AE348C">
      <w:pPr>
        <w:rPr>
          <w:lang w:val="pt-BR"/>
        </w:rPr>
      </w:pPr>
      <w:r>
        <w:rPr>
          <w:lang w:val="pt-BR"/>
        </w:rPr>
        <w:tab/>
        <w:t>A</w:t>
      </w:r>
      <w:r w:rsidR="00506846">
        <w:rPr>
          <w:lang w:val="pt-BR"/>
        </w:rPr>
        <w:t>o total, 43</w:t>
      </w:r>
      <w:r w:rsidR="000321FF">
        <w:rPr>
          <w:lang w:val="pt-BR"/>
        </w:rPr>
        <w:t xml:space="preserve"> alunos entre o </w:t>
      </w:r>
      <w:r>
        <w:rPr>
          <w:lang w:val="pt-BR"/>
        </w:rPr>
        <w:t>7º ano do Ensino Fundamental (EF) ao 3º ano do Ensino Médio (EM)</w:t>
      </w:r>
      <w:r w:rsidR="000321FF">
        <w:rPr>
          <w:lang w:val="pt-BR"/>
        </w:rPr>
        <w:t xml:space="preserve"> participaram dos mutirões realizados</w:t>
      </w:r>
      <w:r>
        <w:rPr>
          <w:lang w:val="pt-BR"/>
        </w:rPr>
        <w:t>.</w:t>
      </w:r>
      <w:r w:rsidR="00DD5DAF">
        <w:rPr>
          <w:lang w:val="pt-BR"/>
        </w:rPr>
        <w:t xml:space="preserve"> </w:t>
      </w:r>
      <w:r w:rsidR="00DD5DAF" w:rsidRPr="00DD5DAF">
        <w:rPr>
          <w:lang w:val="pt-BR"/>
        </w:rPr>
        <w:t>A id</w:t>
      </w:r>
      <w:r w:rsidR="00DD5DAF">
        <w:rPr>
          <w:lang w:val="pt-BR"/>
        </w:rPr>
        <w:t>ade média destes alunos</w:t>
      </w:r>
      <w:r w:rsidR="0020509E">
        <w:rPr>
          <w:lang w:val="pt-BR"/>
        </w:rPr>
        <w:t xml:space="preserve"> era</w:t>
      </w:r>
      <w:r w:rsidR="00DD5DAF">
        <w:rPr>
          <w:lang w:val="pt-BR"/>
        </w:rPr>
        <w:t xml:space="preserve"> </w:t>
      </w:r>
      <w:r w:rsidR="00DD5DAF" w:rsidRPr="00DD5DAF">
        <w:rPr>
          <w:lang w:val="pt-BR"/>
        </w:rPr>
        <w:t xml:space="preserve">de </w:t>
      </w:r>
      <w:r w:rsidR="00506846">
        <w:rPr>
          <w:lang w:val="pt-BR"/>
        </w:rPr>
        <w:t>13,56</w:t>
      </w:r>
      <w:r w:rsidR="00DD5DAF">
        <w:rPr>
          <w:lang w:val="pt-BR"/>
        </w:rPr>
        <w:t xml:space="preserve"> anos, com desvio padrão de </w:t>
      </w:r>
      <w:r w:rsidR="00506846">
        <w:rPr>
          <w:lang w:val="pt-BR"/>
        </w:rPr>
        <w:t>1,28</w:t>
      </w:r>
      <w:r w:rsidR="00C01F7D">
        <w:rPr>
          <w:lang w:val="pt-BR"/>
        </w:rPr>
        <w:t xml:space="preserve"> anos</w:t>
      </w:r>
      <w:r w:rsidR="00DD5DAF">
        <w:rPr>
          <w:lang w:val="pt-BR"/>
        </w:rPr>
        <w:t xml:space="preserve">, </w:t>
      </w:r>
      <w:r w:rsidR="00506846">
        <w:rPr>
          <w:lang w:val="pt-BR"/>
        </w:rPr>
        <w:t>sendo que 18,60</w:t>
      </w:r>
      <w:r w:rsidR="00DD5DAF">
        <w:rPr>
          <w:lang w:val="pt-BR"/>
        </w:rPr>
        <w:t xml:space="preserve">% estudavam no </w:t>
      </w:r>
      <w:r w:rsidR="0020509E">
        <w:rPr>
          <w:lang w:val="pt-BR"/>
        </w:rPr>
        <w:t>7º</w:t>
      </w:r>
      <w:r w:rsidR="00DD5DAF">
        <w:rPr>
          <w:lang w:val="pt-BR"/>
        </w:rPr>
        <w:t xml:space="preserve"> </w:t>
      </w:r>
      <w:r w:rsidR="0020509E">
        <w:rPr>
          <w:lang w:val="pt-BR"/>
        </w:rPr>
        <w:t>ano do EF;</w:t>
      </w:r>
      <w:r w:rsidR="00506846">
        <w:rPr>
          <w:lang w:val="pt-BR"/>
        </w:rPr>
        <w:t xml:space="preserve"> 11,63</w:t>
      </w:r>
      <w:r w:rsidR="00DD5DAF">
        <w:rPr>
          <w:lang w:val="pt-BR"/>
        </w:rPr>
        <w:t>%</w:t>
      </w:r>
      <w:r w:rsidR="0020509E">
        <w:rPr>
          <w:lang w:val="pt-BR"/>
        </w:rPr>
        <w:t xml:space="preserve"> estudavam no 8º a</w:t>
      </w:r>
      <w:r w:rsidR="00506846">
        <w:rPr>
          <w:lang w:val="pt-BR"/>
        </w:rPr>
        <w:t>no do EF; 46,51</w:t>
      </w:r>
      <w:r w:rsidR="0020509E">
        <w:rPr>
          <w:lang w:val="pt-BR"/>
        </w:rPr>
        <w:t xml:space="preserve">% estudavam no 9º </w:t>
      </w:r>
      <w:r w:rsidR="00506846">
        <w:rPr>
          <w:lang w:val="pt-BR"/>
        </w:rPr>
        <w:t>ano do EF; 16,28</w:t>
      </w:r>
      <w:r w:rsidR="0020509E">
        <w:rPr>
          <w:lang w:val="pt-BR"/>
        </w:rPr>
        <w:t xml:space="preserve">% estudavam no 1º </w:t>
      </w:r>
      <w:r w:rsidR="00506846">
        <w:rPr>
          <w:lang w:val="pt-BR"/>
        </w:rPr>
        <w:t>ano do EM; e 6,98</w:t>
      </w:r>
      <w:r w:rsidR="0020509E">
        <w:rPr>
          <w:lang w:val="pt-BR"/>
        </w:rPr>
        <w:t>% estudavam no 3º ano do EM.</w:t>
      </w:r>
    </w:p>
    <w:p w:rsidR="000C48B6" w:rsidRPr="000C48B6" w:rsidRDefault="00013E38" w:rsidP="00013E38">
      <w:pPr>
        <w:pStyle w:val="Ttulo1"/>
        <w:rPr>
          <w:lang w:val="pt-BR"/>
        </w:rPr>
      </w:pPr>
      <w:r>
        <w:rPr>
          <w:lang w:val="pt-BR"/>
        </w:rPr>
        <w:lastRenderedPageBreak/>
        <w:t>4. Resultados e Análise</w:t>
      </w:r>
    </w:p>
    <w:p w:rsidR="001339BE" w:rsidRDefault="00265F4E">
      <w:pPr>
        <w:rPr>
          <w:lang w:val="pt-BR"/>
        </w:rPr>
      </w:pPr>
      <w:r>
        <w:rPr>
          <w:lang w:val="pt-BR"/>
        </w:rPr>
        <w:t>O desempenho de cada indivíduo no questionário avaliativo foi mensurado em uma escala de zero a dez, sendo que cada pergunta do questionário tinha o peso de um ponto. O gráfico da Figura 1 sintetiza os resultados obtidos pelos participantes no pré-teste e no pós-teste, indicando a ocorrência das notas finais de cada participante.</w:t>
      </w:r>
    </w:p>
    <w:p w:rsidR="001339BE" w:rsidRDefault="00476963" w:rsidP="001D764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886325" cy="2836998"/>
            <wp:effectExtent l="0" t="0" r="0" b="0"/>
            <wp:docPr id="4" name="Imagem 3" descr="notas-frequenci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s-frequencia-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1" cy="28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BE" w:rsidRPr="001339BE" w:rsidRDefault="001339BE" w:rsidP="001339BE">
      <w:pPr>
        <w:pStyle w:val="Legenda"/>
        <w:rPr>
          <w:lang w:val="pt-BR"/>
        </w:rPr>
      </w:pPr>
      <w:r>
        <w:rPr>
          <w:lang w:val="pt-BR"/>
        </w:rPr>
        <w:t>Figura</w:t>
      </w:r>
      <w:r w:rsidRPr="001339BE">
        <w:rPr>
          <w:lang w:val="pt-BR"/>
        </w:rPr>
        <w:t xml:space="preserve"> </w:t>
      </w:r>
      <w:r w:rsidR="00D747EC">
        <w:fldChar w:fldCharType="begin"/>
      </w:r>
      <w:r w:rsidRPr="001339BE">
        <w:rPr>
          <w:lang w:val="pt-BR"/>
        </w:rPr>
        <w:instrText xml:space="preserve"> SEQ Figure \* ARABIC </w:instrText>
      </w:r>
      <w:r w:rsidR="00D747EC">
        <w:fldChar w:fldCharType="separate"/>
      </w:r>
      <w:r w:rsidR="00E34662">
        <w:rPr>
          <w:noProof/>
          <w:lang w:val="pt-BR"/>
        </w:rPr>
        <w:t>1</w:t>
      </w:r>
      <w:r w:rsidR="00D747EC">
        <w:fldChar w:fldCharType="end"/>
      </w:r>
      <w:r w:rsidRPr="001339BE">
        <w:rPr>
          <w:lang w:val="pt-BR"/>
        </w:rPr>
        <w:t xml:space="preserve">. </w:t>
      </w:r>
      <w:r>
        <w:rPr>
          <w:lang w:val="pt-BR"/>
        </w:rPr>
        <w:t>Quantidade de acertos no questionário de conhecimento</w:t>
      </w:r>
    </w:p>
    <w:p w:rsidR="001339BE" w:rsidRDefault="00265F4E" w:rsidP="00265F4E">
      <w:pPr>
        <w:ind w:firstLine="709"/>
        <w:rPr>
          <w:lang w:val="pt-BR"/>
        </w:rPr>
      </w:pPr>
      <w:r>
        <w:rPr>
          <w:lang w:val="pt-BR"/>
        </w:rPr>
        <w:t>Pode-se perceber através do g</w:t>
      </w:r>
      <w:r w:rsidR="00A209B7">
        <w:rPr>
          <w:lang w:val="pt-BR"/>
        </w:rPr>
        <w:t xml:space="preserve">ráfico da Figura 1 que os participantes obtiveram melhores notas no pós-teste do que no pré-teste. Apurou-se que 60,70% das questões foram respondidas corretamente pelos participantes no pré-teste, ao passo que 72,33% das questões foram respondidas corretamente no pós-teste. Além disso, 30,23% dos participantes obtiveram nota igual ou superior a sete no pré-teste – nota considerada como limiar em aprovação em muitas escolas </w:t>
      </w:r>
      <w:r w:rsidR="00162D5E">
        <w:rPr>
          <w:lang w:val="pt-BR"/>
        </w:rPr>
        <w:t>– enquanto que 65,12% dos participantes conseguiram o mesmo no pós-teste.</w:t>
      </w:r>
      <w:r w:rsidR="00A209B7">
        <w:rPr>
          <w:lang w:val="pt-BR"/>
        </w:rPr>
        <w:t xml:space="preserve"> Vale salientar ainda que nenhum participante obteve a nota máxima no pré-teste, mas 9,3% conseguiram obter tal nota no pós-teste.</w:t>
      </w:r>
    </w:p>
    <w:p w:rsidR="00162D5E" w:rsidRPr="004C1478" w:rsidRDefault="00C01F7D" w:rsidP="00C01F7D">
      <w:pPr>
        <w:ind w:firstLine="709"/>
        <w:rPr>
          <w:lang w:val="pt-BR"/>
        </w:rPr>
      </w:pPr>
      <w:r>
        <w:rPr>
          <w:lang w:val="pt-BR"/>
        </w:rPr>
        <w:t>Com base nos dados coletados durante a</w:t>
      </w:r>
      <w:r w:rsidR="00162D5E">
        <w:rPr>
          <w:lang w:val="pt-BR"/>
        </w:rPr>
        <w:t xml:space="preserve"> avaliação de desempenho, </w:t>
      </w:r>
      <w:r w:rsidR="00352791">
        <w:rPr>
          <w:lang w:val="pt-BR"/>
        </w:rPr>
        <w:t xml:space="preserve">puderam ser sintetizados os seguintes dados: </w:t>
      </w:r>
      <w:r w:rsidR="00162D5E" w:rsidRPr="00162D5E">
        <w:rPr>
          <w:lang w:val="pt-BR"/>
        </w:rPr>
        <w:t>o desempenho médio</w:t>
      </w:r>
      <w:r w:rsidR="00352791">
        <w:rPr>
          <w:lang w:val="pt-BR"/>
        </w:rPr>
        <w:t xml:space="preserve"> </w:t>
      </w:r>
      <w:r w:rsidR="004455D8">
        <w:rPr>
          <w:lang w:val="pt-BR"/>
        </w:rPr>
        <w:t>(</w:t>
      </w:r>
      <m:oMath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acc>
      </m:oMath>
      <w:r w:rsidR="004455D8">
        <w:rPr>
          <w:lang w:val="pt-BR"/>
        </w:rPr>
        <w:t>)</w:t>
      </w:r>
      <w:r w:rsidR="00352791">
        <w:rPr>
          <w:lang w:val="pt-BR"/>
        </w:rPr>
        <w:t xml:space="preserve"> durante o pré-teste foi de 6,07</w:t>
      </w:r>
      <w:r w:rsidR="00162D5E" w:rsidRPr="00162D5E">
        <w:rPr>
          <w:lang w:val="pt-BR"/>
        </w:rPr>
        <w:t xml:space="preserve"> po</w:t>
      </w:r>
      <w:r w:rsidR="00352791">
        <w:rPr>
          <w:lang w:val="pt-BR"/>
        </w:rPr>
        <w:t>ntos, com desvio padrão amostral de s = 1,20</w:t>
      </w:r>
      <w:r w:rsidR="007016E3">
        <w:rPr>
          <w:lang w:val="pt-BR"/>
        </w:rPr>
        <w:t>, mediana Md = 6 e moda Mo = 6</w:t>
      </w:r>
      <w:r w:rsidR="00162D5E" w:rsidRPr="00162D5E">
        <w:rPr>
          <w:lang w:val="pt-BR"/>
        </w:rPr>
        <w:t xml:space="preserve">, ao passo que o desempenho médio </w:t>
      </w:r>
      <w:r w:rsidR="00025D82">
        <w:rPr>
          <w:lang w:val="pt-BR"/>
        </w:rPr>
        <w:t>(</w:t>
      </w:r>
      <m:oMath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acc>
      </m:oMath>
      <w:r w:rsidR="00025D82">
        <w:rPr>
          <w:lang w:val="pt-BR"/>
        </w:rPr>
        <w:t>) durante o pós-teste foi de 7</w:t>
      </w:r>
      <w:r w:rsidR="007016E3">
        <w:rPr>
          <w:lang w:val="pt-BR"/>
        </w:rPr>
        <w:t>,23 pontos, com s = 1,81, Md = 7 e Mo = 8</w:t>
      </w:r>
      <w:r w:rsidR="00162D5E" w:rsidRPr="00162D5E">
        <w:rPr>
          <w:lang w:val="pt-BR"/>
        </w:rPr>
        <w:t>.</w:t>
      </w:r>
      <w:r w:rsidR="004C1478">
        <w:rPr>
          <w:lang w:val="pt-BR"/>
        </w:rPr>
        <w:t xml:space="preserve"> Utilizando-se da estatística indutiva, calculou-se ainda a estimativa para uma média populacional da nota de pós-teste, considerando os dados coletados. Foi utilizado um nível de confiança de 99% para as 43 amostras, obtendo-se o seguinte intervalo: 6,49</w:t>
      </w:r>
      <w:r w:rsidR="004C1478" w:rsidRPr="004C1478">
        <w:rPr>
          <w:lang w:val="pt-BR"/>
        </w:rPr>
        <w:t xml:space="preserve"> ≤ </w:t>
      </w:r>
      <w:r w:rsidR="004C1478" w:rsidRPr="004C1478">
        <w:rPr>
          <w:rFonts w:hint="eastAsia"/>
          <w:lang w:val="pt-BR"/>
        </w:rPr>
        <w:t>μ</w:t>
      </w:r>
      <w:r w:rsidR="004C1478">
        <w:rPr>
          <w:lang w:val="pt-BR"/>
        </w:rPr>
        <w:t xml:space="preserve"> ≤ 7,98.</w:t>
      </w:r>
      <w:r w:rsidR="006A2AC1">
        <w:rPr>
          <w:lang w:val="pt-BR"/>
        </w:rPr>
        <w:t xml:space="preserve"> Além disso, calculou-se por fim uma estimativa para a diferença entre as médias populacionais das notas de pré-teste e pós-teste. Foi utilizado novamente um nível de confiança de 99% para os dois grupos de 43 amostras, obtendo-se o seguinte intervalo de diferença: 0,29</w:t>
      </w:r>
      <w:r w:rsidR="006A2AC1" w:rsidRPr="004C1478">
        <w:rPr>
          <w:lang w:val="pt-BR"/>
        </w:rPr>
        <w:t xml:space="preserve"> ≤ </w:t>
      </w:r>
      <w:proofErr w:type="spellStart"/>
      <w:r w:rsidR="006A2AC1" w:rsidRPr="004C1478">
        <w:rPr>
          <w:rFonts w:hint="eastAsia"/>
          <w:lang w:val="pt-BR"/>
        </w:rPr>
        <w:t>μ</w:t>
      </w:r>
      <w:r w:rsidR="006A2AC1" w:rsidRPr="006A2AC1">
        <w:rPr>
          <w:vertAlign w:val="subscript"/>
          <w:lang w:val="pt-BR"/>
        </w:rPr>
        <w:t>pos</w:t>
      </w:r>
      <w:proofErr w:type="spellEnd"/>
      <w:r w:rsidR="006A2AC1">
        <w:rPr>
          <w:lang w:val="pt-BR"/>
        </w:rPr>
        <w:t xml:space="preserve"> - </w:t>
      </w:r>
      <w:proofErr w:type="spellStart"/>
      <w:r w:rsidR="006A2AC1" w:rsidRPr="004C1478">
        <w:rPr>
          <w:rFonts w:hint="eastAsia"/>
          <w:lang w:val="pt-BR"/>
        </w:rPr>
        <w:t>μ</w:t>
      </w:r>
      <w:r w:rsidR="006A2AC1" w:rsidRPr="006A2AC1">
        <w:rPr>
          <w:vertAlign w:val="subscript"/>
          <w:lang w:val="pt-BR"/>
        </w:rPr>
        <w:t>pre</w:t>
      </w:r>
      <w:proofErr w:type="spellEnd"/>
      <w:r w:rsidR="006A2AC1">
        <w:rPr>
          <w:lang w:val="pt-BR"/>
        </w:rPr>
        <w:t xml:space="preserve"> ≤ 2,04, i.e., se novos testes fossem realizados em condições semelhantes, em 99% das vezes a média das notas do pós-teste seria </w:t>
      </w:r>
      <w:r w:rsidR="005707DC">
        <w:rPr>
          <w:lang w:val="pt-BR"/>
        </w:rPr>
        <w:t xml:space="preserve">maior em </w:t>
      </w:r>
      <w:r w:rsidR="006A2AC1">
        <w:rPr>
          <w:lang w:val="pt-BR"/>
        </w:rPr>
        <w:t>0,29 a 2,04 pontos do que a média das notas do pré-teste.</w:t>
      </w:r>
    </w:p>
    <w:p w:rsidR="00354285" w:rsidRDefault="000C48B6" w:rsidP="00354285">
      <w:pPr>
        <w:ind w:firstLine="709"/>
        <w:rPr>
          <w:lang w:val="pt-BR"/>
        </w:rPr>
      </w:pPr>
      <w:r>
        <w:rPr>
          <w:lang w:val="pt-BR"/>
        </w:rPr>
        <w:t>D</w:t>
      </w:r>
      <w:r w:rsidR="007016E3" w:rsidRPr="007016E3">
        <w:rPr>
          <w:lang w:val="pt-BR"/>
        </w:rPr>
        <w:t xml:space="preserve">ecidiu-se </w:t>
      </w:r>
      <w:r>
        <w:rPr>
          <w:lang w:val="pt-BR"/>
        </w:rPr>
        <w:t xml:space="preserve">também </w:t>
      </w:r>
      <w:r w:rsidR="007016E3" w:rsidRPr="007016E3">
        <w:rPr>
          <w:lang w:val="pt-BR"/>
        </w:rPr>
        <w:t>analisar o comportamento do desempenho na avaliação de acordo c</w:t>
      </w:r>
      <w:r>
        <w:rPr>
          <w:lang w:val="pt-BR"/>
        </w:rPr>
        <w:t>om a escolaridade dos</w:t>
      </w:r>
      <w:r w:rsidR="007016E3" w:rsidRPr="007016E3">
        <w:rPr>
          <w:lang w:val="pt-BR"/>
        </w:rPr>
        <w:t xml:space="preserve"> participantes. Assim, elaborou-se a </w:t>
      </w:r>
      <w:r w:rsidR="001D7642">
        <w:rPr>
          <w:lang w:val="pt-BR"/>
        </w:rPr>
        <w:t>Figura</w:t>
      </w:r>
      <w:r>
        <w:rPr>
          <w:lang w:val="pt-BR"/>
        </w:rPr>
        <w:t xml:space="preserve"> 2</w:t>
      </w:r>
      <w:r w:rsidR="007016E3" w:rsidRPr="007016E3">
        <w:rPr>
          <w:lang w:val="pt-BR"/>
        </w:rPr>
        <w:t xml:space="preserve"> que </w:t>
      </w:r>
      <w:r w:rsidR="007016E3" w:rsidRPr="007016E3">
        <w:rPr>
          <w:lang w:val="pt-BR"/>
        </w:rPr>
        <w:lastRenderedPageBreak/>
        <w:t xml:space="preserve">apresenta a relação entre escolaridade dos participantes e o desempenho no questionário de conhecimento aplicado antes e após a utilização do </w:t>
      </w:r>
      <w:r w:rsidR="00C01F7D" w:rsidRPr="00C01F7D">
        <w:rPr>
          <w:lang w:val="pt-BR"/>
        </w:rPr>
        <w:t xml:space="preserve">Sherlock Dengue </w:t>
      </w:r>
      <w:proofErr w:type="gramStart"/>
      <w:r w:rsidR="00C01F7D" w:rsidRPr="00C01F7D">
        <w:rPr>
          <w:lang w:val="pt-BR"/>
        </w:rPr>
        <w:t>8</w:t>
      </w:r>
      <w:proofErr w:type="gramEnd"/>
      <w:r w:rsidR="007016E3" w:rsidRPr="007016E3">
        <w:rPr>
          <w:lang w:val="pt-BR"/>
        </w:rPr>
        <w:t>.</w:t>
      </w:r>
      <w:r w:rsidR="00354285">
        <w:rPr>
          <w:lang w:val="pt-BR"/>
        </w:rPr>
        <w:t xml:space="preserve"> As </w:t>
      </w:r>
      <w:r w:rsidR="001D7642">
        <w:rPr>
          <w:lang w:val="pt-BR"/>
        </w:rPr>
        <w:t>linhas sólidas da Figura 2 indicam as médias dos grupos por escolaridade, ao passo que,</w:t>
      </w:r>
      <w:r w:rsidR="00354285">
        <w:rPr>
          <w:lang w:val="pt-BR"/>
        </w:rPr>
        <w:t xml:space="preserve"> </w:t>
      </w:r>
      <w:r w:rsidR="001D7642">
        <w:rPr>
          <w:lang w:val="pt-BR"/>
        </w:rPr>
        <w:t>as linhas tracejadas e as áreas com hachura, indicam o desvio padrão destas médias</w:t>
      </w:r>
      <w:r w:rsidR="00354285">
        <w:rPr>
          <w:lang w:val="pt-BR"/>
        </w:rPr>
        <w:t>.</w:t>
      </w:r>
    </w:p>
    <w:p w:rsidR="001D7642" w:rsidRDefault="001D7642" w:rsidP="001D764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0675" cy="3025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olaridade-med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42" w:rsidRDefault="001D7642" w:rsidP="001D7642">
      <w:pPr>
        <w:pStyle w:val="Legenda"/>
        <w:rPr>
          <w:lang w:val="pt-BR"/>
        </w:rPr>
      </w:pPr>
      <w:r>
        <w:rPr>
          <w:lang w:val="pt-BR"/>
        </w:rPr>
        <w:t>Figura 2</w:t>
      </w:r>
      <w:r w:rsidRPr="00465C27">
        <w:rPr>
          <w:lang w:val="pt-BR"/>
        </w:rPr>
        <w:t xml:space="preserve">. </w:t>
      </w:r>
      <w:r>
        <w:rPr>
          <w:lang w:val="pt-BR"/>
        </w:rPr>
        <w:t>Desempenho no questionário de conhecimento por escolaridade</w:t>
      </w:r>
    </w:p>
    <w:p w:rsidR="00162D5E" w:rsidRDefault="001D7642" w:rsidP="001D7642">
      <w:pPr>
        <w:rPr>
          <w:lang w:val="pt-BR"/>
        </w:rPr>
      </w:pPr>
      <w:r>
        <w:rPr>
          <w:lang w:val="pt-BR"/>
        </w:rPr>
        <w:tab/>
      </w:r>
      <w:r w:rsidR="009B4BA4">
        <w:rPr>
          <w:lang w:val="pt-BR"/>
        </w:rPr>
        <w:t xml:space="preserve">Pode-se perceber através da </w:t>
      </w:r>
      <w:r>
        <w:rPr>
          <w:lang w:val="pt-BR"/>
        </w:rPr>
        <w:t>Figura</w:t>
      </w:r>
      <w:r w:rsidR="009B4BA4">
        <w:rPr>
          <w:lang w:val="pt-BR"/>
        </w:rPr>
        <w:t xml:space="preserve"> 2 que, para todas as escolaridades, houve um aumento da média das notas obtidas no questionário de conhecimento. Deve-se ressaltar ainda o comportamento </w:t>
      </w:r>
      <w:r w:rsidR="00C01F7D">
        <w:rPr>
          <w:lang w:val="pt-BR"/>
        </w:rPr>
        <w:t xml:space="preserve">crescente </w:t>
      </w:r>
      <w:r w:rsidR="009B4BA4">
        <w:rPr>
          <w:lang w:val="pt-BR"/>
        </w:rPr>
        <w:t>das médias obtidas durante o pré-teste, indicando a diferença de conhecimento esperado entre alunos de escolaridades maiores. O mesmo comportamento ocorreu na média de pós-teste, com exceção da média do 9º ano. Deve-se levar em consideração</w:t>
      </w:r>
      <w:r w:rsidR="00A4290F">
        <w:rPr>
          <w:lang w:val="pt-BR"/>
        </w:rPr>
        <w:t>,</w:t>
      </w:r>
      <w:r w:rsidR="009B4BA4">
        <w:rPr>
          <w:lang w:val="pt-BR"/>
        </w:rPr>
        <w:t xml:space="preserve"> contudo, o número de amostras de cada escolaridade, que estão diretamente relacionados à confiabilidade da generalização ou inferência através dos resultados.</w:t>
      </w:r>
    </w:p>
    <w:p w:rsidR="000C48B6" w:rsidRPr="000C48B6" w:rsidRDefault="005D32DA" w:rsidP="000C48B6">
      <w:pPr>
        <w:pStyle w:val="Ttulo2"/>
        <w:rPr>
          <w:lang w:val="pt-BR"/>
        </w:rPr>
      </w:pPr>
      <w:r>
        <w:rPr>
          <w:lang w:val="pt-BR"/>
        </w:rPr>
        <w:t>4.1</w:t>
      </w:r>
      <w:r w:rsidR="000C48B6" w:rsidRPr="000C48B6">
        <w:rPr>
          <w:lang w:val="pt-BR"/>
        </w:rPr>
        <w:t xml:space="preserve">. Relação entre </w:t>
      </w:r>
      <w:r w:rsidR="000C48B6">
        <w:rPr>
          <w:lang w:val="pt-BR"/>
        </w:rPr>
        <w:t xml:space="preserve">Confiança nas Respostas </w:t>
      </w:r>
      <w:r w:rsidR="000C48B6" w:rsidRPr="000C48B6">
        <w:rPr>
          <w:lang w:val="pt-BR"/>
        </w:rPr>
        <w:t xml:space="preserve">e o Jogo </w:t>
      </w:r>
    </w:p>
    <w:p w:rsidR="00B46744" w:rsidRDefault="005F60FC" w:rsidP="001339BE">
      <w:pPr>
        <w:rPr>
          <w:lang w:val="pt-BR"/>
        </w:rPr>
      </w:pPr>
      <w:r>
        <w:rPr>
          <w:lang w:val="pt-BR"/>
        </w:rPr>
        <w:t xml:space="preserve">O aspecto da confiança nas respostas dadas ao questionário de conhecimento também </w:t>
      </w:r>
      <w:r w:rsidR="00485859">
        <w:rPr>
          <w:lang w:val="pt-BR"/>
        </w:rPr>
        <w:t>foi avaliado</w:t>
      </w:r>
      <w:r w:rsidR="00745D1C">
        <w:rPr>
          <w:lang w:val="pt-BR"/>
        </w:rPr>
        <w:t xml:space="preserve"> quantitativamente com base em uma escala de zero a dez.</w:t>
      </w:r>
      <w:r>
        <w:rPr>
          <w:lang w:val="pt-BR"/>
        </w:rPr>
        <w:t xml:space="preserve"> </w:t>
      </w:r>
      <w:r w:rsidR="00745D1C">
        <w:rPr>
          <w:lang w:val="pt-BR"/>
        </w:rPr>
        <w:t>Inicialmente foram calculadas as médias e desvios padrão para cada questão do pr</w:t>
      </w:r>
      <w:r w:rsidR="001D7642">
        <w:rPr>
          <w:lang w:val="pt-BR"/>
        </w:rPr>
        <w:t>é-teste e do pós-teste (Figura 3</w:t>
      </w:r>
      <w:r w:rsidR="00745D1C">
        <w:rPr>
          <w:lang w:val="pt-BR"/>
        </w:rPr>
        <w:t>), levando em consideração a confiança nas respostas corretas e incorretas.</w:t>
      </w:r>
      <w:r w:rsidR="00485859">
        <w:rPr>
          <w:lang w:val="pt-BR"/>
        </w:rPr>
        <w:t xml:space="preserve"> Pode-se perceber que o nível de confiança médio para cada questão sempre esteve maior no pós-teste do que no pré-teste</w:t>
      </w:r>
      <w:r w:rsidR="00751F35">
        <w:rPr>
          <w:lang w:val="pt-BR"/>
        </w:rPr>
        <w:t>.</w:t>
      </w:r>
      <w:r w:rsidR="00745D1C">
        <w:rPr>
          <w:lang w:val="pt-BR"/>
        </w:rPr>
        <w:t xml:space="preserve"> Depois</w:t>
      </w:r>
      <w:r>
        <w:rPr>
          <w:lang w:val="pt-BR"/>
        </w:rPr>
        <w:t>, calculou-se a confiança média geral</w:t>
      </w:r>
      <w:r w:rsidR="00745D1C">
        <w:rPr>
          <w:lang w:val="pt-BR"/>
        </w:rPr>
        <w:t>, obtendo-se:</w:t>
      </w:r>
      <w:r>
        <w:rPr>
          <w:lang w:val="pt-B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acc>
      </m:oMath>
      <w:r>
        <w:rPr>
          <w:lang w:val="pt-BR"/>
        </w:rPr>
        <w:t xml:space="preserve"> = 6,00 (s = 3,21) para o pré-teste e </w:t>
      </w:r>
      <m:oMath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acc>
      </m:oMath>
      <w:r>
        <w:rPr>
          <w:lang w:val="pt-BR"/>
        </w:rPr>
        <w:t xml:space="preserve"> = 8,54 (s = 2,25) para o pós-teste</w:t>
      </w:r>
      <w:r w:rsidR="00745D1C">
        <w:rPr>
          <w:lang w:val="pt-BR"/>
        </w:rPr>
        <w:t>, indicando um aumento médio de confiança na ordem de 42,35%</w:t>
      </w:r>
      <w:r>
        <w:rPr>
          <w:lang w:val="pt-BR"/>
        </w:rPr>
        <w:t>.</w:t>
      </w:r>
    </w:p>
    <w:p w:rsidR="00F412C1" w:rsidRDefault="00F412C1" w:rsidP="00F412C1">
      <w:pPr>
        <w:rPr>
          <w:lang w:val="pt-BR"/>
        </w:rPr>
      </w:pPr>
      <w:r>
        <w:rPr>
          <w:lang w:val="pt-BR"/>
        </w:rPr>
        <w:tab/>
        <w:t>Analisando os dados de maneira ma</w:t>
      </w:r>
      <w:r w:rsidR="00751F35">
        <w:rPr>
          <w:lang w:val="pt-BR"/>
        </w:rPr>
        <w:t>is aprofundada, foram verificada</w:t>
      </w:r>
      <w:r>
        <w:rPr>
          <w:lang w:val="pt-BR"/>
        </w:rPr>
        <w:t xml:space="preserve">s </w:t>
      </w:r>
      <w:r w:rsidR="00751F35">
        <w:rPr>
          <w:lang w:val="pt-BR"/>
        </w:rPr>
        <w:t>as seguintes informações</w:t>
      </w:r>
      <w:r>
        <w:rPr>
          <w:lang w:val="pt-BR"/>
        </w:rPr>
        <w:t>:</w:t>
      </w:r>
    </w:p>
    <w:p w:rsidR="00F412C1" w:rsidRPr="00F238B8" w:rsidRDefault="00F412C1" w:rsidP="00F412C1">
      <w:pPr>
        <w:pStyle w:val="PargrafodaLista"/>
        <w:numPr>
          <w:ilvl w:val="0"/>
          <w:numId w:val="23"/>
        </w:numPr>
        <w:spacing w:before="120"/>
        <w:ind w:left="567" w:hanging="283"/>
        <w:jc w:val="both"/>
        <w:rPr>
          <w:rFonts w:ascii="Times" w:hAnsi="Times" w:cs="Times"/>
          <w:sz w:val="24"/>
          <w:lang w:eastAsia="pt-BR"/>
        </w:rPr>
      </w:pPr>
      <w:r w:rsidRPr="00F238B8">
        <w:rPr>
          <w:rFonts w:ascii="Times" w:hAnsi="Times" w:cs="Times"/>
          <w:sz w:val="24"/>
          <w:lang w:eastAsia="pt-BR"/>
        </w:rPr>
        <w:t>50,47% dos participantes responderam corretamente uma mesma pergunta tanto no pré-teste quanto no pós-teste. Destes: 32,72% aumentaram sua confiança na resposta;</w:t>
      </w:r>
      <w:r>
        <w:rPr>
          <w:rFonts w:ascii="Times" w:hAnsi="Times" w:cs="Times"/>
          <w:sz w:val="24"/>
          <w:lang w:eastAsia="pt-BR"/>
        </w:rPr>
        <w:t xml:space="preserve"> 59,45</w:t>
      </w:r>
      <w:r w:rsidRPr="00F238B8">
        <w:rPr>
          <w:rFonts w:ascii="Times" w:hAnsi="Times" w:cs="Times"/>
          <w:sz w:val="24"/>
          <w:lang w:eastAsia="pt-BR"/>
        </w:rPr>
        <w:t>% mantiveram uma mesma confiança na resposta;</w:t>
      </w:r>
      <w:r>
        <w:rPr>
          <w:rFonts w:ascii="Times" w:hAnsi="Times" w:cs="Times"/>
          <w:sz w:val="24"/>
          <w:lang w:eastAsia="pt-BR"/>
        </w:rPr>
        <w:t xml:space="preserve"> e 7,83</w:t>
      </w:r>
      <w:r w:rsidRPr="00F238B8">
        <w:rPr>
          <w:rFonts w:ascii="Times" w:hAnsi="Times" w:cs="Times"/>
          <w:sz w:val="24"/>
          <w:lang w:eastAsia="pt-BR"/>
        </w:rPr>
        <w:t>% dimin</w:t>
      </w:r>
      <w:r>
        <w:rPr>
          <w:rFonts w:ascii="Times" w:hAnsi="Times" w:cs="Times"/>
          <w:sz w:val="24"/>
          <w:lang w:eastAsia="pt-BR"/>
        </w:rPr>
        <w:t>uíram sua confiança na resposta;</w:t>
      </w:r>
    </w:p>
    <w:p w:rsidR="00F412C1" w:rsidRDefault="00F412C1" w:rsidP="00F412C1">
      <w:pPr>
        <w:pStyle w:val="PargrafodaLista"/>
        <w:numPr>
          <w:ilvl w:val="0"/>
          <w:numId w:val="23"/>
        </w:numPr>
        <w:spacing w:before="120"/>
        <w:ind w:left="567" w:hanging="283"/>
        <w:jc w:val="both"/>
        <w:rPr>
          <w:rFonts w:ascii="Times" w:hAnsi="Times" w:cs="Times"/>
          <w:sz w:val="24"/>
          <w:lang w:eastAsia="pt-BR"/>
        </w:rPr>
      </w:pPr>
      <w:r w:rsidRPr="00F238B8">
        <w:rPr>
          <w:rFonts w:ascii="Times" w:hAnsi="Times" w:cs="Times"/>
          <w:sz w:val="24"/>
          <w:lang w:eastAsia="pt-BR"/>
        </w:rPr>
        <w:lastRenderedPageBreak/>
        <w:t xml:space="preserve">21,86% dos participantes erraram uma resposta no pré-teste, mas responderam corretamente no pós-teste. Destes: </w:t>
      </w:r>
      <w:r>
        <w:rPr>
          <w:rFonts w:ascii="Times" w:hAnsi="Times" w:cs="Times"/>
          <w:sz w:val="24"/>
          <w:lang w:eastAsia="pt-BR"/>
        </w:rPr>
        <w:t>8,51</w:t>
      </w:r>
      <w:r w:rsidRPr="00F238B8">
        <w:rPr>
          <w:rFonts w:ascii="Times" w:hAnsi="Times" w:cs="Times"/>
          <w:sz w:val="24"/>
          <w:lang w:eastAsia="pt-BR"/>
        </w:rPr>
        <w:t>% aumentaram sua confiança na resposta;</w:t>
      </w:r>
      <w:r>
        <w:rPr>
          <w:rFonts w:ascii="Times" w:hAnsi="Times" w:cs="Times"/>
          <w:sz w:val="24"/>
          <w:lang w:eastAsia="pt-BR"/>
        </w:rPr>
        <w:t xml:space="preserve"> 86,17</w:t>
      </w:r>
      <w:r w:rsidRPr="00F238B8">
        <w:rPr>
          <w:rFonts w:ascii="Times" w:hAnsi="Times" w:cs="Times"/>
          <w:sz w:val="24"/>
          <w:lang w:eastAsia="pt-BR"/>
        </w:rPr>
        <w:t>% mantiveram uma mesma confiança na resposta;</w:t>
      </w:r>
      <w:r>
        <w:rPr>
          <w:rFonts w:ascii="Times" w:hAnsi="Times" w:cs="Times"/>
          <w:sz w:val="24"/>
          <w:lang w:eastAsia="pt-BR"/>
        </w:rPr>
        <w:t xml:space="preserve"> 5,32</w:t>
      </w:r>
      <w:r w:rsidRPr="00F238B8">
        <w:rPr>
          <w:rFonts w:ascii="Times" w:hAnsi="Times" w:cs="Times"/>
          <w:sz w:val="24"/>
          <w:lang w:eastAsia="pt-BR"/>
        </w:rPr>
        <w:t>% dimin</w:t>
      </w:r>
      <w:r>
        <w:rPr>
          <w:rFonts w:ascii="Times" w:hAnsi="Times" w:cs="Times"/>
          <w:sz w:val="24"/>
          <w:lang w:eastAsia="pt-BR"/>
        </w:rPr>
        <w:t>uíram sua confiança na resposta;</w:t>
      </w:r>
    </w:p>
    <w:p w:rsidR="00F412C1" w:rsidRPr="00F412C1" w:rsidRDefault="00F412C1" w:rsidP="00F412C1">
      <w:pPr>
        <w:pStyle w:val="PargrafodaLista"/>
        <w:numPr>
          <w:ilvl w:val="0"/>
          <w:numId w:val="23"/>
        </w:numPr>
        <w:spacing w:before="120"/>
        <w:ind w:left="567" w:hanging="283"/>
        <w:jc w:val="both"/>
        <w:rPr>
          <w:rFonts w:ascii="Times" w:hAnsi="Times" w:cs="Times"/>
          <w:sz w:val="24"/>
          <w:lang w:eastAsia="pt-BR"/>
        </w:rPr>
      </w:pPr>
      <w:r w:rsidRPr="00F412C1">
        <w:rPr>
          <w:rFonts w:ascii="Times" w:hAnsi="Times" w:cs="Times"/>
          <w:sz w:val="24"/>
          <w:lang w:eastAsia="pt-BR"/>
        </w:rPr>
        <w:t>10,23% dos participantes responderam corretamente uma pergunta no pré-teste, mas erraram a resposta no pós-teste. Destes: 29,54% aumentaram sua confiança na resposta; 54,55% mantiveram uma mesma confiança na resposta; 15,91% diminuíram sua confiança na resposta.</w:t>
      </w:r>
    </w:p>
    <w:p w:rsidR="00B46744" w:rsidRDefault="00476963" w:rsidP="001339B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0675" cy="2720340"/>
            <wp:effectExtent l="19050" t="0" r="9525" b="0"/>
            <wp:docPr id="5" name="Imagem 4" descr="confianca-questo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anca-questoes-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44" w:rsidRPr="00F412C1" w:rsidRDefault="00B46744" w:rsidP="00F412C1">
      <w:pPr>
        <w:pStyle w:val="Legenda"/>
        <w:rPr>
          <w:lang w:val="pt-BR"/>
        </w:rPr>
      </w:pPr>
      <w:r>
        <w:rPr>
          <w:lang w:val="pt-BR"/>
        </w:rPr>
        <w:t>Figura</w:t>
      </w:r>
      <w:r w:rsidRPr="001339BE">
        <w:rPr>
          <w:lang w:val="pt-BR"/>
        </w:rPr>
        <w:t xml:space="preserve"> </w:t>
      </w:r>
      <w:r w:rsidR="001D7642">
        <w:rPr>
          <w:lang w:val="pt-BR"/>
        </w:rPr>
        <w:t>3</w:t>
      </w:r>
      <w:r w:rsidRPr="001339BE">
        <w:rPr>
          <w:lang w:val="pt-BR"/>
        </w:rPr>
        <w:t xml:space="preserve">. </w:t>
      </w:r>
      <w:r>
        <w:rPr>
          <w:lang w:val="pt-BR"/>
        </w:rPr>
        <w:t>Relação de confiança na resposta no pré-teste e pós-teste</w:t>
      </w:r>
    </w:p>
    <w:p w:rsidR="00F238B8" w:rsidRPr="00F238B8" w:rsidRDefault="005D32DA" w:rsidP="00F238B8">
      <w:pPr>
        <w:pStyle w:val="PargrafodaLista"/>
        <w:spacing w:before="120"/>
        <w:ind w:left="0" w:firstLine="709"/>
        <w:contextualSpacing w:val="0"/>
        <w:jc w:val="both"/>
        <w:rPr>
          <w:rFonts w:ascii="Times" w:hAnsi="Times" w:cs="Times"/>
          <w:sz w:val="24"/>
          <w:lang w:eastAsia="pt-BR"/>
        </w:rPr>
      </w:pPr>
      <w:r>
        <w:rPr>
          <w:rFonts w:ascii="Times" w:hAnsi="Times" w:cs="Times"/>
          <w:sz w:val="24"/>
          <w:lang w:eastAsia="pt-BR"/>
        </w:rPr>
        <w:t>Os</w:t>
      </w:r>
      <w:r w:rsidR="00141286">
        <w:rPr>
          <w:rFonts w:ascii="Times" w:hAnsi="Times" w:cs="Times"/>
          <w:sz w:val="24"/>
          <w:lang w:eastAsia="pt-BR"/>
        </w:rPr>
        <w:t xml:space="preserve"> dados </w:t>
      </w:r>
      <w:r>
        <w:rPr>
          <w:rFonts w:ascii="Times" w:hAnsi="Times" w:cs="Times"/>
          <w:sz w:val="24"/>
          <w:lang w:eastAsia="pt-BR"/>
        </w:rPr>
        <w:t>da confiança nas respostas</w:t>
      </w:r>
      <w:r w:rsidR="00141286">
        <w:rPr>
          <w:rFonts w:ascii="Times" w:hAnsi="Times" w:cs="Times"/>
          <w:sz w:val="24"/>
          <w:lang w:eastAsia="pt-BR"/>
        </w:rPr>
        <w:t xml:space="preserve"> ressaltam que</w:t>
      </w:r>
      <w:r>
        <w:rPr>
          <w:rFonts w:ascii="Times" w:hAnsi="Times" w:cs="Times"/>
          <w:sz w:val="24"/>
          <w:lang w:eastAsia="pt-BR"/>
        </w:rPr>
        <w:t>,</w:t>
      </w:r>
      <w:r w:rsidR="00141286">
        <w:rPr>
          <w:rFonts w:ascii="Times" w:hAnsi="Times" w:cs="Times"/>
          <w:sz w:val="24"/>
          <w:lang w:eastAsia="pt-BR"/>
        </w:rPr>
        <w:t xml:space="preserve"> na maioria dos casos</w:t>
      </w:r>
      <w:r>
        <w:rPr>
          <w:rFonts w:ascii="Times" w:hAnsi="Times" w:cs="Times"/>
          <w:sz w:val="24"/>
          <w:lang w:eastAsia="pt-BR"/>
        </w:rPr>
        <w:t>,</w:t>
      </w:r>
      <w:r w:rsidR="00141286">
        <w:rPr>
          <w:rFonts w:ascii="Times" w:hAnsi="Times" w:cs="Times"/>
          <w:sz w:val="24"/>
          <w:lang w:eastAsia="pt-BR"/>
        </w:rPr>
        <w:t xml:space="preserve"> a confiança dos participantes se manteve a mesma em diferentes situações. Em muitas vezes</w:t>
      </w:r>
      <w:proofErr w:type="gramStart"/>
      <w:r w:rsidR="00141286">
        <w:rPr>
          <w:rFonts w:ascii="Times" w:hAnsi="Times" w:cs="Times"/>
          <w:sz w:val="24"/>
          <w:lang w:eastAsia="pt-BR"/>
        </w:rPr>
        <w:t xml:space="preserve"> porém</w:t>
      </w:r>
      <w:proofErr w:type="gramEnd"/>
      <w:r w:rsidR="00141286">
        <w:rPr>
          <w:rFonts w:ascii="Times" w:hAnsi="Times" w:cs="Times"/>
          <w:sz w:val="24"/>
          <w:lang w:eastAsia="pt-BR"/>
        </w:rPr>
        <w:t xml:space="preserve">, a confiança dos participantes em uma dada resposta correta aumentou, indicando que o jogo pode ter ajudado na confiança sobre o tópico abordado. Por outro lado, percebeu-se que houve aumento de confiança mesmo em respostas erradas, o que pode indicar um </w:t>
      </w:r>
      <w:r>
        <w:rPr>
          <w:rFonts w:ascii="Times" w:hAnsi="Times" w:cs="Times"/>
          <w:sz w:val="24"/>
          <w:lang w:eastAsia="pt-BR"/>
        </w:rPr>
        <w:t>mau</w:t>
      </w:r>
      <w:r w:rsidR="00141286">
        <w:rPr>
          <w:rFonts w:ascii="Times" w:hAnsi="Times" w:cs="Times"/>
          <w:sz w:val="24"/>
          <w:lang w:eastAsia="pt-BR"/>
        </w:rPr>
        <w:t xml:space="preserve"> entendimento da informação apresentada, </w:t>
      </w:r>
      <w:r w:rsidR="00751F35">
        <w:rPr>
          <w:rFonts w:ascii="Times" w:hAnsi="Times" w:cs="Times"/>
          <w:sz w:val="24"/>
          <w:lang w:eastAsia="pt-BR"/>
        </w:rPr>
        <w:t>ressaltando</w:t>
      </w:r>
      <w:r w:rsidR="00141286">
        <w:rPr>
          <w:rFonts w:ascii="Times" w:hAnsi="Times" w:cs="Times"/>
          <w:sz w:val="24"/>
          <w:lang w:eastAsia="pt-BR"/>
        </w:rPr>
        <w:t xml:space="preserve"> a necessidade de atividades de reforço com um professor em sala de aula.</w:t>
      </w:r>
    </w:p>
    <w:p w:rsidR="000C48B6" w:rsidRPr="000C48B6" w:rsidRDefault="005D32DA" w:rsidP="000C48B6">
      <w:pPr>
        <w:pStyle w:val="Ttulo2"/>
        <w:rPr>
          <w:lang w:val="pt-BR"/>
        </w:rPr>
      </w:pPr>
      <w:r>
        <w:rPr>
          <w:lang w:val="pt-BR"/>
        </w:rPr>
        <w:t>4</w:t>
      </w:r>
      <w:r w:rsidR="000C48B6" w:rsidRPr="000C48B6">
        <w:rPr>
          <w:lang w:val="pt-BR"/>
        </w:rPr>
        <w:t>.</w:t>
      </w:r>
      <w:r w:rsidR="000C48B6">
        <w:rPr>
          <w:lang w:val="pt-BR"/>
        </w:rPr>
        <w:t>3</w:t>
      </w:r>
      <w:r w:rsidR="000C48B6" w:rsidRPr="000C48B6">
        <w:rPr>
          <w:lang w:val="pt-BR"/>
        </w:rPr>
        <w:t xml:space="preserve">. Relação entre </w:t>
      </w:r>
      <w:r w:rsidR="000C48B6">
        <w:rPr>
          <w:lang w:val="pt-BR"/>
        </w:rPr>
        <w:t>Nota</w:t>
      </w:r>
      <w:r w:rsidR="00C05083">
        <w:rPr>
          <w:lang w:val="pt-BR"/>
        </w:rPr>
        <w:t>s</w:t>
      </w:r>
      <w:r w:rsidR="000C48B6">
        <w:rPr>
          <w:lang w:val="pt-BR"/>
        </w:rPr>
        <w:t xml:space="preserve"> e o Jogo</w:t>
      </w:r>
    </w:p>
    <w:p w:rsidR="00B46744" w:rsidRDefault="00141286" w:rsidP="001339BE">
      <w:pPr>
        <w:rPr>
          <w:lang w:val="pt-BR"/>
        </w:rPr>
      </w:pPr>
      <w:r>
        <w:rPr>
          <w:lang w:val="pt-BR"/>
        </w:rPr>
        <w:t>Avaliou-se também a relação entre a nota no pós-teste e o desempenho no jogo (pontos conquistados</w:t>
      </w:r>
      <w:r w:rsidR="00C05083">
        <w:rPr>
          <w:lang w:val="pt-BR"/>
        </w:rPr>
        <w:t xml:space="preserve"> no jogo durante uma partida </w:t>
      </w:r>
      <w:proofErr w:type="gramStart"/>
      <w:r w:rsidR="00C05083">
        <w:rPr>
          <w:lang w:val="pt-BR"/>
        </w:rPr>
        <w:t>colaborativa</w:t>
      </w:r>
      <w:proofErr w:type="gramEnd"/>
      <w:r w:rsidR="00C05083">
        <w:rPr>
          <w:lang w:val="pt-BR"/>
        </w:rPr>
        <w:t>-competitiva</w:t>
      </w:r>
      <w:r>
        <w:rPr>
          <w:lang w:val="pt-BR"/>
        </w:rPr>
        <w:t>). Para isso, ela</w:t>
      </w:r>
      <w:r w:rsidR="00FF5A7D">
        <w:rPr>
          <w:lang w:val="pt-BR"/>
        </w:rPr>
        <w:t>borou-se o gráfico da Figura 4</w:t>
      </w:r>
      <w:r w:rsidR="00C05083">
        <w:rPr>
          <w:lang w:val="pt-BR"/>
        </w:rPr>
        <w:t xml:space="preserve"> que, além de apresentar os dados, também indica</w:t>
      </w:r>
      <w:r w:rsidR="00EB7183">
        <w:rPr>
          <w:lang w:val="pt-BR"/>
        </w:rPr>
        <w:t xml:space="preserve"> a que grupo de escolaridade </w:t>
      </w:r>
      <w:r w:rsidR="00C05083">
        <w:rPr>
          <w:lang w:val="pt-BR"/>
        </w:rPr>
        <w:t xml:space="preserve">cada </w:t>
      </w:r>
      <w:r w:rsidR="00EB7183">
        <w:rPr>
          <w:lang w:val="pt-BR"/>
        </w:rPr>
        <w:t>registro pertence.</w:t>
      </w:r>
      <w:r w:rsidR="00C05083">
        <w:rPr>
          <w:lang w:val="pt-BR"/>
        </w:rPr>
        <w:t xml:space="preserve"> A partir do gráfico é possível observar que existe uma correlação entre as variáveis, de tal modo que, em média, os jogadores que conquistaram maiores pontuações no jogo, obtiveram maiores notas no pós-teste.</w:t>
      </w:r>
    </w:p>
    <w:p w:rsidR="00F412C1" w:rsidRDefault="00F412C1" w:rsidP="001339BE">
      <w:pPr>
        <w:rPr>
          <w:lang w:val="pt-BR"/>
        </w:rPr>
      </w:pPr>
      <w:r>
        <w:rPr>
          <w:lang w:val="pt-BR"/>
        </w:rPr>
        <w:tab/>
        <w:t>A fim de obter valores quantitativos de correlação, foram calculados os valores de correlação linear (</w:t>
      </w:r>
      <m:oMath>
        <m:r>
          <w:rPr>
            <w:rFonts w:ascii="Cambria Math" w:hAnsi="Cambria Math"/>
            <w:lang w:val="pt-BR"/>
          </w:rPr>
          <m:t>r = 0,4162</m:t>
        </m:r>
      </m:oMath>
      <w:r>
        <w:rPr>
          <w:lang w:val="pt-BR"/>
        </w:rPr>
        <w:t xml:space="preserve">; </w:t>
      </w:r>
      <m:oMath>
        <m:r>
          <w:rPr>
            <w:rFonts w:ascii="Cambria Math" w:hAnsi="Cambria Math"/>
            <w:lang w:val="pt-BR"/>
          </w:rPr>
          <m:t>y = 0,0056x + 4,8814</m:t>
        </m:r>
      </m:oMath>
      <w:r>
        <w:rPr>
          <w:lang w:val="pt-BR"/>
        </w:rPr>
        <w:t>), correlação logarítmica</w:t>
      </w:r>
      <w:r>
        <w:rPr>
          <w:lang w:val="pt-BR"/>
        </w:rPr>
        <w:br/>
      </w:r>
      <w:proofErr w:type="gramStart"/>
      <w:r>
        <w:rPr>
          <w:lang w:val="pt-BR"/>
        </w:rPr>
        <w:t>(</w:t>
      </w:r>
      <w:proofErr w:type="gramEnd"/>
      <m:oMath>
        <m:r>
          <w:rPr>
            <w:rFonts w:ascii="Cambria Math" w:hAnsi="Cambria Math"/>
            <w:lang w:val="pt-BR"/>
          </w:rPr>
          <m:t>r = 0,4695</m:t>
        </m:r>
      </m:oMath>
      <w:r>
        <w:rPr>
          <w:lang w:val="pt-BR"/>
        </w:rPr>
        <w:t xml:space="preserve">; </w:t>
      </w:r>
      <m:oMath>
        <m:r>
          <w:rPr>
            <w:rFonts w:ascii="Cambria Math" w:hAnsi="Cambria Math"/>
            <w:lang w:val="pt-BR"/>
          </w:rPr>
          <m:t xml:space="preserve">y = 2,50171 </m:t>
        </m:r>
        <m:r>
          <w:rPr>
            <w:rFonts w:ascii="Cambria Math" w:hAnsi="Cambria Math" w:cs="Times"/>
            <w:lang w:val="pt-BR"/>
          </w:rPr>
          <m:t>×</m:t>
        </m:r>
        <m:r>
          <w:rPr>
            <w:rFonts w:ascii="Cambria Math" w:hAnsi="Cambria Math"/>
            <w:lang w:val="pt-BR"/>
          </w:rPr>
          <m:t xml:space="preserve"> ln(x)</m:t>
        </m:r>
      </m:oMath>
      <w:r>
        <w:rPr>
          <w:lang w:val="pt-BR"/>
        </w:rPr>
        <w:t>) e correlação exponencial (</w:t>
      </w:r>
      <m:oMath>
        <m:r>
          <w:rPr>
            <w:rFonts w:ascii="Cambria Math" w:hAnsi="Cambria Math"/>
            <w:lang w:val="pt-BR"/>
          </w:rPr>
          <m:t>r = 0,5135</m:t>
        </m:r>
      </m:oMath>
      <w:r>
        <w:rPr>
          <w:lang w:val="pt-BR"/>
        </w:rPr>
        <w:t>;</w:t>
      </w:r>
      <w:r>
        <w:rPr>
          <w:lang w:val="pt-BR"/>
        </w:rPr>
        <w:br/>
      </w:r>
      <m:oMath>
        <m:r>
          <w:rPr>
            <w:rFonts w:ascii="Cambria Math" w:hAnsi="Cambria Math"/>
            <w:lang w:val="pt-BR"/>
          </w:rPr>
          <m:t xml:space="preserve">y = 0,5366 </m:t>
        </m:r>
        <m:r>
          <w:rPr>
            <w:rFonts w:ascii="Cambria Math" w:hAnsi="Cambria Math" w:cs="Times"/>
            <w:lang w:val="pt-BR"/>
          </w:rPr>
          <m:t>×</m:t>
        </m:r>
        <m:r>
          <w:rPr>
            <w:rFonts w:ascii="Cambria Math" w:hAnsi="Cambria Math"/>
            <w:lang w:val="pt-B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  <w:lang w:val="pt-BR"/>
              </w:rPr>
              <m:t>0,4291</m:t>
            </m:r>
          </m:sup>
        </m:sSup>
      </m:oMath>
      <w:r>
        <w:rPr>
          <w:lang w:val="pt-BR"/>
        </w:rPr>
        <w:t>). Os valores calculados para o modelo linear e logarítmico indicam uma correlação fraca (</w:t>
      </w:r>
      <m:oMath>
        <m:r>
          <w:rPr>
            <w:rFonts w:ascii="Cambria Math" w:hAnsi="Cambria Math"/>
            <w:lang w:val="pt-BR"/>
          </w:rPr>
          <m:t>|r| &lt; 0,5</m:t>
        </m:r>
      </m:oMath>
      <w:r>
        <w:rPr>
          <w:lang w:val="pt-BR"/>
        </w:rPr>
        <w:t>) entre a pontuação em jogo e a nota obtida no pós-teste, ao passo que, o valor da correlação exponencial indica uma correlação moderada (</w:t>
      </w:r>
      <m:oMath>
        <m:r>
          <w:rPr>
            <w:rFonts w:ascii="Cambria Math" w:hAnsi="Cambria Math"/>
            <w:lang w:val="pt-BR"/>
          </w:rPr>
          <m:t>0,5≤|r|&lt; 0,7</m:t>
        </m:r>
      </m:oMath>
      <w:r>
        <w:rPr>
          <w:lang w:val="pt-BR"/>
        </w:rPr>
        <w:t xml:space="preserve">) entre estas variáveis. Como o modelo exponencial explica </w:t>
      </w:r>
      <w:r>
        <w:rPr>
          <w:lang w:val="pt-BR"/>
        </w:rPr>
        <w:lastRenderedPageBreak/>
        <w:t xml:space="preserve">melhor a correlação, adicionou-se uma linha </w:t>
      </w:r>
      <w:r w:rsidR="001D7642">
        <w:rPr>
          <w:lang w:val="pt-BR"/>
        </w:rPr>
        <w:t>tracejada no gráfico da Figura 4</w:t>
      </w:r>
      <w:r>
        <w:rPr>
          <w:lang w:val="pt-BR"/>
        </w:rPr>
        <w:t xml:space="preserve"> que indica a linha dessa tendência.</w:t>
      </w:r>
    </w:p>
    <w:p w:rsidR="00B46744" w:rsidRDefault="004C1478" w:rsidP="001339B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1310" cy="2722245"/>
            <wp:effectExtent l="0" t="0" r="8890" b="1905"/>
            <wp:docPr id="3" name="Imagem 3" descr="pontuacao-n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ntuacao-nota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744" w:rsidRPr="00B46744" w:rsidRDefault="00B46744" w:rsidP="00B46744">
      <w:pPr>
        <w:pStyle w:val="Legenda"/>
        <w:rPr>
          <w:lang w:val="pt-BR"/>
        </w:rPr>
      </w:pPr>
      <w:r w:rsidRPr="00B46744">
        <w:rPr>
          <w:lang w:val="pt-BR"/>
        </w:rPr>
        <w:t xml:space="preserve">Figura </w:t>
      </w:r>
      <w:r w:rsidR="001D7642">
        <w:rPr>
          <w:lang w:val="pt-BR"/>
        </w:rPr>
        <w:t>4</w:t>
      </w:r>
      <w:r w:rsidRPr="00B46744">
        <w:rPr>
          <w:lang w:val="pt-BR"/>
        </w:rPr>
        <w:t>. Relação entre pontuação obtida no jogo e nota no pós-teste</w:t>
      </w:r>
    </w:p>
    <w:p w:rsidR="00FE0337" w:rsidRPr="00FE0337" w:rsidRDefault="00FE0337" w:rsidP="00FE0337">
      <w:pPr>
        <w:rPr>
          <w:lang w:val="pt-BR"/>
        </w:rPr>
      </w:pPr>
      <w:r>
        <w:rPr>
          <w:lang w:val="pt-BR"/>
        </w:rPr>
        <w:tab/>
      </w:r>
      <w:r w:rsidR="008C7D2B">
        <w:rPr>
          <w:lang w:val="pt-BR"/>
        </w:rPr>
        <w:tab/>
        <w:t>Como o modelo exponencial indicou uma correção moderada entre a pontuação obtida em jogo e a nota obtida no pós-teste, argumenta-se que seria possível utilizar o próprio jogo como ferramenta de aprendizagem e avaliação de aprendizagem sobre dengue. U</w:t>
      </w:r>
      <w:r w:rsidR="00533BD1">
        <w:rPr>
          <w:lang w:val="pt-BR"/>
        </w:rPr>
        <w:t>ma vez que</w:t>
      </w:r>
      <w:r w:rsidR="008C7D2B">
        <w:rPr>
          <w:lang w:val="pt-BR"/>
        </w:rPr>
        <w:t xml:space="preserve"> os jogadores que conquistarem maiores pontuações</w:t>
      </w:r>
      <w:r w:rsidR="00533BD1">
        <w:rPr>
          <w:lang w:val="pt-BR"/>
        </w:rPr>
        <w:t xml:space="preserve"> durante o jogo</w:t>
      </w:r>
      <w:r w:rsidR="008C7D2B">
        <w:rPr>
          <w:lang w:val="pt-BR"/>
        </w:rPr>
        <w:t xml:space="preserve">, supostamente acertariam mais respostas em uma avaliação sobre dengue com o mesmo conteúdo, seria possível substituir a nota de uma prova escrita por uma nota </w:t>
      </w:r>
      <w:r w:rsidR="00533BD1">
        <w:rPr>
          <w:lang w:val="pt-BR"/>
        </w:rPr>
        <w:t>relacionada</w:t>
      </w:r>
      <w:r w:rsidR="008C7D2B">
        <w:rPr>
          <w:lang w:val="pt-BR"/>
        </w:rPr>
        <w:t xml:space="preserve"> à pontuação obtida durante uma partida do </w:t>
      </w:r>
      <w:r w:rsidR="00533BD1">
        <w:rPr>
          <w:lang w:val="pt-BR"/>
        </w:rPr>
        <w:t>jogo</w:t>
      </w:r>
      <w:r w:rsidR="008C7D2B">
        <w:rPr>
          <w:lang w:val="pt-BR"/>
        </w:rPr>
        <w:t>.</w:t>
      </w:r>
    </w:p>
    <w:p w:rsidR="00EC49FE" w:rsidRPr="00B46744" w:rsidRDefault="00476963" w:rsidP="00603861">
      <w:pPr>
        <w:pStyle w:val="Ttulo1"/>
        <w:rPr>
          <w:lang w:val="pt-BR"/>
        </w:rPr>
      </w:pPr>
      <w:r>
        <w:rPr>
          <w:lang w:val="pt-BR"/>
        </w:rPr>
        <w:t>5</w:t>
      </w:r>
      <w:r w:rsidR="00EC49FE" w:rsidRPr="00B46744">
        <w:rPr>
          <w:lang w:val="pt-BR"/>
        </w:rPr>
        <w:t xml:space="preserve">. </w:t>
      </w:r>
      <w:r w:rsidR="002A555F" w:rsidRPr="00B46744">
        <w:rPr>
          <w:lang w:val="pt-BR"/>
        </w:rPr>
        <w:t>Conclusões</w:t>
      </w:r>
    </w:p>
    <w:p w:rsidR="00EC49FE" w:rsidRDefault="0047271E">
      <w:pPr>
        <w:rPr>
          <w:lang w:val="pt-BR"/>
        </w:rPr>
      </w:pPr>
      <w:r w:rsidRPr="0047271E">
        <w:rPr>
          <w:lang w:val="pt-BR"/>
        </w:rPr>
        <w:t xml:space="preserve">A mortalidade relacionada </w:t>
      </w:r>
      <w:r w:rsidR="00A4290F" w:rsidRPr="0047271E">
        <w:rPr>
          <w:lang w:val="pt-BR"/>
        </w:rPr>
        <w:t>à</w:t>
      </w:r>
      <w:r w:rsidRPr="0047271E">
        <w:rPr>
          <w:lang w:val="pt-BR"/>
        </w:rPr>
        <w:t xml:space="preserve"> </w:t>
      </w:r>
      <w:proofErr w:type="gramStart"/>
      <w:r w:rsidRPr="0047271E">
        <w:rPr>
          <w:lang w:val="pt-BR"/>
        </w:rPr>
        <w:t>dengue conti</w:t>
      </w:r>
      <w:r>
        <w:rPr>
          <w:lang w:val="pt-BR"/>
        </w:rPr>
        <w:t>nua</w:t>
      </w:r>
      <w:proofErr w:type="gramEnd"/>
      <w:r>
        <w:rPr>
          <w:lang w:val="pt-BR"/>
        </w:rPr>
        <w:t xml:space="preserve"> a crescer. Enquanto que uma vacina de imunização não for desenvolvida, devem-se adotar medidas de prevenção e combate ao mosquito transmissor da doença. Para conscientizar as crianças e adolescentes da nova geração, uma alternativa que tem apresentado resultados positivos é a utilização de</w:t>
      </w:r>
      <w:r w:rsidR="005D32DA">
        <w:rPr>
          <w:lang w:val="pt-BR"/>
        </w:rPr>
        <w:t xml:space="preserve"> j</w:t>
      </w:r>
      <w:r>
        <w:rPr>
          <w:lang w:val="pt-BR"/>
        </w:rPr>
        <w:t>ogos</w:t>
      </w:r>
      <w:r w:rsidR="005D32DA">
        <w:rPr>
          <w:lang w:val="pt-BR"/>
        </w:rPr>
        <w:t>, e p</w:t>
      </w:r>
      <w:r w:rsidR="003244CF">
        <w:rPr>
          <w:lang w:val="pt-BR"/>
        </w:rPr>
        <w:t xml:space="preserve">esquisas recentes têm indicado que o modo de interação colaborativo e competitivo, juntos, </w:t>
      </w:r>
      <w:r w:rsidR="00FD3DF9">
        <w:rPr>
          <w:lang w:val="pt-BR"/>
        </w:rPr>
        <w:t xml:space="preserve">em atividades diversas, </w:t>
      </w:r>
      <w:r w:rsidR="003244CF">
        <w:rPr>
          <w:lang w:val="pt-BR"/>
        </w:rPr>
        <w:t>pode promover maior aprendizado</w:t>
      </w:r>
      <w:r w:rsidR="00FD3DF9">
        <w:rPr>
          <w:lang w:val="pt-BR"/>
        </w:rPr>
        <w:t>.</w:t>
      </w:r>
    </w:p>
    <w:p w:rsidR="00293377" w:rsidRDefault="00FD3DF9">
      <w:pPr>
        <w:rPr>
          <w:lang w:val="pt-BR"/>
        </w:rPr>
      </w:pPr>
      <w:r>
        <w:rPr>
          <w:lang w:val="pt-BR"/>
        </w:rPr>
        <w:tab/>
        <w:t>A fim de verificar se um Jogo Sério Colaborativo-Competitivo</w:t>
      </w:r>
      <w:r w:rsidR="00A6622F">
        <w:rPr>
          <w:lang w:val="pt-BR"/>
        </w:rPr>
        <w:t xml:space="preserve"> (JSCC)</w:t>
      </w:r>
      <w:r>
        <w:rPr>
          <w:lang w:val="pt-BR"/>
        </w:rPr>
        <w:t xml:space="preserve"> sobre dengue pode realmente ser eficaz na aprendizagem des</w:t>
      </w:r>
      <w:r w:rsidR="005D32DA">
        <w:rPr>
          <w:lang w:val="pt-BR"/>
        </w:rPr>
        <w:t xml:space="preserve">te assunto, foi desenvolvido o </w:t>
      </w:r>
      <w:r w:rsidR="001B719C" w:rsidRPr="001B719C">
        <w:rPr>
          <w:lang w:val="pt-BR"/>
        </w:rPr>
        <w:t xml:space="preserve">Sherlock Dengue </w:t>
      </w:r>
      <w:proofErr w:type="gramStart"/>
      <w:r w:rsidR="001B719C" w:rsidRPr="001B719C">
        <w:rPr>
          <w:lang w:val="pt-BR"/>
        </w:rPr>
        <w:t>8</w:t>
      </w:r>
      <w:proofErr w:type="gramEnd"/>
      <w:r w:rsidR="001B719C" w:rsidRPr="001B719C">
        <w:rPr>
          <w:lang w:val="pt-BR"/>
        </w:rPr>
        <w:t xml:space="preserve"> </w:t>
      </w:r>
      <w:r w:rsidR="001B719C" w:rsidRPr="001B719C">
        <w:rPr>
          <w:i/>
          <w:lang w:val="pt-BR"/>
        </w:rPr>
        <w:t xml:space="preserve">The </w:t>
      </w:r>
      <w:proofErr w:type="spellStart"/>
      <w:r w:rsidR="001B719C" w:rsidRPr="001B719C">
        <w:rPr>
          <w:i/>
          <w:lang w:val="pt-BR"/>
        </w:rPr>
        <w:t>Neighborhood</w:t>
      </w:r>
      <w:proofErr w:type="spellEnd"/>
      <w:r w:rsidR="005D32DA">
        <w:rPr>
          <w:lang w:val="pt-BR"/>
        </w:rPr>
        <w:t>.</w:t>
      </w:r>
      <w:r>
        <w:rPr>
          <w:lang w:val="pt-BR"/>
        </w:rPr>
        <w:t xml:space="preserve"> A eficácia do jogo no aprendizado sobre a dengue</w:t>
      </w:r>
      <w:r w:rsidR="00293377">
        <w:rPr>
          <w:lang w:val="pt-BR"/>
        </w:rPr>
        <w:t xml:space="preserve"> </w:t>
      </w:r>
      <w:r w:rsidR="001B719C">
        <w:rPr>
          <w:lang w:val="pt-BR"/>
        </w:rPr>
        <w:t xml:space="preserve">para crianças e adolescentes </w:t>
      </w:r>
      <w:r w:rsidR="00293377">
        <w:rPr>
          <w:lang w:val="pt-BR"/>
        </w:rPr>
        <w:t>foi aval</w:t>
      </w:r>
      <w:r w:rsidR="001B719C">
        <w:rPr>
          <w:lang w:val="pt-BR"/>
        </w:rPr>
        <w:t>iada através de um questionário,</w:t>
      </w:r>
      <w:r w:rsidR="00293377">
        <w:rPr>
          <w:lang w:val="pt-BR"/>
        </w:rPr>
        <w:t xml:space="preserve"> </w:t>
      </w:r>
      <w:r w:rsidR="001B719C">
        <w:rPr>
          <w:lang w:val="pt-BR"/>
        </w:rPr>
        <w:t xml:space="preserve">que foi </w:t>
      </w:r>
      <w:r w:rsidR="00293377">
        <w:rPr>
          <w:lang w:val="pt-BR"/>
        </w:rPr>
        <w:t>utilizado para verificar o nível de conhecimento</w:t>
      </w:r>
      <w:r w:rsidR="001B719C">
        <w:rPr>
          <w:lang w:val="pt-BR"/>
        </w:rPr>
        <w:t xml:space="preserve"> e </w:t>
      </w:r>
      <w:r w:rsidR="00293377">
        <w:rPr>
          <w:lang w:val="pt-BR"/>
        </w:rPr>
        <w:t>confiança nas respostas, antes e após o uso do jogo. Obteve-se aumento de 19,16% nas notas da</w:t>
      </w:r>
      <w:r w:rsidR="00F412C1">
        <w:rPr>
          <w:lang w:val="pt-BR"/>
        </w:rPr>
        <w:t>s avaliações de conhecimento e 42,33</w:t>
      </w:r>
      <w:r w:rsidR="00293377">
        <w:rPr>
          <w:lang w:val="pt-BR"/>
        </w:rPr>
        <w:t>% na confiança de que as respostas assinaladas estavam corretas.</w:t>
      </w:r>
    </w:p>
    <w:p w:rsidR="00FD3DF9" w:rsidRPr="0047271E" w:rsidRDefault="00F412C1">
      <w:pPr>
        <w:rPr>
          <w:lang w:val="pt-BR"/>
        </w:rPr>
      </w:pPr>
      <w:r>
        <w:rPr>
          <w:lang w:val="pt-BR"/>
        </w:rPr>
        <w:tab/>
      </w:r>
      <w:r w:rsidR="00FD3DF9">
        <w:rPr>
          <w:lang w:val="pt-BR"/>
        </w:rPr>
        <w:t>Com bas</w:t>
      </w:r>
      <w:r w:rsidR="001B719C">
        <w:rPr>
          <w:lang w:val="pt-BR"/>
        </w:rPr>
        <w:t>e nos resultados obtidos com</w:t>
      </w:r>
      <w:r w:rsidR="00FD3DF9">
        <w:rPr>
          <w:lang w:val="pt-BR"/>
        </w:rPr>
        <w:t xml:space="preserve"> uma amostra de 43 pessoas, é possível sugerir que o </w:t>
      </w:r>
      <w:r w:rsidR="00A6622F">
        <w:rPr>
          <w:lang w:val="pt-BR"/>
        </w:rPr>
        <w:t>JSCC</w:t>
      </w:r>
      <w:r w:rsidR="00FD3DF9">
        <w:rPr>
          <w:lang w:val="pt-BR"/>
        </w:rPr>
        <w:t xml:space="preserve"> construído realmente auxilia no processo de aprendizado sobre dengue, aumentando o nível de conhecimento e a confiança no assunto. Inclusive, encontrou-se uma correlação exponencial moderada (</w:t>
      </w:r>
      <m:oMath>
        <m:r>
          <w:rPr>
            <w:rFonts w:ascii="Cambria Math" w:hAnsi="Cambria Math"/>
            <w:lang w:val="pt-BR"/>
          </w:rPr>
          <m:t>r = 0,5135</m:t>
        </m:r>
      </m:oMath>
      <w:r w:rsidR="00FD3DF9">
        <w:rPr>
          <w:lang w:val="pt-BR"/>
        </w:rPr>
        <w:t>) entre a pontuação obtida em jogo e a nota obtida no questionário de conhecimento, após o uso do jogo.</w:t>
      </w:r>
      <w:r w:rsidR="00A4290F">
        <w:rPr>
          <w:lang w:val="pt-BR"/>
        </w:rPr>
        <w:t xml:space="preserve"> </w:t>
      </w:r>
      <w:r w:rsidR="00A4290F">
        <w:rPr>
          <w:lang w:val="pt-BR"/>
        </w:rPr>
        <w:lastRenderedPageBreak/>
        <w:t>Deve-se ressaltar</w:t>
      </w:r>
      <w:proofErr w:type="gramStart"/>
      <w:r w:rsidR="00A4290F">
        <w:rPr>
          <w:lang w:val="pt-BR"/>
        </w:rPr>
        <w:t xml:space="preserve"> contudo</w:t>
      </w:r>
      <w:proofErr w:type="gramEnd"/>
      <w:r w:rsidR="00A4290F">
        <w:rPr>
          <w:lang w:val="pt-BR"/>
        </w:rPr>
        <w:t>, a importância da presença do professor e de atividades complementares para reforçar e confirmar o conhecimento adquirido com o uso do jogo.</w:t>
      </w:r>
    </w:p>
    <w:p w:rsidR="008C7D2B" w:rsidRPr="000D2DEE" w:rsidRDefault="008C7D2B" w:rsidP="008C7D2B">
      <w:pPr>
        <w:pStyle w:val="Ttulo1"/>
        <w:rPr>
          <w:lang w:val="pt-BR"/>
        </w:rPr>
      </w:pPr>
      <w:bookmarkStart w:id="0" w:name="_GoBack"/>
      <w:r>
        <w:rPr>
          <w:lang w:val="pt-BR"/>
        </w:rPr>
        <w:t>Agradecimentos</w:t>
      </w:r>
    </w:p>
    <w:p w:rsidR="008C7D2B" w:rsidRPr="00293377" w:rsidRDefault="008C7D2B">
      <w:pPr>
        <w:rPr>
          <w:lang w:val="pt-BR"/>
        </w:rPr>
      </w:pPr>
      <w:r w:rsidRPr="008C7D2B">
        <w:rPr>
          <w:lang w:val="pt-BR"/>
        </w:rPr>
        <w:t xml:space="preserve">Os autores gostariam de agradecer </w:t>
      </w:r>
      <w:r>
        <w:rPr>
          <w:lang w:val="pt-BR"/>
        </w:rPr>
        <w:t xml:space="preserve">à </w:t>
      </w:r>
      <w:r w:rsidRPr="001B719C">
        <w:rPr>
          <w:lang w:val="pt-BR"/>
        </w:rPr>
        <w:t xml:space="preserve">Universidade </w:t>
      </w:r>
      <w:r w:rsidR="001B719C" w:rsidRPr="001B719C">
        <w:rPr>
          <w:lang w:val="pt-BR"/>
        </w:rPr>
        <w:t>do Estado de Santa Catarina</w:t>
      </w:r>
      <w:r>
        <w:rPr>
          <w:lang w:val="pt-BR"/>
        </w:rPr>
        <w:t xml:space="preserve"> pela bolsa de estudos </w:t>
      </w:r>
      <w:r w:rsidR="00A4290F">
        <w:rPr>
          <w:lang w:val="pt-BR"/>
        </w:rPr>
        <w:t>(</w:t>
      </w:r>
      <w:r w:rsidR="001B719C" w:rsidRPr="001B719C">
        <w:rPr>
          <w:lang w:val="pt-BR"/>
        </w:rPr>
        <w:t>PROMOP</w:t>
      </w:r>
      <w:r w:rsidR="00A4290F">
        <w:rPr>
          <w:lang w:val="pt-BR"/>
        </w:rPr>
        <w:t>)</w:t>
      </w:r>
      <w:r w:rsidR="00F22388">
        <w:rPr>
          <w:lang w:val="pt-BR"/>
        </w:rPr>
        <w:t xml:space="preserve"> concedida</w:t>
      </w:r>
      <w:r w:rsidR="00AB47AA">
        <w:rPr>
          <w:lang w:val="pt-BR"/>
        </w:rPr>
        <w:t>, à FITEJ</w:t>
      </w:r>
      <w:r w:rsidR="00F22388">
        <w:rPr>
          <w:lang w:val="pt-BR"/>
        </w:rPr>
        <w:t xml:space="preserve"> e à</w:t>
      </w:r>
      <w:r w:rsidR="00293377">
        <w:rPr>
          <w:lang w:val="pt-BR"/>
        </w:rPr>
        <w:t xml:space="preserve"> Secretaria de Saúde de </w:t>
      </w:r>
      <w:r w:rsidR="001B719C" w:rsidRPr="001B719C">
        <w:rPr>
          <w:lang w:val="pt-BR"/>
        </w:rPr>
        <w:t>Joinville</w:t>
      </w:r>
      <w:r w:rsidR="00293377">
        <w:rPr>
          <w:lang w:val="pt-BR"/>
        </w:rPr>
        <w:t>.</w:t>
      </w:r>
    </w:p>
    <w:bookmarkEnd w:id="0"/>
    <w:p w:rsidR="002A555F" w:rsidRPr="000D2DEE" w:rsidRDefault="00B46744" w:rsidP="008C7D2B">
      <w:pPr>
        <w:pStyle w:val="Ttulo1"/>
        <w:rPr>
          <w:lang w:val="pt-BR"/>
        </w:rPr>
      </w:pPr>
      <w:r w:rsidRPr="000D2DEE">
        <w:rPr>
          <w:lang w:val="pt-BR"/>
        </w:rPr>
        <w:t>Referências</w:t>
      </w:r>
    </w:p>
    <w:p w:rsidR="003E3C05" w:rsidRDefault="001B719C" w:rsidP="00356C75">
      <w:pPr>
        <w:pStyle w:val="Reference"/>
        <w:rPr>
          <w:lang w:val="pt-BR"/>
        </w:rPr>
      </w:pPr>
      <w:proofErr w:type="spellStart"/>
      <w:r w:rsidRPr="001B719C">
        <w:rPr>
          <w:lang w:val="pt-BR"/>
        </w:rPr>
        <w:t>Buchinger</w:t>
      </w:r>
      <w:proofErr w:type="spellEnd"/>
      <w:r w:rsidRPr="001B719C">
        <w:rPr>
          <w:lang w:val="pt-BR"/>
        </w:rPr>
        <w:t xml:space="preserve">, </w:t>
      </w:r>
      <w:proofErr w:type="gramStart"/>
      <w:r w:rsidRPr="001B719C">
        <w:rPr>
          <w:lang w:val="pt-BR"/>
        </w:rPr>
        <w:t>D.</w:t>
      </w:r>
      <w:proofErr w:type="gramEnd"/>
      <w:r w:rsidRPr="001B719C">
        <w:rPr>
          <w:lang w:val="pt-BR"/>
        </w:rPr>
        <w:t xml:space="preserve">, </w:t>
      </w:r>
      <w:proofErr w:type="spellStart"/>
      <w:r w:rsidRPr="001B719C">
        <w:rPr>
          <w:lang w:val="pt-BR"/>
        </w:rPr>
        <w:t>Hounsell</w:t>
      </w:r>
      <w:proofErr w:type="spellEnd"/>
      <w:r w:rsidRPr="001B719C">
        <w:rPr>
          <w:lang w:val="pt-BR"/>
        </w:rPr>
        <w:t>, M. S</w:t>
      </w:r>
      <w:r w:rsidR="003E3C05" w:rsidRPr="001B719C">
        <w:rPr>
          <w:lang w:val="pt-BR"/>
        </w:rPr>
        <w:t>. (</w:t>
      </w:r>
      <w:r w:rsidRPr="001B719C">
        <w:rPr>
          <w:lang w:val="pt-BR"/>
        </w:rPr>
        <w:t>2013</w:t>
      </w:r>
      <w:r w:rsidR="003E3C05" w:rsidRPr="001B719C">
        <w:rPr>
          <w:lang w:val="pt-BR"/>
        </w:rPr>
        <w:t xml:space="preserve">) </w:t>
      </w:r>
      <w:r w:rsidRPr="001B719C">
        <w:rPr>
          <w:lang w:val="pt-BR"/>
        </w:rPr>
        <w:t>Jogos Sérios Competitivo-Colaborativos: Um Mapeamento Sistem</w:t>
      </w:r>
      <w:r>
        <w:rPr>
          <w:lang w:val="pt-BR"/>
        </w:rPr>
        <w:t>ático da Literatura</w:t>
      </w:r>
      <w:r w:rsidR="003E3C05" w:rsidRPr="001B719C">
        <w:rPr>
          <w:lang w:val="pt-BR"/>
        </w:rPr>
        <w:t xml:space="preserve">. </w:t>
      </w:r>
      <w:r w:rsidR="007939E6">
        <w:rPr>
          <w:lang w:val="pt-BR"/>
        </w:rPr>
        <w:t xml:space="preserve">In: </w:t>
      </w:r>
      <w:r w:rsidRPr="00A6622F">
        <w:rPr>
          <w:i/>
          <w:lang w:val="pt-BR"/>
        </w:rPr>
        <w:t>XXIV</w:t>
      </w:r>
      <w:r w:rsidR="003E3C05" w:rsidRPr="00A6622F">
        <w:rPr>
          <w:i/>
          <w:lang w:val="pt-BR"/>
        </w:rPr>
        <w:t xml:space="preserve"> Simpósio Brasileiro de Inform</w:t>
      </w:r>
      <w:r w:rsidR="00782F39" w:rsidRPr="00A6622F">
        <w:rPr>
          <w:i/>
          <w:lang w:val="pt-BR"/>
        </w:rPr>
        <w:t>ática na Educação – SBIE</w:t>
      </w:r>
      <w:r w:rsidR="00782F39">
        <w:rPr>
          <w:lang w:val="pt-BR"/>
        </w:rPr>
        <w:t>, p.</w:t>
      </w:r>
      <w:r>
        <w:rPr>
          <w:lang w:val="pt-BR"/>
        </w:rPr>
        <w:t xml:space="preserve"> 275</w:t>
      </w:r>
      <w:r>
        <w:rPr>
          <w:lang w:val="pt-BR" w:eastAsia="en-US"/>
        </w:rPr>
        <w:t>-284</w:t>
      </w:r>
      <w:r w:rsidR="003E3C05">
        <w:rPr>
          <w:lang w:val="pt-BR"/>
        </w:rPr>
        <w:t>.</w:t>
      </w:r>
    </w:p>
    <w:p w:rsidR="00782F39" w:rsidRDefault="001B719C" w:rsidP="00356C75">
      <w:pPr>
        <w:pStyle w:val="Reference"/>
        <w:rPr>
          <w:lang w:val="pt-BR"/>
        </w:rPr>
      </w:pPr>
      <w:proofErr w:type="spellStart"/>
      <w:r w:rsidRPr="000C4614">
        <w:t>Buchinger</w:t>
      </w:r>
      <w:proofErr w:type="spellEnd"/>
      <w:r w:rsidRPr="000C4614">
        <w:t xml:space="preserve">, D., </w:t>
      </w:r>
      <w:proofErr w:type="spellStart"/>
      <w:r w:rsidRPr="000C4614">
        <w:t>Hounsell</w:t>
      </w:r>
      <w:proofErr w:type="spellEnd"/>
      <w:r w:rsidRPr="000C4614">
        <w:t>, M. S</w:t>
      </w:r>
      <w:r w:rsidR="00782F39" w:rsidRPr="000C4614">
        <w:t>. (</w:t>
      </w:r>
      <w:r w:rsidR="000C4614" w:rsidRPr="000C4614">
        <w:t>2014</w:t>
      </w:r>
      <w:r w:rsidR="00782F39" w:rsidRPr="000C4614">
        <w:t xml:space="preserve">) </w:t>
      </w:r>
      <w:r w:rsidR="000C4614">
        <w:t>Sherlock Dengue 8: A Serious Game for Teaching about Dengue Fever Prevention with Collaboration and Competition</w:t>
      </w:r>
      <w:r w:rsidR="00782F39" w:rsidRPr="000C4614">
        <w:t xml:space="preserve">. </w:t>
      </w:r>
      <w:r w:rsidR="007939E6" w:rsidRPr="007939E6">
        <w:rPr>
          <w:lang w:val="pt-BR"/>
        </w:rPr>
        <w:t xml:space="preserve">In: </w:t>
      </w:r>
      <w:r w:rsidR="000C4614" w:rsidRPr="00A6622F">
        <w:rPr>
          <w:i/>
          <w:lang w:val="pt-BR"/>
        </w:rPr>
        <w:t>XIII</w:t>
      </w:r>
      <w:r w:rsidR="00782F39" w:rsidRPr="00A6622F">
        <w:rPr>
          <w:i/>
          <w:lang w:val="pt-BR"/>
        </w:rPr>
        <w:t xml:space="preserve"> Simpósio Brasileiro de Jogos e Entretenimento Digital – SBGAMES</w:t>
      </w:r>
      <w:r w:rsidR="00782F39">
        <w:rPr>
          <w:lang w:val="pt-BR"/>
        </w:rPr>
        <w:t xml:space="preserve">, </w:t>
      </w:r>
      <w:r w:rsidR="007939E6">
        <w:rPr>
          <w:lang w:val="pt-BR"/>
        </w:rPr>
        <w:t xml:space="preserve">Trilha de Cultura, </w:t>
      </w:r>
      <w:r w:rsidR="00782F39">
        <w:rPr>
          <w:lang w:val="pt-BR"/>
        </w:rPr>
        <w:t xml:space="preserve">p. </w:t>
      </w:r>
      <w:r w:rsidR="000C4614">
        <w:rPr>
          <w:lang w:val="pt-BR"/>
        </w:rPr>
        <w:t>400-409</w:t>
      </w:r>
      <w:r w:rsidR="00782F39">
        <w:rPr>
          <w:lang w:val="pt-BR"/>
        </w:rPr>
        <w:t>.</w:t>
      </w:r>
    </w:p>
    <w:p w:rsidR="00EA7481" w:rsidRPr="00356C75" w:rsidRDefault="00EA7481" w:rsidP="0025722C">
      <w:pPr>
        <w:pStyle w:val="Reference"/>
      </w:pPr>
      <w:r w:rsidRPr="00A6622F">
        <w:t>F</w:t>
      </w:r>
      <w:r w:rsidR="00356C75" w:rsidRPr="00A6622F">
        <w:t>ong-Ling, F.,</w:t>
      </w:r>
      <w:r w:rsidRPr="00A6622F">
        <w:t xml:space="preserve"> </w:t>
      </w:r>
      <w:proofErr w:type="spellStart"/>
      <w:r w:rsidRPr="00A6622F">
        <w:t>Y</w:t>
      </w:r>
      <w:r w:rsidR="00356C75" w:rsidRPr="00A6622F">
        <w:t>a</w:t>
      </w:r>
      <w:proofErr w:type="spellEnd"/>
      <w:r w:rsidRPr="00A6622F">
        <w:t>-</w:t>
      </w:r>
      <w:r w:rsidRPr="00EA7481">
        <w:t>L</w:t>
      </w:r>
      <w:r w:rsidR="00356C75">
        <w:t>ing, W.,</w:t>
      </w:r>
      <w:r w:rsidRPr="00EA7481">
        <w:t xml:space="preserve"> H</w:t>
      </w:r>
      <w:r w:rsidR="00356C75">
        <w:t>is</w:t>
      </w:r>
      <w:r w:rsidRPr="00EA7481">
        <w:t>-C</w:t>
      </w:r>
      <w:r w:rsidR="00356C75">
        <w:t>huan</w:t>
      </w:r>
      <w:r w:rsidRPr="00EA7481">
        <w:t>, H.</w:t>
      </w:r>
      <w:r w:rsidR="007F3263">
        <w:t xml:space="preserve"> (</w:t>
      </w:r>
      <w:r w:rsidR="007F3263" w:rsidRPr="00356C75">
        <w:t>2009</w:t>
      </w:r>
      <w:r w:rsidR="007F3263">
        <w:t>)</w:t>
      </w:r>
      <w:r w:rsidRPr="00EA7481">
        <w:t xml:space="preserve"> </w:t>
      </w:r>
      <w:proofErr w:type="gramStart"/>
      <w:r w:rsidRPr="00EA7481">
        <w:t>An</w:t>
      </w:r>
      <w:proofErr w:type="gramEnd"/>
      <w:r w:rsidRPr="00EA7481">
        <w:t xml:space="preserve"> Investigation of </w:t>
      </w:r>
      <w:proofErr w:type="spellStart"/>
      <w:r w:rsidRPr="00EA7481">
        <w:t>Coopetitive</w:t>
      </w:r>
      <w:proofErr w:type="spellEnd"/>
      <w:r w:rsidRPr="00EA7481">
        <w:t xml:space="preserve"> Pedagogic Design for Knowledge Creation in Web-Based Learning. </w:t>
      </w:r>
      <w:r w:rsidR="00356C75">
        <w:t xml:space="preserve">In: </w:t>
      </w:r>
      <w:r w:rsidRPr="00356C75">
        <w:rPr>
          <w:i/>
        </w:rPr>
        <w:t>Computers &amp; Education</w:t>
      </w:r>
      <w:r w:rsidR="007F3263">
        <w:t xml:space="preserve">, </w:t>
      </w:r>
      <w:r w:rsidRPr="00356C75">
        <w:t>53</w:t>
      </w:r>
      <w:r w:rsidR="007F3263">
        <w:t>(</w:t>
      </w:r>
      <w:r w:rsidRPr="00356C75">
        <w:t>3</w:t>
      </w:r>
      <w:r w:rsidR="007F3263">
        <w:t>):550-562</w:t>
      </w:r>
      <w:r w:rsidRPr="00356C75">
        <w:t>.</w:t>
      </w:r>
    </w:p>
    <w:p w:rsidR="00EA7481" w:rsidRDefault="00EA7481" w:rsidP="0025722C">
      <w:pPr>
        <w:pStyle w:val="Reference"/>
      </w:pPr>
      <w:r w:rsidRPr="00EA7481">
        <w:t>G</w:t>
      </w:r>
      <w:r w:rsidR="00356C75">
        <w:t>uzman, A.,</w:t>
      </w:r>
      <w:r w:rsidRPr="00EA7481">
        <w:t xml:space="preserve"> </w:t>
      </w:r>
      <w:proofErr w:type="spellStart"/>
      <w:r w:rsidRPr="00EA7481">
        <w:t>I</w:t>
      </w:r>
      <w:r w:rsidR="00356C75">
        <w:t>stúriz</w:t>
      </w:r>
      <w:proofErr w:type="spellEnd"/>
      <w:r w:rsidRPr="00EA7481">
        <w:t>, R. E.</w:t>
      </w:r>
      <w:r w:rsidR="00356C75">
        <w:t xml:space="preserve"> (2010)</w:t>
      </w:r>
      <w:r w:rsidRPr="00EA7481">
        <w:t xml:space="preserve"> Update on the Global Spread of Dengue. </w:t>
      </w:r>
      <w:r w:rsidR="00356C75">
        <w:t xml:space="preserve">In: </w:t>
      </w:r>
      <w:r w:rsidRPr="00356C75">
        <w:rPr>
          <w:i/>
        </w:rPr>
        <w:t>International Journal of Antimicrobial Agen</w:t>
      </w:r>
      <w:r w:rsidR="00356C75" w:rsidRPr="00356C75">
        <w:rPr>
          <w:i/>
        </w:rPr>
        <w:t>ts</w:t>
      </w:r>
      <w:r w:rsidR="00356C75">
        <w:t>, 36</w:t>
      </w:r>
      <w:r w:rsidR="007F3263">
        <w:t>(</w:t>
      </w:r>
      <w:r w:rsidR="00356C75">
        <w:t>1</w:t>
      </w:r>
      <w:r w:rsidR="007F3263">
        <w:t>):</w:t>
      </w:r>
      <w:r w:rsidR="00356C75">
        <w:t>S40-S42</w:t>
      </w:r>
      <w:r w:rsidRPr="00EA7481">
        <w:t>.</w:t>
      </w:r>
    </w:p>
    <w:p w:rsidR="007F3263" w:rsidRDefault="007F3263" w:rsidP="0025722C">
      <w:pPr>
        <w:pStyle w:val="Reference"/>
      </w:pPr>
      <w:r w:rsidRPr="004B48D0">
        <w:t>L</w:t>
      </w:r>
      <w:r>
        <w:t>ennon</w:t>
      </w:r>
      <w:r w:rsidRPr="004B48D0">
        <w:t>, J.</w:t>
      </w:r>
      <w:r>
        <w:t xml:space="preserve"> L.,</w:t>
      </w:r>
      <w:r w:rsidRPr="004B48D0">
        <w:t xml:space="preserve"> C</w:t>
      </w:r>
      <w:r>
        <w:t>oombs</w:t>
      </w:r>
      <w:r w:rsidRPr="004B48D0">
        <w:t>, D.</w:t>
      </w:r>
      <w:r>
        <w:t xml:space="preserve"> </w:t>
      </w:r>
      <w:r w:rsidRPr="004B48D0">
        <w:t>W.</w:t>
      </w:r>
      <w:r>
        <w:t xml:space="preserve"> (2007) </w:t>
      </w:r>
      <w:proofErr w:type="gramStart"/>
      <w:r w:rsidRPr="004B48D0">
        <w:t>The</w:t>
      </w:r>
      <w:proofErr w:type="gramEnd"/>
      <w:r w:rsidRPr="004B48D0">
        <w:t xml:space="preserve"> Utility of a Board Game for Dengue </w:t>
      </w:r>
      <w:proofErr w:type="spellStart"/>
      <w:r w:rsidRPr="004B48D0">
        <w:t>Haemorrhagic</w:t>
      </w:r>
      <w:proofErr w:type="spellEnd"/>
      <w:r w:rsidRPr="004B48D0">
        <w:t xml:space="preserve"> Fever Health Education.</w:t>
      </w:r>
      <w:r>
        <w:t xml:space="preserve"> In: </w:t>
      </w:r>
      <w:r w:rsidRPr="007F3263">
        <w:rPr>
          <w:i/>
        </w:rPr>
        <w:t>Health Education</w:t>
      </w:r>
      <w:r w:rsidRPr="004B48D0">
        <w:t xml:space="preserve">, </w:t>
      </w:r>
      <w:r>
        <w:t>107(3):290-306.</w:t>
      </w:r>
    </w:p>
    <w:p w:rsidR="00D112CE" w:rsidRPr="007939E6" w:rsidRDefault="00D112CE" w:rsidP="0025722C">
      <w:pPr>
        <w:pStyle w:val="Reference"/>
        <w:rPr>
          <w:lang w:val="pt-BR"/>
        </w:rPr>
      </w:pPr>
      <w:r w:rsidRPr="00D112CE">
        <w:rPr>
          <w:lang w:val="pt-BR"/>
        </w:rPr>
        <w:t>P</w:t>
      </w:r>
      <w:r>
        <w:rPr>
          <w:lang w:val="pt-BR"/>
        </w:rPr>
        <w:t>ereira</w:t>
      </w:r>
      <w:r w:rsidRPr="00D112CE">
        <w:rPr>
          <w:lang w:val="pt-BR"/>
        </w:rPr>
        <w:t>, P.</w:t>
      </w:r>
      <w:r>
        <w:rPr>
          <w:lang w:val="pt-BR"/>
        </w:rPr>
        <w:t xml:space="preserve"> </w:t>
      </w:r>
      <w:r w:rsidRPr="00D112CE">
        <w:rPr>
          <w:lang w:val="pt-BR"/>
        </w:rPr>
        <w:t>F., S</w:t>
      </w:r>
      <w:r>
        <w:rPr>
          <w:lang w:val="pt-BR"/>
        </w:rPr>
        <w:t>ilva</w:t>
      </w:r>
      <w:r w:rsidRPr="00D112CE">
        <w:rPr>
          <w:lang w:val="pt-BR"/>
        </w:rPr>
        <w:t>, R.</w:t>
      </w:r>
      <w:r>
        <w:rPr>
          <w:lang w:val="pt-BR"/>
        </w:rPr>
        <w:t xml:space="preserve"> </w:t>
      </w:r>
      <w:r w:rsidRPr="00D112CE">
        <w:rPr>
          <w:lang w:val="pt-BR"/>
        </w:rPr>
        <w:t xml:space="preserve">B., </w:t>
      </w:r>
      <w:proofErr w:type="spellStart"/>
      <w:r w:rsidRPr="00D112CE">
        <w:rPr>
          <w:lang w:val="pt-BR"/>
        </w:rPr>
        <w:t>B</w:t>
      </w:r>
      <w:r>
        <w:rPr>
          <w:lang w:val="pt-BR"/>
        </w:rPr>
        <w:t>areato</w:t>
      </w:r>
      <w:proofErr w:type="spellEnd"/>
      <w:r w:rsidRPr="00D112CE">
        <w:rPr>
          <w:lang w:val="pt-BR"/>
        </w:rPr>
        <w:t>, R., C</w:t>
      </w:r>
      <w:r>
        <w:rPr>
          <w:lang w:val="pt-BR"/>
        </w:rPr>
        <w:t>amargo</w:t>
      </w:r>
      <w:r w:rsidRPr="00D112CE">
        <w:rPr>
          <w:lang w:val="pt-BR"/>
        </w:rPr>
        <w:t>, T.</w:t>
      </w:r>
      <w:r>
        <w:rPr>
          <w:lang w:val="pt-BR"/>
        </w:rPr>
        <w:t xml:space="preserve"> </w:t>
      </w:r>
      <w:r w:rsidRPr="00D112CE">
        <w:rPr>
          <w:lang w:val="pt-BR"/>
        </w:rPr>
        <w:t>C., B</w:t>
      </w:r>
      <w:r>
        <w:rPr>
          <w:lang w:val="pt-BR"/>
        </w:rPr>
        <w:t>ittar</w:t>
      </w:r>
      <w:r w:rsidRPr="00D112CE">
        <w:rPr>
          <w:lang w:val="pt-BR"/>
        </w:rPr>
        <w:t>, T.</w:t>
      </w:r>
      <w:r>
        <w:rPr>
          <w:lang w:val="pt-BR"/>
        </w:rPr>
        <w:t xml:space="preserve"> J</w:t>
      </w:r>
      <w:proofErr w:type="gramStart"/>
      <w:r>
        <w:rPr>
          <w:lang w:val="pt-BR"/>
        </w:rPr>
        <w:t>.,</w:t>
      </w:r>
      <w:proofErr w:type="gramEnd"/>
      <w:r w:rsidRPr="00D112CE">
        <w:rPr>
          <w:lang w:val="pt-BR"/>
        </w:rPr>
        <w:t xml:space="preserve"> </w:t>
      </w:r>
      <w:r>
        <w:rPr>
          <w:lang w:val="pt-BR"/>
        </w:rPr>
        <w:t>Longo, E.</w:t>
      </w:r>
      <w:r w:rsidRPr="00D112CE">
        <w:rPr>
          <w:lang w:val="pt-BR"/>
        </w:rPr>
        <w:t xml:space="preserve"> </w:t>
      </w:r>
      <w:r>
        <w:rPr>
          <w:lang w:val="pt-BR"/>
        </w:rPr>
        <w:t>(</w:t>
      </w:r>
      <w:r w:rsidRPr="00D112CE">
        <w:rPr>
          <w:lang w:val="pt-BR"/>
        </w:rPr>
        <w:t>2011</w:t>
      </w:r>
      <w:r>
        <w:rPr>
          <w:lang w:val="pt-BR"/>
        </w:rPr>
        <w:t>)</w:t>
      </w:r>
      <w:r w:rsidRPr="00D112CE">
        <w:rPr>
          <w:lang w:val="pt-BR"/>
        </w:rPr>
        <w:t xml:space="preserve"> Considerações para jogos de ação do tipo plataforma com base nas experiências do desenvolvimento do jogo Contra Dengue. </w:t>
      </w:r>
      <w:r w:rsidRPr="007939E6">
        <w:rPr>
          <w:lang w:val="pt-BR"/>
        </w:rPr>
        <w:t>In:</w:t>
      </w:r>
      <w:r w:rsidR="007939E6" w:rsidRPr="007939E6">
        <w:rPr>
          <w:lang w:val="pt-BR"/>
        </w:rPr>
        <w:t xml:space="preserve"> </w:t>
      </w:r>
      <w:r w:rsidR="007939E6" w:rsidRPr="00A6622F">
        <w:rPr>
          <w:i/>
          <w:lang w:val="pt-BR"/>
        </w:rPr>
        <w:t>X Simpósio Brasileiro de Jogos e Entretenimento Digital – SBGAMES</w:t>
      </w:r>
      <w:r w:rsidRPr="007939E6">
        <w:rPr>
          <w:lang w:val="pt-BR"/>
        </w:rPr>
        <w:t xml:space="preserve">, </w:t>
      </w:r>
      <w:r w:rsidR="007939E6">
        <w:rPr>
          <w:lang w:val="pt-BR"/>
        </w:rPr>
        <w:t>Trilha de Computação,</w:t>
      </w:r>
      <w:r w:rsidRPr="007939E6">
        <w:rPr>
          <w:lang w:val="pt-BR"/>
        </w:rPr>
        <w:t xml:space="preserve"> </w:t>
      </w:r>
      <w:proofErr w:type="gramStart"/>
      <w:r w:rsidRPr="007939E6">
        <w:rPr>
          <w:lang w:val="pt-BR"/>
        </w:rPr>
        <w:t>4</w:t>
      </w:r>
      <w:proofErr w:type="gramEnd"/>
      <w:r w:rsidRPr="007939E6">
        <w:rPr>
          <w:lang w:val="pt-BR"/>
        </w:rPr>
        <w:t xml:space="preserve"> p.</w:t>
      </w:r>
    </w:p>
    <w:p w:rsidR="00EA7481" w:rsidRDefault="00EA7481" w:rsidP="0025722C">
      <w:pPr>
        <w:pStyle w:val="Reference"/>
      </w:pPr>
      <w:proofErr w:type="spellStart"/>
      <w:proofErr w:type="gramStart"/>
      <w:r w:rsidRPr="00EA7481">
        <w:t>P</w:t>
      </w:r>
      <w:r w:rsidR="00356C75">
        <w:t>rensky</w:t>
      </w:r>
      <w:proofErr w:type="spellEnd"/>
      <w:r w:rsidR="00356C75">
        <w:t>,</w:t>
      </w:r>
      <w:r w:rsidRPr="00EA7481">
        <w:t xml:space="preserve"> M.</w:t>
      </w:r>
      <w:r w:rsidR="00356C75">
        <w:t xml:space="preserve"> (2003)</w:t>
      </w:r>
      <w:r w:rsidRPr="00EA7481">
        <w:t xml:space="preserve"> Digital Game-Based Learning.</w:t>
      </w:r>
      <w:proofErr w:type="gramEnd"/>
      <w:r w:rsidRPr="00EA7481">
        <w:t xml:space="preserve"> </w:t>
      </w:r>
      <w:r w:rsidR="00356C75">
        <w:t xml:space="preserve">In: </w:t>
      </w:r>
      <w:r w:rsidRPr="00356C75">
        <w:rPr>
          <w:i/>
        </w:rPr>
        <w:t>ACM Computers in Ente</w:t>
      </w:r>
      <w:r w:rsidR="00356C75" w:rsidRPr="00356C75">
        <w:rPr>
          <w:i/>
        </w:rPr>
        <w:t>rtainment</w:t>
      </w:r>
      <w:r w:rsidR="007F3263">
        <w:t xml:space="preserve">, </w:t>
      </w:r>
      <w:r w:rsidR="00356C75">
        <w:t>1</w:t>
      </w:r>
      <w:r w:rsidR="007F3263">
        <w:t>(</w:t>
      </w:r>
      <w:r w:rsidR="00356C75">
        <w:t>1</w:t>
      </w:r>
      <w:r w:rsidR="007F3263">
        <w:t>)</w:t>
      </w:r>
      <w:r w:rsidR="00356C75">
        <w:t>, 4 p</w:t>
      </w:r>
      <w:r w:rsidRPr="00EA7481">
        <w:t>.</w:t>
      </w:r>
    </w:p>
    <w:p w:rsidR="00356C75" w:rsidRDefault="00EA7481" w:rsidP="0025722C">
      <w:pPr>
        <w:pStyle w:val="Reference"/>
      </w:pPr>
      <w:proofErr w:type="spellStart"/>
      <w:r w:rsidRPr="00356C75">
        <w:t>R</w:t>
      </w:r>
      <w:r w:rsidR="00356C75" w:rsidRPr="00356C75">
        <w:t>ajapakse</w:t>
      </w:r>
      <w:proofErr w:type="spellEnd"/>
      <w:r w:rsidR="00356C75" w:rsidRPr="00356C75">
        <w:t>, S.,</w:t>
      </w:r>
      <w:r w:rsidRPr="00356C75">
        <w:t xml:space="preserve"> R</w:t>
      </w:r>
      <w:r w:rsidR="00356C75" w:rsidRPr="00356C75">
        <w:t>odrigo</w:t>
      </w:r>
      <w:r w:rsidRPr="00356C75">
        <w:t xml:space="preserve">, C., </w:t>
      </w:r>
      <w:proofErr w:type="spellStart"/>
      <w:r w:rsidRPr="00356C75">
        <w:t>R</w:t>
      </w:r>
      <w:r w:rsidR="00356C75" w:rsidRPr="00356C75">
        <w:t>ajapakse</w:t>
      </w:r>
      <w:proofErr w:type="spellEnd"/>
      <w:r w:rsidRPr="00356C75">
        <w:t xml:space="preserve">, A. </w:t>
      </w:r>
      <w:r w:rsidR="00356C75" w:rsidRPr="00356C75">
        <w:t xml:space="preserve">(2012) </w:t>
      </w:r>
      <w:r w:rsidRPr="00356C75">
        <w:t xml:space="preserve">Treatment of Dengue Fever. </w:t>
      </w:r>
      <w:r w:rsidR="00356C75">
        <w:t xml:space="preserve">In: </w:t>
      </w:r>
      <w:r w:rsidRPr="00356C75">
        <w:rPr>
          <w:i/>
        </w:rPr>
        <w:t>Journal of Infection and Drug Resistance</w:t>
      </w:r>
      <w:r w:rsidR="007F3263">
        <w:t>, 5:</w:t>
      </w:r>
      <w:r w:rsidRPr="00EA7481">
        <w:t>103-112.</w:t>
      </w:r>
    </w:p>
    <w:p w:rsidR="00EA7481" w:rsidRDefault="00EA7481" w:rsidP="0025722C">
      <w:pPr>
        <w:pStyle w:val="Reference"/>
      </w:pPr>
      <w:proofErr w:type="spellStart"/>
      <w:proofErr w:type="gramStart"/>
      <w:r w:rsidRPr="00EA7481">
        <w:t>R</w:t>
      </w:r>
      <w:r w:rsidR="00356C75">
        <w:t>atnam</w:t>
      </w:r>
      <w:proofErr w:type="spellEnd"/>
      <w:r w:rsidR="00356C75">
        <w:t>, I.,</w:t>
      </w:r>
      <w:r w:rsidRPr="00EA7481">
        <w:t xml:space="preserve"> </w:t>
      </w:r>
      <w:proofErr w:type="spellStart"/>
      <w:r w:rsidRPr="00EA7481">
        <w:t>L</w:t>
      </w:r>
      <w:r w:rsidR="00356C75">
        <w:t>eder</w:t>
      </w:r>
      <w:proofErr w:type="spellEnd"/>
      <w:r w:rsidR="00356C75">
        <w:t>, K.,</w:t>
      </w:r>
      <w:r w:rsidRPr="00EA7481">
        <w:t xml:space="preserve"> B</w:t>
      </w:r>
      <w:r w:rsidR="00356C75">
        <w:t>lack, J.,</w:t>
      </w:r>
      <w:r w:rsidRPr="00EA7481">
        <w:t xml:space="preserve"> </w:t>
      </w:r>
      <w:proofErr w:type="spellStart"/>
      <w:r w:rsidRPr="00EA7481">
        <w:t>T</w:t>
      </w:r>
      <w:r w:rsidR="000D2DEE">
        <w:t>orresi</w:t>
      </w:r>
      <w:proofErr w:type="spellEnd"/>
      <w:r w:rsidRPr="00EA7481">
        <w:t>, J.</w:t>
      </w:r>
      <w:r w:rsidR="000D2DEE">
        <w:t xml:space="preserve"> (</w:t>
      </w:r>
      <w:r w:rsidR="000D2DEE" w:rsidRPr="00EA7481">
        <w:t>2013</w:t>
      </w:r>
      <w:r w:rsidR="000D2DEE">
        <w:t>)</w:t>
      </w:r>
      <w:r w:rsidRPr="00EA7481">
        <w:t xml:space="preserve"> Dengue Fever and International Travel.</w:t>
      </w:r>
      <w:proofErr w:type="gramEnd"/>
      <w:r w:rsidRPr="00EA7481">
        <w:t xml:space="preserve"> </w:t>
      </w:r>
      <w:r w:rsidR="00356C75">
        <w:t xml:space="preserve">In: </w:t>
      </w:r>
      <w:r w:rsidRPr="00356C75">
        <w:rPr>
          <w:i/>
        </w:rPr>
        <w:t>Journal of Travel Medicine</w:t>
      </w:r>
      <w:r w:rsidR="007F3263">
        <w:t xml:space="preserve">, </w:t>
      </w:r>
      <w:r w:rsidRPr="00EA7481">
        <w:t>20</w:t>
      </w:r>
      <w:r w:rsidR="007F3263">
        <w:t>(</w:t>
      </w:r>
      <w:r w:rsidRPr="00EA7481">
        <w:t>5</w:t>
      </w:r>
      <w:r w:rsidR="007F3263">
        <w:t>)</w:t>
      </w:r>
      <w:r w:rsidRPr="00EA7481">
        <w:t>, 10 p.</w:t>
      </w:r>
    </w:p>
    <w:p w:rsidR="00356C75" w:rsidRPr="00A6622F" w:rsidRDefault="00B957A1" w:rsidP="0025722C">
      <w:pPr>
        <w:pStyle w:val="Reference"/>
      </w:pPr>
      <w:r w:rsidRPr="00A6622F">
        <w:t>Sherlock Dengue</w:t>
      </w:r>
      <w:r w:rsidR="00356C75" w:rsidRPr="00A6622F">
        <w:t xml:space="preserve">. (2015) </w:t>
      </w:r>
      <w:proofErr w:type="spellStart"/>
      <w:r w:rsidR="00356C75" w:rsidRPr="00A6622F">
        <w:t>Disponível</w:t>
      </w:r>
      <w:proofErr w:type="spellEnd"/>
      <w:r w:rsidR="00356C75" w:rsidRPr="00A6622F">
        <w:t xml:space="preserve"> </w:t>
      </w:r>
      <w:proofErr w:type="spellStart"/>
      <w:r w:rsidR="00356C75" w:rsidRPr="00A6622F">
        <w:t>em</w:t>
      </w:r>
      <w:proofErr w:type="spellEnd"/>
      <w:r w:rsidR="00356C75" w:rsidRPr="00A6622F">
        <w:t xml:space="preserve">: </w:t>
      </w:r>
      <w:r w:rsidRPr="00A6622F">
        <w:t>http://www2.joinville.udesc.br/~larva/dengue/</w:t>
      </w:r>
    </w:p>
    <w:p w:rsidR="00D112CE" w:rsidRPr="007939E6" w:rsidRDefault="00D112CE" w:rsidP="0025722C">
      <w:pPr>
        <w:pStyle w:val="Reference"/>
        <w:rPr>
          <w:lang w:val="pt-BR"/>
        </w:rPr>
      </w:pPr>
      <w:r w:rsidRPr="00D112CE">
        <w:rPr>
          <w:lang w:val="pt-BR"/>
        </w:rPr>
        <w:t>S</w:t>
      </w:r>
      <w:r>
        <w:rPr>
          <w:lang w:val="pt-BR"/>
        </w:rPr>
        <w:t>ilva, V.,</w:t>
      </w:r>
      <w:r w:rsidRPr="00D112CE">
        <w:rPr>
          <w:lang w:val="pt-BR"/>
        </w:rPr>
        <w:t xml:space="preserve"> A</w:t>
      </w:r>
      <w:r>
        <w:rPr>
          <w:lang w:val="pt-BR"/>
        </w:rPr>
        <w:t>lmeida, A.,</w:t>
      </w:r>
      <w:r w:rsidRPr="00D112CE">
        <w:rPr>
          <w:lang w:val="pt-BR"/>
        </w:rPr>
        <w:t xml:space="preserve"> A</w:t>
      </w:r>
      <w:r>
        <w:rPr>
          <w:lang w:val="pt-BR"/>
        </w:rPr>
        <w:t>lves</w:t>
      </w:r>
      <w:r w:rsidRPr="00D112CE">
        <w:rPr>
          <w:lang w:val="pt-BR"/>
        </w:rPr>
        <w:t xml:space="preserve">, </w:t>
      </w:r>
      <w:proofErr w:type="gramStart"/>
      <w:r w:rsidRPr="00D112CE">
        <w:rPr>
          <w:lang w:val="pt-BR"/>
        </w:rPr>
        <w:t>D.</w:t>
      </w:r>
      <w:proofErr w:type="gramEnd"/>
      <w:r w:rsidRPr="00D112CE">
        <w:rPr>
          <w:lang w:val="pt-BR"/>
        </w:rPr>
        <w:t xml:space="preserve"> da S.; A</w:t>
      </w:r>
      <w:r>
        <w:rPr>
          <w:lang w:val="pt-BR"/>
        </w:rPr>
        <w:t>ndrade, M., Araujo</w:t>
      </w:r>
      <w:r w:rsidRPr="00D112CE">
        <w:rPr>
          <w:lang w:val="pt-BR"/>
        </w:rPr>
        <w:t>, A.</w:t>
      </w:r>
      <w:r>
        <w:rPr>
          <w:lang w:val="pt-BR"/>
        </w:rPr>
        <w:t xml:space="preserve"> (2011)</w:t>
      </w:r>
      <w:r w:rsidRPr="00D112CE">
        <w:rPr>
          <w:lang w:val="pt-BR"/>
        </w:rPr>
        <w:t xml:space="preserve"> Exterminadores de Dengue: Um jogo educativo dinâmico como ferramenta de educação contra a dengue. </w:t>
      </w:r>
      <w:r w:rsidRPr="007939E6">
        <w:rPr>
          <w:lang w:val="pt-BR"/>
        </w:rPr>
        <w:t xml:space="preserve">In: </w:t>
      </w:r>
      <w:r w:rsidR="007939E6" w:rsidRPr="00A6622F">
        <w:rPr>
          <w:i/>
          <w:lang w:val="pt-BR"/>
        </w:rPr>
        <w:t>X Simpósio Brasileiro de Jogos e Entretenimento Digital – SBGAMES</w:t>
      </w:r>
      <w:r w:rsidRPr="007939E6">
        <w:rPr>
          <w:lang w:val="pt-BR"/>
        </w:rPr>
        <w:t xml:space="preserve">, </w:t>
      </w:r>
      <w:r w:rsidR="007939E6">
        <w:rPr>
          <w:lang w:val="pt-BR"/>
        </w:rPr>
        <w:t>Trilha de Cultura</w:t>
      </w:r>
      <w:r w:rsidRPr="007939E6">
        <w:rPr>
          <w:lang w:val="pt-BR"/>
        </w:rPr>
        <w:t>,</w:t>
      </w:r>
      <w:r w:rsidR="007939E6">
        <w:rPr>
          <w:lang w:val="pt-BR"/>
        </w:rPr>
        <w:t xml:space="preserve"> </w:t>
      </w:r>
      <w:proofErr w:type="gramStart"/>
      <w:r w:rsidRPr="007939E6">
        <w:rPr>
          <w:lang w:val="pt-BR"/>
        </w:rPr>
        <w:t>4</w:t>
      </w:r>
      <w:proofErr w:type="gramEnd"/>
      <w:r w:rsidRPr="007939E6">
        <w:rPr>
          <w:lang w:val="pt-BR"/>
        </w:rPr>
        <w:t xml:space="preserve"> p.</w:t>
      </w:r>
    </w:p>
    <w:p w:rsidR="002469A4" w:rsidRPr="00356C75" w:rsidRDefault="00EA7481" w:rsidP="00356C75">
      <w:pPr>
        <w:pStyle w:val="Reference"/>
      </w:pPr>
      <w:proofErr w:type="gramStart"/>
      <w:r w:rsidRPr="00EA7481">
        <w:t>S</w:t>
      </w:r>
      <w:r w:rsidR="000D2DEE">
        <w:t>usi, T.,</w:t>
      </w:r>
      <w:r w:rsidRPr="00EA7481">
        <w:t xml:space="preserve"> </w:t>
      </w:r>
      <w:proofErr w:type="spellStart"/>
      <w:r w:rsidRPr="00EA7481">
        <w:t>J</w:t>
      </w:r>
      <w:r w:rsidR="000D2DEE">
        <w:t>ohannesson</w:t>
      </w:r>
      <w:proofErr w:type="spellEnd"/>
      <w:r w:rsidR="000D2DEE">
        <w:t>, M.,</w:t>
      </w:r>
      <w:r w:rsidRPr="00EA7481">
        <w:t xml:space="preserve"> </w:t>
      </w:r>
      <w:proofErr w:type="spellStart"/>
      <w:r w:rsidRPr="00EA7481">
        <w:t>B</w:t>
      </w:r>
      <w:r w:rsidR="000D2DEE">
        <w:t>acklund</w:t>
      </w:r>
      <w:proofErr w:type="spellEnd"/>
      <w:r w:rsidRPr="00EA7481">
        <w:t>, P.</w:t>
      </w:r>
      <w:r w:rsidR="000D2DEE">
        <w:t xml:space="preserve"> (</w:t>
      </w:r>
      <w:r w:rsidR="000D2DEE" w:rsidRPr="00EA7481">
        <w:t>2007</w:t>
      </w:r>
      <w:r w:rsidR="000D2DEE">
        <w:t>)</w:t>
      </w:r>
      <w:r w:rsidRPr="00EA7481">
        <w:t xml:space="preserve"> Serious Games – An Overview.</w:t>
      </w:r>
      <w:proofErr w:type="gramEnd"/>
      <w:r w:rsidRPr="00EA7481">
        <w:t xml:space="preserve"> In: </w:t>
      </w:r>
      <w:r w:rsidRPr="000D2DEE">
        <w:rPr>
          <w:i/>
        </w:rPr>
        <w:t>Technical Report</w:t>
      </w:r>
      <w:r w:rsidR="000D2DEE">
        <w:t xml:space="preserve"> HS- IKI –TR-07-001,</w:t>
      </w:r>
      <w:r w:rsidRPr="00EA7481">
        <w:t xml:space="preserve"> 28 p.</w:t>
      </w:r>
    </w:p>
    <w:p w:rsidR="002469A4" w:rsidRDefault="00D112CE" w:rsidP="0025722C">
      <w:pPr>
        <w:pStyle w:val="Reference"/>
      </w:pPr>
      <w:proofErr w:type="spellStart"/>
      <w:proofErr w:type="gramStart"/>
      <w:r w:rsidRPr="00D112CE">
        <w:t>V</w:t>
      </w:r>
      <w:r>
        <w:t>ivas</w:t>
      </w:r>
      <w:proofErr w:type="spellEnd"/>
      <w:r>
        <w:t>, E.,</w:t>
      </w:r>
      <w:r w:rsidRPr="00D112CE">
        <w:t xml:space="preserve"> G</w:t>
      </w:r>
      <w:r>
        <w:t>uevara</w:t>
      </w:r>
      <w:r w:rsidRPr="00D112CE">
        <w:t xml:space="preserve"> </w:t>
      </w:r>
      <w:r>
        <w:t>de</w:t>
      </w:r>
      <w:r w:rsidRPr="00D112CE">
        <w:t xml:space="preserve"> </w:t>
      </w:r>
      <w:proofErr w:type="spellStart"/>
      <w:r>
        <w:t>Sequeda</w:t>
      </w:r>
      <w:proofErr w:type="spellEnd"/>
      <w:r w:rsidRPr="00D112CE">
        <w:t>, M.</w:t>
      </w:r>
      <w:r>
        <w:t xml:space="preserve"> (2003)</w:t>
      </w:r>
      <w:r w:rsidRPr="00D112CE">
        <w:t xml:space="preserve"> A Game as an Educational Strategy for the Control of </w:t>
      </w:r>
      <w:proofErr w:type="spellStart"/>
      <w:r w:rsidRPr="00D112CE">
        <w:t>Aedes</w:t>
      </w:r>
      <w:proofErr w:type="spellEnd"/>
      <w:r w:rsidRPr="00D112CE">
        <w:t xml:space="preserve"> </w:t>
      </w:r>
      <w:proofErr w:type="spellStart"/>
      <w:r w:rsidRPr="00D112CE">
        <w:t>Aegypti</w:t>
      </w:r>
      <w:proofErr w:type="spellEnd"/>
      <w:r w:rsidRPr="00D112CE">
        <w:t xml:space="preserve"> in Venezuelan school children.</w:t>
      </w:r>
      <w:proofErr w:type="gramEnd"/>
      <w:r w:rsidRPr="00D112CE">
        <w:t xml:space="preserve"> </w:t>
      </w:r>
      <w:r>
        <w:t xml:space="preserve">In: </w:t>
      </w:r>
      <w:r w:rsidRPr="00D112CE">
        <w:t>Pan American Journal of Public Health, 14</w:t>
      </w:r>
      <w:r>
        <w:t>(</w:t>
      </w:r>
      <w:r w:rsidRPr="00D112CE">
        <w:t>6</w:t>
      </w:r>
      <w:r>
        <w:t>):394-401</w:t>
      </w:r>
      <w:r w:rsidRPr="00D112CE">
        <w:t>.</w:t>
      </w:r>
    </w:p>
    <w:sectPr w:rsidR="002469A4" w:rsidSect="00FE0337">
      <w:headerReference w:type="even" r:id="rId17"/>
      <w:headerReference w:type="default" r:id="rId18"/>
      <w:footerReference w:type="even" r:id="rId19"/>
      <w:footerReference w:type="first" r:id="rId20"/>
      <w:type w:val="continuous"/>
      <w:pgSz w:w="11907" w:h="16840" w:code="9"/>
      <w:pgMar w:top="1985" w:right="1701" w:bottom="1418" w:left="1701" w:header="964" w:footer="964" w:gutter="0"/>
      <w:pgNumType w:start="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30C" w:rsidRDefault="0080330C">
      <w:r>
        <w:separator/>
      </w:r>
    </w:p>
  </w:endnote>
  <w:endnote w:type="continuationSeparator" w:id="0">
    <w:p w:rsidR="0080330C" w:rsidRDefault="0080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18" w:rsidRDefault="009F1718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18" w:rsidRDefault="009F1718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30C" w:rsidRDefault="0080330C">
      <w:r>
        <w:separator/>
      </w:r>
    </w:p>
  </w:footnote>
  <w:footnote w:type="continuationSeparator" w:id="0">
    <w:p w:rsidR="0080330C" w:rsidRDefault="00803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18" w:rsidRPr="00EC49FE" w:rsidRDefault="009F1718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F1718" w:rsidRPr="00EC49FE" w:rsidRDefault="009F1718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18" w:rsidRDefault="009F1718">
    <w:pPr>
      <w:framePr w:wrap="around" w:vAnchor="text" w:hAnchor="margin" w:xAlign="inside" w:y="1"/>
    </w:pPr>
  </w:p>
  <w:p w:rsidR="009F1718" w:rsidRDefault="009F1718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D747EC">
    <w:pPr>
      <w:framePr w:wrap="around" w:vAnchor="text" w:hAnchor="margin" w:xAlign="inside" w:y="1"/>
      <w:rPr>
        <w:lang w:val="pt-BR"/>
      </w:rPr>
    </w:pPr>
    <w:r>
      <w:fldChar w:fldCharType="begin"/>
    </w:r>
    <w:r w:rsidR="0092301E" w:rsidRPr="00EC49FE">
      <w:rPr>
        <w:lang w:val="pt-BR"/>
      </w:rPr>
      <w:instrText xml:space="preserve">PAGE  </w:instrText>
    </w:r>
    <w:r>
      <w:fldChar w:fldCharType="separate"/>
    </w:r>
    <w:r w:rsidR="0092301E"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  <w:p w:rsidR="0092301E" w:rsidRPr="00957C84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5D4F0C"/>
    <w:multiLevelType w:val="hybridMultilevel"/>
    <w:tmpl w:val="8DFA3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7BB6A13"/>
    <w:multiLevelType w:val="hybridMultilevel"/>
    <w:tmpl w:val="3A6487F6"/>
    <w:lvl w:ilvl="0" w:tplc="6FD6C2F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1272EE2"/>
    <w:multiLevelType w:val="hybridMultilevel"/>
    <w:tmpl w:val="743A52F8"/>
    <w:lvl w:ilvl="0" w:tplc="6FD6C2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7E01272"/>
    <w:multiLevelType w:val="hybridMultilevel"/>
    <w:tmpl w:val="1D1C1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8"/>
  </w:num>
  <w:num w:numId="5">
    <w:abstractNumId w:val="10"/>
  </w:num>
  <w:num w:numId="6">
    <w:abstractNumId w:val="21"/>
  </w:num>
  <w:num w:numId="7">
    <w:abstractNumId w:val="13"/>
  </w:num>
  <w:num w:numId="8">
    <w:abstractNumId w:val="20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  <w:num w:numId="21">
    <w:abstractNumId w:val="19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11B17"/>
    <w:rsid w:val="00013E38"/>
    <w:rsid w:val="00022497"/>
    <w:rsid w:val="00025D82"/>
    <w:rsid w:val="000321FF"/>
    <w:rsid w:val="00036613"/>
    <w:rsid w:val="00041A02"/>
    <w:rsid w:val="000971D0"/>
    <w:rsid w:val="000B1AA0"/>
    <w:rsid w:val="000C4614"/>
    <w:rsid w:val="000C48B6"/>
    <w:rsid w:val="000D2DEE"/>
    <w:rsid w:val="000E5B1F"/>
    <w:rsid w:val="000E61B9"/>
    <w:rsid w:val="000F0545"/>
    <w:rsid w:val="001339BE"/>
    <w:rsid w:val="00141286"/>
    <w:rsid w:val="001443BB"/>
    <w:rsid w:val="0014496F"/>
    <w:rsid w:val="0015327F"/>
    <w:rsid w:val="00162D5E"/>
    <w:rsid w:val="001648BE"/>
    <w:rsid w:val="00172967"/>
    <w:rsid w:val="00176487"/>
    <w:rsid w:val="00195F8C"/>
    <w:rsid w:val="001A222E"/>
    <w:rsid w:val="001B0861"/>
    <w:rsid w:val="001B719C"/>
    <w:rsid w:val="001C04C2"/>
    <w:rsid w:val="001D7642"/>
    <w:rsid w:val="0020509E"/>
    <w:rsid w:val="0022582D"/>
    <w:rsid w:val="002347D5"/>
    <w:rsid w:val="002469A4"/>
    <w:rsid w:val="0025722C"/>
    <w:rsid w:val="00265F4E"/>
    <w:rsid w:val="00290562"/>
    <w:rsid w:val="00293377"/>
    <w:rsid w:val="002A555F"/>
    <w:rsid w:val="002F3007"/>
    <w:rsid w:val="002F31BD"/>
    <w:rsid w:val="003112B6"/>
    <w:rsid w:val="003244CF"/>
    <w:rsid w:val="00352791"/>
    <w:rsid w:val="00354285"/>
    <w:rsid w:val="00356C75"/>
    <w:rsid w:val="0039084B"/>
    <w:rsid w:val="003A67BD"/>
    <w:rsid w:val="003C25DE"/>
    <w:rsid w:val="003C5D8E"/>
    <w:rsid w:val="003D57F9"/>
    <w:rsid w:val="003E3C05"/>
    <w:rsid w:val="003F2CF7"/>
    <w:rsid w:val="003F4556"/>
    <w:rsid w:val="00401CBA"/>
    <w:rsid w:val="004023B2"/>
    <w:rsid w:val="004455D8"/>
    <w:rsid w:val="004562EB"/>
    <w:rsid w:val="00465C27"/>
    <w:rsid w:val="0047271E"/>
    <w:rsid w:val="00476963"/>
    <w:rsid w:val="00485158"/>
    <w:rsid w:val="00485859"/>
    <w:rsid w:val="004A4FEF"/>
    <w:rsid w:val="004C1478"/>
    <w:rsid w:val="00506846"/>
    <w:rsid w:val="00511B88"/>
    <w:rsid w:val="00513905"/>
    <w:rsid w:val="00531BB7"/>
    <w:rsid w:val="00533BD1"/>
    <w:rsid w:val="00534F45"/>
    <w:rsid w:val="0055392B"/>
    <w:rsid w:val="00556B9F"/>
    <w:rsid w:val="005602EB"/>
    <w:rsid w:val="005707DC"/>
    <w:rsid w:val="0059686E"/>
    <w:rsid w:val="005B0203"/>
    <w:rsid w:val="005C49E7"/>
    <w:rsid w:val="005D32DA"/>
    <w:rsid w:val="005F60FC"/>
    <w:rsid w:val="00603861"/>
    <w:rsid w:val="00632D6C"/>
    <w:rsid w:val="006431C3"/>
    <w:rsid w:val="00676E05"/>
    <w:rsid w:val="0068092C"/>
    <w:rsid w:val="006A2AC1"/>
    <w:rsid w:val="006C1C1B"/>
    <w:rsid w:val="006E6BB2"/>
    <w:rsid w:val="007016E3"/>
    <w:rsid w:val="00703032"/>
    <w:rsid w:val="00733B00"/>
    <w:rsid w:val="007436AB"/>
    <w:rsid w:val="00745D1C"/>
    <w:rsid w:val="00751F35"/>
    <w:rsid w:val="00782F39"/>
    <w:rsid w:val="007928B6"/>
    <w:rsid w:val="007939E6"/>
    <w:rsid w:val="00797CA6"/>
    <w:rsid w:val="007C4987"/>
    <w:rsid w:val="007E0B07"/>
    <w:rsid w:val="007F3263"/>
    <w:rsid w:val="008027B8"/>
    <w:rsid w:val="0080330C"/>
    <w:rsid w:val="00842945"/>
    <w:rsid w:val="00892EFF"/>
    <w:rsid w:val="008A2077"/>
    <w:rsid w:val="008B1055"/>
    <w:rsid w:val="008B5B78"/>
    <w:rsid w:val="008C7D2B"/>
    <w:rsid w:val="008D625A"/>
    <w:rsid w:val="008E3764"/>
    <w:rsid w:val="0092301E"/>
    <w:rsid w:val="009547F5"/>
    <w:rsid w:val="00957C84"/>
    <w:rsid w:val="009747BA"/>
    <w:rsid w:val="00977226"/>
    <w:rsid w:val="009B4BA4"/>
    <w:rsid w:val="009C66C4"/>
    <w:rsid w:val="009F1718"/>
    <w:rsid w:val="00A06B51"/>
    <w:rsid w:val="00A15B87"/>
    <w:rsid w:val="00A209B7"/>
    <w:rsid w:val="00A33D14"/>
    <w:rsid w:val="00A4290F"/>
    <w:rsid w:val="00A6622F"/>
    <w:rsid w:val="00A72060"/>
    <w:rsid w:val="00AA050E"/>
    <w:rsid w:val="00AB47AA"/>
    <w:rsid w:val="00AE348C"/>
    <w:rsid w:val="00B06EFE"/>
    <w:rsid w:val="00B16E1E"/>
    <w:rsid w:val="00B33C31"/>
    <w:rsid w:val="00B4199C"/>
    <w:rsid w:val="00B46744"/>
    <w:rsid w:val="00B47567"/>
    <w:rsid w:val="00B520CC"/>
    <w:rsid w:val="00B70786"/>
    <w:rsid w:val="00B957A1"/>
    <w:rsid w:val="00BA1A22"/>
    <w:rsid w:val="00BB17F2"/>
    <w:rsid w:val="00BC3338"/>
    <w:rsid w:val="00C01F7D"/>
    <w:rsid w:val="00C05083"/>
    <w:rsid w:val="00C3594B"/>
    <w:rsid w:val="00C424D1"/>
    <w:rsid w:val="00C66FED"/>
    <w:rsid w:val="00C7218B"/>
    <w:rsid w:val="00C76A93"/>
    <w:rsid w:val="00C87D36"/>
    <w:rsid w:val="00C97C0B"/>
    <w:rsid w:val="00CA46DD"/>
    <w:rsid w:val="00CC071E"/>
    <w:rsid w:val="00CE4839"/>
    <w:rsid w:val="00D112CE"/>
    <w:rsid w:val="00D50A5B"/>
    <w:rsid w:val="00D72A07"/>
    <w:rsid w:val="00D747EC"/>
    <w:rsid w:val="00DC0678"/>
    <w:rsid w:val="00DC460A"/>
    <w:rsid w:val="00DD1808"/>
    <w:rsid w:val="00DD5DAF"/>
    <w:rsid w:val="00DF09C0"/>
    <w:rsid w:val="00DF5D55"/>
    <w:rsid w:val="00E26A4D"/>
    <w:rsid w:val="00E34662"/>
    <w:rsid w:val="00E848C9"/>
    <w:rsid w:val="00E924CB"/>
    <w:rsid w:val="00EA7481"/>
    <w:rsid w:val="00EB09D5"/>
    <w:rsid w:val="00EB7183"/>
    <w:rsid w:val="00EC49FE"/>
    <w:rsid w:val="00EE70EF"/>
    <w:rsid w:val="00EF3BA7"/>
    <w:rsid w:val="00F2037A"/>
    <w:rsid w:val="00F22388"/>
    <w:rsid w:val="00F238B8"/>
    <w:rsid w:val="00F412C1"/>
    <w:rsid w:val="00F43D6A"/>
    <w:rsid w:val="00F966A4"/>
    <w:rsid w:val="00FA6D62"/>
    <w:rsid w:val="00FC2DEA"/>
    <w:rsid w:val="00FC4CC4"/>
    <w:rsid w:val="00FD3DF9"/>
    <w:rsid w:val="00FE0337"/>
    <w:rsid w:val="00FE6C3D"/>
    <w:rsid w:val="00FF1B4C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lssica1">
    <w:name w:val="Table Classic 1"/>
    <w:basedOn w:val="Tabelanormal"/>
    <w:rsid w:val="00465C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4455D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455D8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4455D8"/>
    <w:rPr>
      <w:color w:val="808080"/>
    </w:rPr>
  </w:style>
  <w:style w:type="paragraph" w:styleId="PargrafodaLista">
    <w:name w:val="List Paragraph"/>
    <w:basedOn w:val="Normal"/>
    <w:uiPriority w:val="34"/>
    <w:qFormat/>
    <w:rsid w:val="00485859"/>
    <w:pPr>
      <w:tabs>
        <w:tab w:val="clear" w:pos="720"/>
      </w:tabs>
      <w:spacing w:before="0"/>
      <w:ind w:left="720"/>
      <w:contextualSpacing/>
      <w:jc w:val="left"/>
    </w:pPr>
    <w:rPr>
      <w:rFonts w:ascii="Times New Roman" w:hAnsi="Times New Roman"/>
      <w:sz w:val="19"/>
      <w:szCs w:val="24"/>
      <w:lang w:val="pt-B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lssica1">
    <w:name w:val="Table Classic 1"/>
    <w:basedOn w:val="Tabelanormal"/>
    <w:rsid w:val="00465C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4455D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455D8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4455D8"/>
    <w:rPr>
      <w:color w:val="808080"/>
    </w:rPr>
  </w:style>
  <w:style w:type="paragraph" w:styleId="PargrafodaLista">
    <w:name w:val="List Paragraph"/>
    <w:basedOn w:val="Normal"/>
    <w:uiPriority w:val="34"/>
    <w:qFormat/>
    <w:rsid w:val="00485859"/>
    <w:pPr>
      <w:tabs>
        <w:tab w:val="clear" w:pos="720"/>
      </w:tabs>
      <w:spacing w:before="0"/>
      <w:ind w:left="720"/>
      <w:contextualSpacing/>
      <w:jc w:val="left"/>
    </w:pPr>
    <w:rPr>
      <w:rFonts w:ascii="Times New Roman" w:hAnsi="Times New Roman"/>
      <w:sz w:val="19"/>
      <w:szCs w:val="24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2747-98B7-45C5-8029-991240CD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28</TotalTime>
  <Pages>1</Pages>
  <Words>4321</Words>
  <Characters>23336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27602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UDESC</cp:lastModifiedBy>
  <cp:revision>12</cp:revision>
  <cp:lastPrinted>2015-07-13T15:46:00Z</cp:lastPrinted>
  <dcterms:created xsi:type="dcterms:W3CDTF">2015-07-09T22:51:00Z</dcterms:created>
  <dcterms:modified xsi:type="dcterms:W3CDTF">2015-07-13T15:52:00Z</dcterms:modified>
</cp:coreProperties>
</file>