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85135900"/>
        <w:docPartObj>
          <w:docPartGallery w:val="Cover Pages"/>
          <w:docPartUnique/>
        </w:docPartObj>
      </w:sdtPr>
      <w:sdtEndPr/>
      <w:sdtContent>
        <w:p w:rsidR="00100CBD" w:rsidRDefault="00A215CF" w:rsidP="00324793">
          <w:pPr>
            <w:jc w:val="center"/>
            <w:rPr>
              <w:b/>
              <w:noProof/>
              <w:sz w:val="44"/>
              <w:szCs w:val="44"/>
            </w:rPr>
          </w:pPr>
          <w:r w:rsidRPr="00100CBD">
            <w:rPr>
              <w:b/>
              <w:noProof/>
              <w:sz w:val="44"/>
              <w:szCs w:val="44"/>
            </w:rPr>
            <w:t xml:space="preserve">Benefits Claims Decision Support System (BCDSS) </w:t>
          </w:r>
          <w:r w:rsidR="00561B8C">
            <w:rPr>
              <w:b/>
              <w:noProof/>
              <w:sz w:val="44"/>
              <w:szCs w:val="44"/>
            </w:rPr>
            <w:t xml:space="preserve">Tinnitus </w:t>
          </w:r>
          <w:r>
            <w:rPr>
              <w:b/>
              <w:noProof/>
              <w:sz w:val="44"/>
              <w:szCs w:val="44"/>
            </w:rPr>
            <w:t>Model</w:t>
          </w:r>
        </w:p>
        <w:p w:rsidR="00A215CF" w:rsidRDefault="00A215CF" w:rsidP="00324793">
          <w:pPr>
            <w:jc w:val="center"/>
            <w:rPr>
              <w:b/>
              <w:noProof/>
              <w:sz w:val="44"/>
              <w:szCs w:val="44"/>
            </w:rPr>
          </w:pPr>
          <w:r>
            <w:rPr>
              <w:b/>
              <w:noProof/>
              <w:sz w:val="44"/>
              <w:szCs w:val="44"/>
            </w:rPr>
            <w:t>December 2016</w:t>
          </w:r>
        </w:p>
        <w:p w:rsidR="00A215CF" w:rsidRDefault="00A215CF" w:rsidP="00324793">
          <w:pPr>
            <w:jc w:val="center"/>
          </w:pPr>
          <w:r>
            <w:rPr>
              <w:noProof/>
            </w:rPr>
            <w:drawing>
              <wp:inline distT="0" distB="0" distL="0" distR="0" wp14:anchorId="1F58A357" wp14:editId="267F0624">
                <wp:extent cx="3019425" cy="3105150"/>
                <wp:effectExtent l="0" t="0" r="9525" b="0"/>
                <wp:docPr id="19" name="Picture 19" descr="Department of Veterans Affairs official seal" title="Department of Veterans Affairs official seal"/>
                <wp:cNvGraphicFramePr/>
                <a:graphic xmlns:a="http://schemas.openxmlformats.org/drawingml/2006/main">
                  <a:graphicData uri="http://schemas.openxmlformats.org/drawingml/2006/picture">
                    <pic:pic xmlns:pic="http://schemas.openxmlformats.org/drawingml/2006/picture">
                      <pic:nvPicPr>
                        <pic:cNvPr id="4" name="Picture 4" descr="Department of Veterans Affairs official seal" title="Department of Veterans Affairs official seal"/>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019425" cy="3105150"/>
                        </a:xfrm>
                        <a:prstGeom prst="rect">
                          <a:avLst/>
                        </a:prstGeom>
                        <a:noFill/>
                        <a:ln>
                          <a:noFill/>
                        </a:ln>
                      </pic:spPr>
                    </pic:pic>
                  </a:graphicData>
                </a:graphic>
              </wp:inline>
            </w:drawing>
          </w:r>
        </w:p>
        <w:p w:rsidR="00A215CF" w:rsidRPr="00324793" w:rsidRDefault="00561B8C" w:rsidP="00324793">
          <w:pPr>
            <w:jc w:val="center"/>
            <w:rPr>
              <w:b/>
              <w:noProof/>
              <w:sz w:val="44"/>
              <w:szCs w:val="44"/>
            </w:rPr>
          </w:pPr>
          <w:r>
            <w:rPr>
              <w:b/>
              <w:noProof/>
              <w:sz w:val="44"/>
              <w:szCs w:val="44"/>
            </w:rPr>
            <w:t>Version 1.0</w:t>
          </w:r>
        </w:p>
        <w:p w:rsidR="00B10AC6" w:rsidRDefault="00B10AC6">
          <w:pPr>
            <w:rPr>
              <w:rFonts w:asciiTheme="majorHAnsi" w:eastAsiaTheme="majorEastAsia" w:hAnsiTheme="majorHAnsi" w:cstheme="majorBidi"/>
              <w:color w:val="2E74B5" w:themeColor="accent1" w:themeShade="BF"/>
              <w:sz w:val="32"/>
              <w:szCs w:val="32"/>
            </w:rPr>
            <w:sectPr w:rsidR="00B10AC6" w:rsidSect="00584FD7">
              <w:headerReference w:type="default" r:id="rId9"/>
              <w:footerReference w:type="default" r:id="rId10"/>
              <w:type w:val="continuous"/>
              <w:pgSz w:w="12240" w:h="15840"/>
              <w:pgMar w:top="1440" w:right="810" w:bottom="1440" w:left="1080" w:header="720" w:footer="720" w:gutter="0"/>
              <w:pgNumType w:start="0"/>
              <w:cols w:space="720"/>
              <w:titlePg/>
              <w:docGrid w:linePitch="360"/>
            </w:sectPr>
          </w:pPr>
        </w:p>
        <w:p w:rsidR="00100CBD" w:rsidRDefault="00AF0CCE">
          <w:pPr>
            <w:rPr>
              <w:rFonts w:asciiTheme="majorHAnsi" w:eastAsiaTheme="majorEastAsia" w:hAnsiTheme="majorHAnsi" w:cstheme="majorBidi"/>
              <w:color w:val="2E74B5" w:themeColor="accent1" w:themeShade="BF"/>
              <w:sz w:val="32"/>
              <w:szCs w:val="32"/>
            </w:rPr>
          </w:pPr>
        </w:p>
      </w:sdtContent>
    </w:sdt>
    <w:sdt>
      <w:sdtPr>
        <w:rPr>
          <w:rFonts w:ascii="Times New Roman" w:hAnsi="Times New Roman"/>
          <w:color w:val="auto"/>
          <w:sz w:val="24"/>
        </w:rPr>
        <w:id w:val="1752237542"/>
        <w:docPartObj>
          <w:docPartGallery w:val="Table of Contents"/>
          <w:docPartUnique/>
        </w:docPartObj>
      </w:sdtPr>
      <w:sdtEndPr>
        <w:rPr>
          <w:b/>
          <w:bCs/>
          <w:noProof/>
        </w:rPr>
      </w:sdtEndPr>
      <w:sdtContent>
        <w:p w:rsidR="00A56D63" w:rsidRPr="0066468A" w:rsidRDefault="00A56D63" w:rsidP="0066468A">
          <w:pPr>
            <w:pStyle w:val="TOCHeading"/>
          </w:pPr>
          <w:r w:rsidRPr="0066468A">
            <w:t>Contents</w:t>
          </w:r>
        </w:p>
        <w:p w:rsidR="005A030B" w:rsidRDefault="00A56D63">
          <w:pPr>
            <w:pStyle w:val="TOC1"/>
            <w:tabs>
              <w:tab w:val="left" w:pos="440"/>
              <w:tab w:val="right" w:leader="dot" w:pos="10340"/>
            </w:tabs>
            <w:rPr>
              <w:rFonts w:asciiTheme="minorHAnsi" w:eastAsiaTheme="minorEastAsia" w:hAnsiTheme="minorHAnsi"/>
              <w:noProof/>
              <w:sz w:val="22"/>
            </w:rPr>
          </w:pPr>
          <w:r>
            <w:fldChar w:fldCharType="begin"/>
          </w:r>
          <w:r>
            <w:instrText xml:space="preserve"> TOC \o "1-3" \h \z \u </w:instrText>
          </w:r>
          <w:r>
            <w:fldChar w:fldCharType="separate"/>
          </w:r>
          <w:hyperlink w:anchor="_Toc470010387" w:history="1">
            <w:r w:rsidR="005A030B" w:rsidRPr="00F64B1A">
              <w:rPr>
                <w:rStyle w:val="Hyperlink"/>
                <w:noProof/>
              </w:rPr>
              <w:t>1</w:t>
            </w:r>
            <w:r w:rsidR="005A030B">
              <w:rPr>
                <w:rFonts w:asciiTheme="minorHAnsi" w:eastAsiaTheme="minorEastAsia" w:hAnsiTheme="minorHAnsi"/>
                <w:noProof/>
                <w:sz w:val="22"/>
              </w:rPr>
              <w:tab/>
            </w:r>
            <w:r w:rsidR="005A030B" w:rsidRPr="00F64B1A">
              <w:rPr>
                <w:rStyle w:val="Hyperlink"/>
                <w:noProof/>
              </w:rPr>
              <w:t>Overview</w:t>
            </w:r>
            <w:r w:rsidR="005A030B">
              <w:rPr>
                <w:noProof/>
                <w:webHidden/>
              </w:rPr>
              <w:tab/>
            </w:r>
            <w:r w:rsidR="005A030B">
              <w:rPr>
                <w:noProof/>
                <w:webHidden/>
              </w:rPr>
              <w:fldChar w:fldCharType="begin"/>
            </w:r>
            <w:r w:rsidR="005A030B">
              <w:rPr>
                <w:noProof/>
                <w:webHidden/>
              </w:rPr>
              <w:instrText xml:space="preserve"> PAGEREF _Toc470010387 \h </w:instrText>
            </w:r>
            <w:r w:rsidR="005A030B">
              <w:rPr>
                <w:noProof/>
                <w:webHidden/>
              </w:rPr>
            </w:r>
            <w:r w:rsidR="005A030B">
              <w:rPr>
                <w:noProof/>
                <w:webHidden/>
              </w:rPr>
              <w:fldChar w:fldCharType="separate"/>
            </w:r>
            <w:r w:rsidR="00C83A20">
              <w:rPr>
                <w:noProof/>
                <w:webHidden/>
              </w:rPr>
              <w:t>1</w:t>
            </w:r>
            <w:r w:rsidR="005A030B">
              <w:rPr>
                <w:noProof/>
                <w:webHidden/>
              </w:rPr>
              <w:fldChar w:fldCharType="end"/>
            </w:r>
          </w:hyperlink>
        </w:p>
        <w:p w:rsidR="005A030B" w:rsidRDefault="00AF0CCE">
          <w:pPr>
            <w:pStyle w:val="TOC2"/>
            <w:tabs>
              <w:tab w:val="left" w:pos="880"/>
              <w:tab w:val="right" w:leader="dot" w:pos="10340"/>
            </w:tabs>
            <w:rPr>
              <w:rFonts w:asciiTheme="minorHAnsi" w:eastAsiaTheme="minorEastAsia" w:hAnsiTheme="minorHAnsi"/>
              <w:noProof/>
              <w:sz w:val="22"/>
            </w:rPr>
          </w:pPr>
          <w:hyperlink w:anchor="_Toc470010388" w:history="1">
            <w:r w:rsidR="005A030B" w:rsidRPr="00F64B1A">
              <w:rPr>
                <w:rStyle w:val="Hyperlink"/>
                <w:noProof/>
              </w:rPr>
              <w:t>1.1</w:t>
            </w:r>
            <w:r w:rsidR="005A030B">
              <w:rPr>
                <w:rFonts w:asciiTheme="minorHAnsi" w:eastAsiaTheme="minorEastAsia" w:hAnsiTheme="minorHAnsi"/>
                <w:noProof/>
                <w:sz w:val="22"/>
              </w:rPr>
              <w:tab/>
            </w:r>
            <w:r w:rsidR="005A030B" w:rsidRPr="00F64B1A">
              <w:rPr>
                <w:rStyle w:val="Hyperlink"/>
                <w:noProof/>
              </w:rPr>
              <w:t>Introduction</w:t>
            </w:r>
            <w:r w:rsidR="005A030B">
              <w:rPr>
                <w:noProof/>
                <w:webHidden/>
              </w:rPr>
              <w:tab/>
            </w:r>
            <w:r w:rsidR="005A030B">
              <w:rPr>
                <w:noProof/>
                <w:webHidden/>
              </w:rPr>
              <w:fldChar w:fldCharType="begin"/>
            </w:r>
            <w:r w:rsidR="005A030B">
              <w:rPr>
                <w:noProof/>
                <w:webHidden/>
              </w:rPr>
              <w:instrText xml:space="preserve"> PAGEREF _Toc470010388 \h </w:instrText>
            </w:r>
            <w:r w:rsidR="005A030B">
              <w:rPr>
                <w:noProof/>
                <w:webHidden/>
              </w:rPr>
            </w:r>
            <w:r w:rsidR="005A030B">
              <w:rPr>
                <w:noProof/>
                <w:webHidden/>
              </w:rPr>
              <w:fldChar w:fldCharType="separate"/>
            </w:r>
            <w:r w:rsidR="00C83A20">
              <w:rPr>
                <w:noProof/>
                <w:webHidden/>
              </w:rPr>
              <w:t>1</w:t>
            </w:r>
            <w:r w:rsidR="005A030B">
              <w:rPr>
                <w:noProof/>
                <w:webHidden/>
              </w:rPr>
              <w:fldChar w:fldCharType="end"/>
            </w:r>
          </w:hyperlink>
        </w:p>
        <w:p w:rsidR="005A030B" w:rsidRDefault="00AF0CCE">
          <w:pPr>
            <w:pStyle w:val="TOC2"/>
            <w:tabs>
              <w:tab w:val="left" w:pos="880"/>
              <w:tab w:val="right" w:leader="dot" w:pos="10340"/>
            </w:tabs>
            <w:rPr>
              <w:rFonts w:asciiTheme="minorHAnsi" w:eastAsiaTheme="minorEastAsia" w:hAnsiTheme="minorHAnsi"/>
              <w:noProof/>
              <w:sz w:val="22"/>
            </w:rPr>
          </w:pPr>
          <w:hyperlink w:anchor="_Toc470010389" w:history="1">
            <w:r w:rsidR="005A030B" w:rsidRPr="00F64B1A">
              <w:rPr>
                <w:rStyle w:val="Hyperlink"/>
                <w:noProof/>
              </w:rPr>
              <w:t>1.2</w:t>
            </w:r>
            <w:r w:rsidR="005A030B">
              <w:rPr>
                <w:rFonts w:asciiTheme="minorHAnsi" w:eastAsiaTheme="minorEastAsia" w:hAnsiTheme="minorHAnsi"/>
                <w:noProof/>
                <w:sz w:val="22"/>
              </w:rPr>
              <w:tab/>
            </w:r>
            <w:r w:rsidR="005A030B" w:rsidRPr="00F64B1A">
              <w:rPr>
                <w:rStyle w:val="Hyperlink"/>
                <w:noProof/>
              </w:rPr>
              <w:t>Tinnitus Model Objectives</w:t>
            </w:r>
            <w:r w:rsidR="005A030B">
              <w:rPr>
                <w:noProof/>
                <w:webHidden/>
              </w:rPr>
              <w:tab/>
            </w:r>
            <w:r w:rsidR="005A030B">
              <w:rPr>
                <w:noProof/>
                <w:webHidden/>
              </w:rPr>
              <w:fldChar w:fldCharType="begin"/>
            </w:r>
            <w:r w:rsidR="005A030B">
              <w:rPr>
                <w:noProof/>
                <w:webHidden/>
              </w:rPr>
              <w:instrText xml:space="preserve"> PAGEREF _Toc470010389 \h </w:instrText>
            </w:r>
            <w:r w:rsidR="005A030B">
              <w:rPr>
                <w:noProof/>
                <w:webHidden/>
              </w:rPr>
            </w:r>
            <w:r w:rsidR="005A030B">
              <w:rPr>
                <w:noProof/>
                <w:webHidden/>
              </w:rPr>
              <w:fldChar w:fldCharType="separate"/>
            </w:r>
            <w:r w:rsidR="00C83A20">
              <w:rPr>
                <w:noProof/>
                <w:webHidden/>
              </w:rPr>
              <w:t>1</w:t>
            </w:r>
            <w:r w:rsidR="005A030B">
              <w:rPr>
                <w:noProof/>
                <w:webHidden/>
              </w:rPr>
              <w:fldChar w:fldCharType="end"/>
            </w:r>
          </w:hyperlink>
        </w:p>
        <w:p w:rsidR="005A030B" w:rsidRDefault="00AF0CCE">
          <w:pPr>
            <w:pStyle w:val="TOC1"/>
            <w:tabs>
              <w:tab w:val="left" w:pos="440"/>
              <w:tab w:val="right" w:leader="dot" w:pos="10340"/>
            </w:tabs>
            <w:rPr>
              <w:rFonts w:asciiTheme="minorHAnsi" w:eastAsiaTheme="minorEastAsia" w:hAnsiTheme="minorHAnsi"/>
              <w:noProof/>
              <w:sz w:val="22"/>
            </w:rPr>
          </w:pPr>
          <w:hyperlink w:anchor="_Toc470010390" w:history="1">
            <w:r w:rsidR="005A030B" w:rsidRPr="00F64B1A">
              <w:rPr>
                <w:rStyle w:val="Hyperlink"/>
                <w:noProof/>
              </w:rPr>
              <w:t>2</w:t>
            </w:r>
            <w:r w:rsidR="005A030B">
              <w:rPr>
                <w:rFonts w:asciiTheme="minorHAnsi" w:eastAsiaTheme="minorEastAsia" w:hAnsiTheme="minorHAnsi"/>
                <w:noProof/>
                <w:sz w:val="22"/>
              </w:rPr>
              <w:tab/>
            </w:r>
            <w:r w:rsidR="005A030B" w:rsidRPr="00F64B1A">
              <w:rPr>
                <w:rStyle w:val="Hyperlink"/>
                <w:noProof/>
              </w:rPr>
              <w:t>Tinnitus Model Results</w:t>
            </w:r>
            <w:r w:rsidR="005A030B">
              <w:rPr>
                <w:noProof/>
                <w:webHidden/>
              </w:rPr>
              <w:tab/>
            </w:r>
            <w:r w:rsidR="005A030B">
              <w:rPr>
                <w:noProof/>
                <w:webHidden/>
              </w:rPr>
              <w:fldChar w:fldCharType="begin"/>
            </w:r>
            <w:r w:rsidR="005A030B">
              <w:rPr>
                <w:noProof/>
                <w:webHidden/>
              </w:rPr>
              <w:instrText xml:space="preserve"> PAGEREF _Toc470010390 \h </w:instrText>
            </w:r>
            <w:r w:rsidR="005A030B">
              <w:rPr>
                <w:noProof/>
                <w:webHidden/>
              </w:rPr>
            </w:r>
            <w:r w:rsidR="005A030B">
              <w:rPr>
                <w:noProof/>
                <w:webHidden/>
              </w:rPr>
              <w:fldChar w:fldCharType="separate"/>
            </w:r>
            <w:r w:rsidR="00C83A20">
              <w:rPr>
                <w:noProof/>
                <w:webHidden/>
              </w:rPr>
              <w:t>3</w:t>
            </w:r>
            <w:r w:rsidR="005A030B">
              <w:rPr>
                <w:noProof/>
                <w:webHidden/>
              </w:rPr>
              <w:fldChar w:fldCharType="end"/>
            </w:r>
          </w:hyperlink>
        </w:p>
        <w:p w:rsidR="005A030B" w:rsidRDefault="00AF0CCE">
          <w:pPr>
            <w:pStyle w:val="TOC2"/>
            <w:tabs>
              <w:tab w:val="left" w:pos="880"/>
              <w:tab w:val="right" w:leader="dot" w:pos="10340"/>
            </w:tabs>
            <w:rPr>
              <w:rFonts w:asciiTheme="minorHAnsi" w:eastAsiaTheme="minorEastAsia" w:hAnsiTheme="minorHAnsi"/>
              <w:noProof/>
              <w:sz w:val="22"/>
            </w:rPr>
          </w:pPr>
          <w:hyperlink w:anchor="_Toc470010391" w:history="1">
            <w:r w:rsidR="005A030B" w:rsidRPr="00F64B1A">
              <w:rPr>
                <w:rStyle w:val="Hyperlink"/>
                <w:noProof/>
              </w:rPr>
              <w:t>2.1</w:t>
            </w:r>
            <w:r w:rsidR="005A030B">
              <w:rPr>
                <w:rFonts w:asciiTheme="minorHAnsi" w:eastAsiaTheme="minorEastAsia" w:hAnsiTheme="minorHAnsi"/>
                <w:noProof/>
                <w:sz w:val="22"/>
              </w:rPr>
              <w:tab/>
            </w:r>
            <w:r w:rsidR="005A030B" w:rsidRPr="00F64B1A">
              <w:rPr>
                <w:rStyle w:val="Hyperlink"/>
                <w:noProof/>
              </w:rPr>
              <w:t>Tinnitus Model Performance Analysis</w:t>
            </w:r>
            <w:r w:rsidR="005A030B">
              <w:rPr>
                <w:noProof/>
                <w:webHidden/>
              </w:rPr>
              <w:tab/>
            </w:r>
            <w:r w:rsidR="005A030B">
              <w:rPr>
                <w:noProof/>
                <w:webHidden/>
              </w:rPr>
              <w:fldChar w:fldCharType="begin"/>
            </w:r>
            <w:r w:rsidR="005A030B">
              <w:rPr>
                <w:noProof/>
                <w:webHidden/>
              </w:rPr>
              <w:instrText xml:space="preserve"> PAGEREF _Toc470010391 \h </w:instrText>
            </w:r>
            <w:r w:rsidR="005A030B">
              <w:rPr>
                <w:noProof/>
                <w:webHidden/>
              </w:rPr>
            </w:r>
            <w:r w:rsidR="005A030B">
              <w:rPr>
                <w:noProof/>
                <w:webHidden/>
              </w:rPr>
              <w:fldChar w:fldCharType="separate"/>
            </w:r>
            <w:r w:rsidR="00C83A20">
              <w:rPr>
                <w:noProof/>
                <w:webHidden/>
              </w:rPr>
              <w:t>3</w:t>
            </w:r>
            <w:r w:rsidR="005A030B">
              <w:rPr>
                <w:noProof/>
                <w:webHidden/>
              </w:rPr>
              <w:fldChar w:fldCharType="end"/>
            </w:r>
          </w:hyperlink>
        </w:p>
        <w:p w:rsidR="005A030B" w:rsidRDefault="00AF0CCE">
          <w:pPr>
            <w:pStyle w:val="TOC1"/>
            <w:tabs>
              <w:tab w:val="left" w:pos="440"/>
              <w:tab w:val="right" w:leader="dot" w:pos="10340"/>
            </w:tabs>
            <w:rPr>
              <w:rFonts w:asciiTheme="minorHAnsi" w:eastAsiaTheme="minorEastAsia" w:hAnsiTheme="minorHAnsi"/>
              <w:noProof/>
              <w:sz w:val="22"/>
            </w:rPr>
          </w:pPr>
          <w:hyperlink w:anchor="_Toc470010392" w:history="1">
            <w:r w:rsidR="005A030B" w:rsidRPr="00F64B1A">
              <w:rPr>
                <w:rStyle w:val="Hyperlink"/>
                <w:noProof/>
              </w:rPr>
              <w:t>3</w:t>
            </w:r>
            <w:r w:rsidR="005A030B">
              <w:rPr>
                <w:rFonts w:asciiTheme="minorHAnsi" w:eastAsiaTheme="minorEastAsia" w:hAnsiTheme="minorHAnsi"/>
                <w:noProof/>
                <w:sz w:val="22"/>
              </w:rPr>
              <w:tab/>
            </w:r>
            <w:r w:rsidR="005A030B" w:rsidRPr="00F64B1A">
              <w:rPr>
                <w:rStyle w:val="Hyperlink"/>
                <w:noProof/>
              </w:rPr>
              <w:t>BCDS Modeling - Business Process Integration</w:t>
            </w:r>
            <w:r w:rsidR="005A030B">
              <w:rPr>
                <w:noProof/>
                <w:webHidden/>
              </w:rPr>
              <w:tab/>
            </w:r>
            <w:r w:rsidR="005A030B">
              <w:rPr>
                <w:noProof/>
                <w:webHidden/>
              </w:rPr>
              <w:fldChar w:fldCharType="begin"/>
            </w:r>
            <w:r w:rsidR="005A030B">
              <w:rPr>
                <w:noProof/>
                <w:webHidden/>
              </w:rPr>
              <w:instrText xml:space="preserve"> PAGEREF _Toc470010392 \h </w:instrText>
            </w:r>
            <w:r w:rsidR="005A030B">
              <w:rPr>
                <w:noProof/>
                <w:webHidden/>
              </w:rPr>
            </w:r>
            <w:r w:rsidR="005A030B">
              <w:rPr>
                <w:noProof/>
                <w:webHidden/>
              </w:rPr>
              <w:fldChar w:fldCharType="separate"/>
            </w:r>
            <w:r w:rsidR="00C83A20">
              <w:rPr>
                <w:noProof/>
                <w:webHidden/>
              </w:rPr>
              <w:t>4</w:t>
            </w:r>
            <w:r w:rsidR="005A030B">
              <w:rPr>
                <w:noProof/>
                <w:webHidden/>
              </w:rPr>
              <w:fldChar w:fldCharType="end"/>
            </w:r>
          </w:hyperlink>
        </w:p>
        <w:p w:rsidR="005A030B" w:rsidRDefault="00AF0CCE">
          <w:pPr>
            <w:pStyle w:val="TOC1"/>
            <w:tabs>
              <w:tab w:val="left" w:pos="1540"/>
              <w:tab w:val="right" w:leader="dot" w:pos="10340"/>
            </w:tabs>
            <w:rPr>
              <w:rFonts w:asciiTheme="minorHAnsi" w:eastAsiaTheme="minorEastAsia" w:hAnsiTheme="minorHAnsi"/>
              <w:noProof/>
              <w:sz w:val="22"/>
            </w:rPr>
          </w:pPr>
          <w:hyperlink w:anchor="_Toc470010393" w:history="1">
            <w:r w:rsidR="005A030B" w:rsidRPr="00F64B1A">
              <w:rPr>
                <w:rStyle w:val="Hyperlink"/>
                <w:noProof/>
              </w:rPr>
              <w:t>Appendix A:</w:t>
            </w:r>
            <w:r w:rsidR="005A030B">
              <w:rPr>
                <w:rFonts w:asciiTheme="minorHAnsi" w:eastAsiaTheme="minorEastAsia" w:hAnsiTheme="minorHAnsi"/>
                <w:noProof/>
                <w:sz w:val="22"/>
              </w:rPr>
              <w:tab/>
            </w:r>
            <w:r w:rsidR="005A030B" w:rsidRPr="00F64B1A">
              <w:rPr>
                <w:rStyle w:val="Hyperlink"/>
                <w:noProof/>
              </w:rPr>
              <w:t>Technical Specifications</w:t>
            </w:r>
            <w:r w:rsidR="005A030B">
              <w:rPr>
                <w:noProof/>
                <w:webHidden/>
              </w:rPr>
              <w:tab/>
            </w:r>
            <w:r w:rsidR="005A030B">
              <w:rPr>
                <w:noProof/>
                <w:webHidden/>
              </w:rPr>
              <w:fldChar w:fldCharType="begin"/>
            </w:r>
            <w:r w:rsidR="005A030B">
              <w:rPr>
                <w:noProof/>
                <w:webHidden/>
              </w:rPr>
              <w:instrText xml:space="preserve"> PAGEREF _Toc470010393 \h </w:instrText>
            </w:r>
            <w:r w:rsidR="005A030B">
              <w:rPr>
                <w:noProof/>
                <w:webHidden/>
              </w:rPr>
            </w:r>
            <w:r w:rsidR="005A030B">
              <w:rPr>
                <w:noProof/>
                <w:webHidden/>
              </w:rPr>
              <w:fldChar w:fldCharType="separate"/>
            </w:r>
            <w:r w:rsidR="00C83A20">
              <w:rPr>
                <w:noProof/>
                <w:webHidden/>
              </w:rPr>
              <w:t>6</w:t>
            </w:r>
            <w:r w:rsidR="005A030B">
              <w:rPr>
                <w:noProof/>
                <w:webHidden/>
              </w:rPr>
              <w:fldChar w:fldCharType="end"/>
            </w:r>
          </w:hyperlink>
        </w:p>
        <w:p w:rsidR="005A030B" w:rsidRDefault="00AF0CCE">
          <w:pPr>
            <w:pStyle w:val="TOC1"/>
            <w:tabs>
              <w:tab w:val="left" w:pos="1540"/>
              <w:tab w:val="right" w:leader="dot" w:pos="10340"/>
            </w:tabs>
            <w:rPr>
              <w:rFonts w:asciiTheme="minorHAnsi" w:eastAsiaTheme="minorEastAsia" w:hAnsiTheme="minorHAnsi"/>
              <w:noProof/>
              <w:sz w:val="22"/>
            </w:rPr>
          </w:pPr>
          <w:hyperlink w:anchor="_Toc470010394" w:history="1">
            <w:r w:rsidR="005A030B" w:rsidRPr="00F64B1A">
              <w:rPr>
                <w:rStyle w:val="Hyperlink"/>
                <w:noProof/>
              </w:rPr>
              <w:t>Appendix B:</w:t>
            </w:r>
            <w:r w:rsidR="005A030B">
              <w:rPr>
                <w:rFonts w:asciiTheme="minorHAnsi" w:eastAsiaTheme="minorEastAsia" w:hAnsiTheme="minorHAnsi"/>
                <w:noProof/>
                <w:sz w:val="22"/>
              </w:rPr>
              <w:tab/>
            </w:r>
            <w:r w:rsidR="005A030B" w:rsidRPr="00F64B1A">
              <w:rPr>
                <w:rStyle w:val="Hyperlink"/>
                <w:noProof/>
              </w:rPr>
              <w:t>BCDSS Model Architecture</w:t>
            </w:r>
            <w:r w:rsidR="005A030B">
              <w:rPr>
                <w:noProof/>
                <w:webHidden/>
              </w:rPr>
              <w:tab/>
            </w:r>
            <w:r w:rsidR="005A030B">
              <w:rPr>
                <w:noProof/>
                <w:webHidden/>
              </w:rPr>
              <w:fldChar w:fldCharType="begin"/>
            </w:r>
            <w:r w:rsidR="005A030B">
              <w:rPr>
                <w:noProof/>
                <w:webHidden/>
              </w:rPr>
              <w:instrText xml:space="preserve"> PAGEREF _Toc470010394 \h </w:instrText>
            </w:r>
            <w:r w:rsidR="005A030B">
              <w:rPr>
                <w:noProof/>
                <w:webHidden/>
              </w:rPr>
            </w:r>
            <w:r w:rsidR="005A030B">
              <w:rPr>
                <w:noProof/>
                <w:webHidden/>
              </w:rPr>
              <w:fldChar w:fldCharType="separate"/>
            </w:r>
            <w:r w:rsidR="00C83A20">
              <w:rPr>
                <w:noProof/>
                <w:webHidden/>
              </w:rPr>
              <w:t>8</w:t>
            </w:r>
            <w:r w:rsidR="005A030B">
              <w:rPr>
                <w:noProof/>
                <w:webHidden/>
              </w:rPr>
              <w:fldChar w:fldCharType="end"/>
            </w:r>
          </w:hyperlink>
        </w:p>
        <w:p w:rsidR="005A030B" w:rsidRDefault="00AF0CCE">
          <w:pPr>
            <w:pStyle w:val="TOC2"/>
            <w:tabs>
              <w:tab w:val="left" w:pos="880"/>
              <w:tab w:val="right" w:leader="dot" w:pos="10340"/>
            </w:tabs>
            <w:rPr>
              <w:rFonts w:asciiTheme="minorHAnsi" w:eastAsiaTheme="minorEastAsia" w:hAnsiTheme="minorHAnsi"/>
              <w:noProof/>
              <w:sz w:val="22"/>
            </w:rPr>
          </w:pPr>
          <w:hyperlink w:anchor="_Toc470010395" w:history="1">
            <w:r w:rsidR="005A030B" w:rsidRPr="00F64B1A">
              <w:rPr>
                <w:rStyle w:val="Hyperlink"/>
                <w:noProof/>
              </w:rPr>
              <w:t>B.1</w:t>
            </w:r>
            <w:r w:rsidR="005A030B">
              <w:rPr>
                <w:rFonts w:asciiTheme="minorHAnsi" w:eastAsiaTheme="minorEastAsia" w:hAnsiTheme="minorHAnsi"/>
                <w:noProof/>
                <w:sz w:val="22"/>
              </w:rPr>
              <w:tab/>
            </w:r>
            <w:r w:rsidR="005A030B" w:rsidRPr="00F64B1A">
              <w:rPr>
                <w:rStyle w:val="Hyperlink"/>
                <w:noProof/>
              </w:rPr>
              <w:t>BCDSS Pattern-Matching Architecture</w:t>
            </w:r>
            <w:r w:rsidR="005A030B">
              <w:rPr>
                <w:noProof/>
                <w:webHidden/>
              </w:rPr>
              <w:tab/>
            </w:r>
            <w:r w:rsidR="005A030B">
              <w:rPr>
                <w:noProof/>
                <w:webHidden/>
              </w:rPr>
              <w:fldChar w:fldCharType="begin"/>
            </w:r>
            <w:r w:rsidR="005A030B">
              <w:rPr>
                <w:noProof/>
                <w:webHidden/>
              </w:rPr>
              <w:instrText xml:space="preserve"> PAGEREF _Toc470010395 \h </w:instrText>
            </w:r>
            <w:r w:rsidR="005A030B">
              <w:rPr>
                <w:noProof/>
                <w:webHidden/>
              </w:rPr>
            </w:r>
            <w:r w:rsidR="005A030B">
              <w:rPr>
                <w:noProof/>
                <w:webHidden/>
              </w:rPr>
              <w:fldChar w:fldCharType="separate"/>
            </w:r>
            <w:r w:rsidR="00C83A20">
              <w:rPr>
                <w:noProof/>
                <w:webHidden/>
              </w:rPr>
              <w:t>11</w:t>
            </w:r>
            <w:r w:rsidR="005A030B">
              <w:rPr>
                <w:noProof/>
                <w:webHidden/>
              </w:rPr>
              <w:fldChar w:fldCharType="end"/>
            </w:r>
          </w:hyperlink>
        </w:p>
        <w:p w:rsidR="005A030B" w:rsidRDefault="00AF0CCE">
          <w:pPr>
            <w:pStyle w:val="TOC1"/>
            <w:tabs>
              <w:tab w:val="left" w:pos="1540"/>
              <w:tab w:val="right" w:leader="dot" w:pos="10340"/>
            </w:tabs>
            <w:rPr>
              <w:rFonts w:asciiTheme="minorHAnsi" w:eastAsiaTheme="minorEastAsia" w:hAnsiTheme="minorHAnsi"/>
              <w:noProof/>
              <w:sz w:val="22"/>
            </w:rPr>
          </w:pPr>
          <w:hyperlink w:anchor="_Toc470010396" w:history="1">
            <w:r w:rsidR="005A030B" w:rsidRPr="00F64B1A">
              <w:rPr>
                <w:rStyle w:val="Hyperlink"/>
                <w:noProof/>
              </w:rPr>
              <w:t>Appendix C:</w:t>
            </w:r>
            <w:r w:rsidR="005A030B">
              <w:rPr>
                <w:rFonts w:asciiTheme="minorHAnsi" w:eastAsiaTheme="minorEastAsia" w:hAnsiTheme="minorHAnsi"/>
                <w:noProof/>
                <w:sz w:val="22"/>
              </w:rPr>
              <w:tab/>
            </w:r>
            <w:r w:rsidR="005A030B" w:rsidRPr="00F64B1A">
              <w:rPr>
                <w:rStyle w:val="Hyperlink"/>
                <w:noProof/>
              </w:rPr>
              <w:t>Summary of MITRE Corporation’s Methodology</w:t>
            </w:r>
            <w:r w:rsidR="005A030B">
              <w:rPr>
                <w:noProof/>
                <w:webHidden/>
              </w:rPr>
              <w:tab/>
            </w:r>
            <w:r w:rsidR="005A030B">
              <w:rPr>
                <w:noProof/>
                <w:webHidden/>
              </w:rPr>
              <w:fldChar w:fldCharType="begin"/>
            </w:r>
            <w:r w:rsidR="005A030B">
              <w:rPr>
                <w:noProof/>
                <w:webHidden/>
              </w:rPr>
              <w:instrText xml:space="preserve"> PAGEREF _Toc470010396 \h </w:instrText>
            </w:r>
            <w:r w:rsidR="005A030B">
              <w:rPr>
                <w:noProof/>
                <w:webHidden/>
              </w:rPr>
            </w:r>
            <w:r w:rsidR="005A030B">
              <w:rPr>
                <w:noProof/>
                <w:webHidden/>
              </w:rPr>
              <w:fldChar w:fldCharType="separate"/>
            </w:r>
            <w:r w:rsidR="00C83A20">
              <w:rPr>
                <w:noProof/>
                <w:webHidden/>
              </w:rPr>
              <w:t>14</w:t>
            </w:r>
            <w:r w:rsidR="005A030B">
              <w:rPr>
                <w:noProof/>
                <w:webHidden/>
              </w:rPr>
              <w:fldChar w:fldCharType="end"/>
            </w:r>
          </w:hyperlink>
        </w:p>
        <w:p w:rsidR="00A56D63" w:rsidRDefault="00A56D63">
          <w:r>
            <w:rPr>
              <w:b/>
              <w:bCs/>
              <w:noProof/>
            </w:rPr>
            <w:fldChar w:fldCharType="end"/>
          </w:r>
        </w:p>
      </w:sdtContent>
    </w:sdt>
    <w:p w:rsidR="00EF721E" w:rsidRDefault="00EF721E">
      <w:pPr>
        <w:spacing w:line="259" w:lineRule="auto"/>
        <w:rPr>
          <w:rFonts w:asciiTheme="majorHAnsi" w:eastAsiaTheme="majorEastAsia" w:hAnsiTheme="majorHAnsi" w:cstheme="majorBidi"/>
          <w:color w:val="2E74B5" w:themeColor="accent1" w:themeShade="BF"/>
          <w:sz w:val="32"/>
          <w:szCs w:val="32"/>
          <w:highlight w:val="lightGray"/>
        </w:rPr>
      </w:pPr>
      <w:bookmarkStart w:id="0" w:name="_Toc468954321"/>
      <w:bookmarkStart w:id="1" w:name="_Toc468954939"/>
      <w:bookmarkStart w:id="2" w:name="_Toc468962169"/>
      <w:bookmarkStart w:id="3" w:name="_Toc468964345"/>
      <w:bookmarkEnd w:id="0"/>
      <w:bookmarkEnd w:id="1"/>
      <w:bookmarkEnd w:id="2"/>
      <w:bookmarkEnd w:id="3"/>
      <w:r>
        <w:rPr>
          <w:highlight w:val="lightGray"/>
        </w:rPr>
        <w:br w:type="page"/>
      </w:r>
    </w:p>
    <w:p w:rsidR="00B54BF6" w:rsidRDefault="00B54BF6" w:rsidP="00EF721E">
      <w:pPr>
        <w:pStyle w:val="Heading1"/>
      </w:pPr>
      <w:bookmarkStart w:id="4" w:name="_Toc470010387"/>
      <w:r>
        <w:t>Overview</w:t>
      </w:r>
      <w:bookmarkEnd w:id="4"/>
    </w:p>
    <w:p w:rsidR="008013C2" w:rsidRPr="008013C2" w:rsidRDefault="00810755" w:rsidP="00B54BF6">
      <w:pPr>
        <w:pStyle w:val="Heading2"/>
      </w:pPr>
      <w:bookmarkStart w:id="5" w:name="_Toc470010388"/>
      <w:r>
        <w:t>Introduction</w:t>
      </w:r>
      <w:bookmarkEnd w:id="5"/>
    </w:p>
    <w:p w:rsidR="00B47105" w:rsidRDefault="00E04F29" w:rsidP="00B47105">
      <w:r w:rsidRPr="00E04F29">
        <w:t>This Tinnitus Model Manual describes the methodology, specifications, performance parameters, and statistical limitations of the Benefits Claims Decision Support System (BCDSS) Tinnitus Model (BCDSS Model No. 00</w:t>
      </w:r>
      <w:r w:rsidR="000D337A">
        <w:t>4</w:t>
      </w:r>
      <w:r w:rsidRPr="00E04F29">
        <w:t xml:space="preserve">). </w:t>
      </w:r>
      <w:r w:rsidR="00B47105">
        <w:t xml:space="preserve"> </w:t>
      </w:r>
      <w:r>
        <w:t xml:space="preserve">The Tinnitus Model is one of a portfolio of predictive models supporting BCDSS.  </w:t>
      </w:r>
      <w:r w:rsidR="00B47105">
        <w:t>BCDSS is a proof</w:t>
      </w:r>
      <w:r w:rsidR="00B10AC6">
        <w:t>-</w:t>
      </w:r>
      <w:r w:rsidR="00B47105">
        <w:t>of</w:t>
      </w:r>
      <w:r w:rsidR="00B10AC6">
        <w:t>-</w:t>
      </w:r>
      <w:r w:rsidR="00B47105">
        <w:t xml:space="preserve">concept project jointly sponsored by the </w:t>
      </w:r>
      <w:r w:rsidR="00B10AC6">
        <w:t>Department of Veterans Affairs (</w:t>
      </w:r>
      <w:r w:rsidR="00B47105">
        <w:t>VA</w:t>
      </w:r>
      <w:r w:rsidR="00B10AC6">
        <w:t>)</w:t>
      </w:r>
      <w:r w:rsidR="00B47105">
        <w:t xml:space="preserve"> Center for Innovation</w:t>
      </w:r>
      <w:r>
        <w:t xml:space="preserve"> (VACI)</w:t>
      </w:r>
      <w:r w:rsidR="00B47105">
        <w:t xml:space="preserve"> and the Veterans Benefits Administration (VBA) to</w:t>
      </w:r>
      <w:r w:rsidR="00B54BF6" w:rsidRPr="00B54BF6">
        <w:t xml:space="preserve"> demonstrate the feasibility of using automation and predictive models to calculate the disability </w:t>
      </w:r>
      <w:r w:rsidR="00791EB5">
        <w:t>rating</w:t>
      </w:r>
      <w:r w:rsidR="00B54BF6" w:rsidRPr="00B54BF6">
        <w:t xml:space="preserve"> for </w:t>
      </w:r>
      <w:r w:rsidR="009D23AD">
        <w:t>certain types of claims</w:t>
      </w:r>
      <w:r w:rsidR="003A0D3D">
        <w:t xml:space="preserve"> </w:t>
      </w:r>
      <w:r w:rsidR="00B54BF6" w:rsidRPr="00B54BF6">
        <w:t xml:space="preserve">for disability compensation benefits. </w:t>
      </w:r>
      <w:r w:rsidR="009D23AD">
        <w:t xml:space="preserve">The BCDSS project includes both the development of candidate models for rating claims and a software platform which provides the functionality and environment for the models to run against Veteran and Claims data in order to produce a model recommended rating. </w:t>
      </w:r>
    </w:p>
    <w:p w:rsidR="00B47105" w:rsidRDefault="00B47105" w:rsidP="00B47105">
      <w:pPr>
        <w:pStyle w:val="Heading2"/>
      </w:pPr>
      <w:bookmarkStart w:id="6" w:name="_Toc470010389"/>
      <w:r>
        <w:t>Tinnitus Model Objectives</w:t>
      </w:r>
      <w:bookmarkEnd w:id="6"/>
    </w:p>
    <w:p w:rsidR="005B6AE5" w:rsidRDefault="00BE0877" w:rsidP="00443EFA">
      <w:r>
        <w:t xml:space="preserve">The objective for all </w:t>
      </w:r>
      <w:r w:rsidR="00443EFA">
        <w:t xml:space="preserve">BCDSS </w:t>
      </w:r>
      <w:r>
        <w:t>m</w:t>
      </w:r>
      <w:r w:rsidR="00D75659">
        <w:t>odel</w:t>
      </w:r>
      <w:r>
        <w:t>s</w:t>
      </w:r>
      <w:r w:rsidR="00E04F29">
        <w:t xml:space="preserve"> </w:t>
      </w:r>
      <w:r w:rsidR="00D75659">
        <w:t xml:space="preserve">is </w:t>
      </w:r>
      <w:r w:rsidR="00E04F29">
        <w:t xml:space="preserve">to </w:t>
      </w:r>
      <w:r w:rsidR="005B6AE5">
        <w:t xml:space="preserve">accurately </w:t>
      </w:r>
      <w:r w:rsidR="00E04F29">
        <w:t xml:space="preserve">determine the </w:t>
      </w:r>
      <w:r w:rsidR="00D75659">
        <w:t>rating</w:t>
      </w:r>
      <w:r w:rsidR="00E04F29">
        <w:t xml:space="preserve"> for </w:t>
      </w:r>
      <w:r w:rsidR="00741F0F">
        <w:t xml:space="preserve">the </w:t>
      </w:r>
      <w:r w:rsidR="005305A4">
        <w:t>maximum number</w:t>
      </w:r>
      <w:r w:rsidR="00741F0F">
        <w:t xml:space="preserve"> of </w:t>
      </w:r>
      <w:r>
        <w:t>specified disability</w:t>
      </w:r>
      <w:r w:rsidR="00D75659">
        <w:t xml:space="preserve"> </w:t>
      </w:r>
      <w:r w:rsidR="00741F0F">
        <w:t>condition</w:t>
      </w:r>
      <w:r w:rsidR="00E95C45">
        <w:t xml:space="preserve"> </w:t>
      </w:r>
      <w:r w:rsidR="00D4238F">
        <w:t xml:space="preserve"> (e.g. hearing loss) </w:t>
      </w:r>
      <w:r w:rsidR="00741F0F">
        <w:t xml:space="preserve"> </w:t>
      </w:r>
      <w:r w:rsidR="005B6AE5">
        <w:t xml:space="preserve">contained </w:t>
      </w:r>
      <w:r w:rsidR="00E04F29">
        <w:t>within supplemental claims for increased disability compensation</w:t>
      </w:r>
      <w:r w:rsidR="005B6AE5">
        <w:t>.</w:t>
      </w:r>
      <w:r w:rsidR="00E04F29">
        <w:t xml:space="preserve"> </w:t>
      </w:r>
      <w:r w:rsidR="005B6AE5">
        <w:t xml:space="preserve"> </w:t>
      </w:r>
      <w:r w:rsidR="00D75659">
        <w:t>T</w:t>
      </w:r>
      <w:r w:rsidR="00B10AC6">
        <w:t>here are t</w:t>
      </w:r>
      <w:r w:rsidR="00D75659">
        <w:t xml:space="preserve">wo distinct metrics </w:t>
      </w:r>
      <w:r w:rsidR="00B10AC6">
        <w:t>for</w:t>
      </w:r>
      <w:r w:rsidR="00D75659">
        <w:t xml:space="preserve"> this objective:</w:t>
      </w:r>
    </w:p>
    <w:p w:rsidR="00082899" w:rsidRDefault="005B6AE5" w:rsidP="00C25129">
      <w:pPr>
        <w:pStyle w:val="ListParagraph"/>
        <w:numPr>
          <w:ilvl w:val="0"/>
          <w:numId w:val="5"/>
        </w:numPr>
      </w:pPr>
      <w:r w:rsidRPr="005B6AE5">
        <w:rPr>
          <w:b/>
          <w:color w:val="FF0000"/>
        </w:rPr>
        <w:t>Accuracy</w:t>
      </w:r>
      <w:r w:rsidRPr="00D75659">
        <w:t xml:space="preserve"> i</w:t>
      </w:r>
      <w:r>
        <w:t xml:space="preserve">s defined as calculating the same </w:t>
      </w:r>
      <w:r w:rsidR="00741F0F">
        <w:t>rating as that</w:t>
      </w:r>
      <w:r>
        <w:t xml:space="preserve"> determined by the Rating Veteran Service Representative (RVSR) through VBA’s traditio</w:t>
      </w:r>
      <w:r w:rsidR="00D75659">
        <w:t>nal claims adjudication process</w:t>
      </w:r>
      <w:r w:rsidR="00B10AC6">
        <w:t>.</w:t>
      </w:r>
    </w:p>
    <w:p w:rsidR="00D75659" w:rsidRDefault="00D75659" w:rsidP="00C25129">
      <w:pPr>
        <w:pStyle w:val="ListParagraph"/>
        <w:numPr>
          <w:ilvl w:val="0"/>
          <w:numId w:val="5"/>
        </w:numPr>
      </w:pPr>
      <w:r>
        <w:rPr>
          <w:b/>
          <w:color w:val="FF0000"/>
        </w:rPr>
        <w:t>Through-put</w:t>
      </w:r>
      <w:r w:rsidRPr="00D75659">
        <w:t xml:space="preserve"> is</w:t>
      </w:r>
      <w:r w:rsidR="005B6AE5" w:rsidRPr="00D75659">
        <w:t xml:space="preserve"> </w:t>
      </w:r>
      <w:r w:rsidR="005B6AE5">
        <w:t xml:space="preserve">defined as the </w:t>
      </w:r>
      <w:r>
        <w:t>fraction</w:t>
      </w:r>
      <w:r w:rsidR="005B6AE5">
        <w:t xml:space="preserve"> of supplemental claims containing </w:t>
      </w:r>
      <w:r>
        <w:t>at least one specified condition</w:t>
      </w:r>
      <w:r w:rsidR="005B6AE5">
        <w:t xml:space="preserve"> for which </w:t>
      </w:r>
      <w:r>
        <w:t>the</w:t>
      </w:r>
      <w:r w:rsidR="005B6AE5">
        <w:t xml:space="preserve"> </w:t>
      </w:r>
      <w:r w:rsidR="00BE0877">
        <w:t>rating</w:t>
      </w:r>
      <w:r w:rsidR="005B6AE5">
        <w:t xml:space="preserve"> </w:t>
      </w:r>
      <w:r>
        <w:t xml:space="preserve">can be calculated by the model </w:t>
      </w:r>
      <w:r w:rsidR="00BE0877">
        <w:t>(</w:t>
      </w:r>
      <w:r>
        <w:t>stated as a percent</w:t>
      </w:r>
      <w:r w:rsidR="00B10AC6">
        <w:t>age</w:t>
      </w:r>
      <w:r w:rsidR="00BE0877">
        <w:t>)</w:t>
      </w:r>
      <w:r>
        <w:t>.</w:t>
      </w:r>
    </w:p>
    <w:p w:rsidR="00443EFA" w:rsidRDefault="00B10AC6" w:rsidP="00443EFA">
      <w:r>
        <w:t xml:space="preserve">An analysis by </w:t>
      </w:r>
      <w:r w:rsidR="00D75659">
        <w:t xml:space="preserve">MITRE </w:t>
      </w:r>
      <w:r>
        <w:t xml:space="preserve">Corporation </w:t>
      </w:r>
      <w:r w:rsidR="00D75659">
        <w:t xml:space="preserve">demonstrated that accuracy rates of greater than 90 percent </w:t>
      </w:r>
      <w:r>
        <w:t>were possible</w:t>
      </w:r>
      <w:r w:rsidR="00D75659">
        <w:t xml:space="preserve"> for </w:t>
      </w:r>
      <w:r w:rsidR="00D4238F">
        <w:t xml:space="preserve">aggregate </w:t>
      </w:r>
      <w:r w:rsidR="00741F0F">
        <w:t>Ear</w:t>
      </w:r>
      <w:r>
        <w:t>-</w:t>
      </w:r>
      <w:r w:rsidR="00741F0F">
        <w:t xml:space="preserve">related conditions in </w:t>
      </w:r>
      <w:r w:rsidR="00D75659">
        <w:t>just over 50 percent of eligible supplemental claims.</w:t>
      </w:r>
      <w:r w:rsidR="00741F0F">
        <w:t xml:space="preserve">  Initial BCDSS </w:t>
      </w:r>
      <w:r w:rsidR="00D4238F">
        <w:t xml:space="preserve">hearing </w:t>
      </w:r>
      <w:r w:rsidR="00741F0F">
        <w:t xml:space="preserve">model </w:t>
      </w:r>
      <w:r w:rsidR="00D4238F">
        <w:t xml:space="preserve">( BCDSS Model 1.0 ) </w:t>
      </w:r>
      <w:r w:rsidR="00741F0F">
        <w:t>development efforts for aggregate ear related conditions achieved accuracy rates of 94.38 percent for 60.81 percent of eligible supplemental claims.</w:t>
      </w:r>
    </w:p>
    <w:p w:rsidR="005048C3" w:rsidRDefault="005048C3" w:rsidP="00443EFA">
      <w:r w:rsidRPr="00C83A20">
        <w:rPr>
          <w:b/>
        </w:rPr>
        <w:t>Footnote for Ear-related conditions:</w:t>
      </w:r>
      <w:r w:rsidRPr="005048C3">
        <w:t xml:space="preserve">  Conditions coded as Diagnosis 6100 (Hearing Loss), 6200 (Otitus Media (Chronic Ear Infection)), 6201 (Otitis Media), 6202 (Otosclerosis), 6204 (Labyrinthitis), 6205 (Meniere's Syndrome), 6207 (Loss or partial loss of Ear), 6209 (Benign growth of Ear), 6210 (Hearing Loss), 6211 (Perforated ear drum), and 6260 (Tinnitus).</w:t>
      </w:r>
    </w:p>
    <w:p w:rsidR="00741F0F" w:rsidRDefault="00741F0F" w:rsidP="00741F0F">
      <w:pPr>
        <w:rPr>
          <w:rFonts w:cs="Times New Roman"/>
          <w:szCs w:val="24"/>
        </w:rPr>
      </w:pPr>
      <w:r>
        <w:rPr>
          <w:noProof/>
        </w:rPr>
        <mc:AlternateContent>
          <mc:Choice Requires="wps">
            <w:drawing>
              <wp:anchor distT="0" distB="0" distL="114300" distR="114300" simplePos="0" relativeHeight="251663360" behindDoc="0" locked="0" layoutInCell="1" allowOverlap="1" wp14:anchorId="721B5C21" wp14:editId="1EAA6204">
                <wp:simplePos x="0" y="0"/>
                <wp:positionH relativeFrom="column">
                  <wp:posOffset>0</wp:posOffset>
                </wp:positionH>
                <wp:positionV relativeFrom="paragraph">
                  <wp:posOffset>3234690</wp:posOffset>
                </wp:positionV>
                <wp:extent cx="6572250" cy="635"/>
                <wp:effectExtent l="0" t="0" r="0" b="0"/>
                <wp:wrapSquare wrapText="bothSides"/>
                <wp:docPr id="2" name="Text Box 2"/>
                <wp:cNvGraphicFramePr/>
                <a:graphic xmlns:a="http://schemas.openxmlformats.org/drawingml/2006/main">
                  <a:graphicData uri="http://schemas.microsoft.com/office/word/2010/wordprocessingShape">
                    <wps:wsp>
                      <wps:cNvSpPr txBox="1"/>
                      <wps:spPr>
                        <a:xfrm>
                          <a:off x="0" y="0"/>
                          <a:ext cx="6572250" cy="635"/>
                        </a:xfrm>
                        <a:prstGeom prst="rect">
                          <a:avLst/>
                        </a:prstGeom>
                        <a:solidFill>
                          <a:prstClr val="white"/>
                        </a:solidFill>
                        <a:ln>
                          <a:noFill/>
                        </a:ln>
                        <a:effectLst/>
                      </wps:spPr>
                      <wps:txbx>
                        <w:txbxContent>
                          <w:p w:rsidR="009A0485" w:rsidRPr="00474079" w:rsidRDefault="009A0485" w:rsidP="00741F0F">
                            <w:pPr>
                              <w:pStyle w:val="Caption"/>
                              <w:rPr>
                                <w:noProof/>
                              </w:rPr>
                            </w:pPr>
                            <w:r>
                              <w:t xml:space="preserve">Figure </w:t>
                            </w:r>
                            <w:fldSimple w:instr=" SEQ Figure \* ARABIC ">
                              <w:r w:rsidR="009915B0">
                                <w:rPr>
                                  <w:noProof/>
                                </w:rPr>
                                <w:t>1</w:t>
                              </w:r>
                            </w:fldSimple>
                            <w:r>
                              <w:t xml:space="preserve">: Distribution of </w:t>
                            </w:r>
                            <w:r>
                              <w:rPr>
                                <w:noProof/>
                              </w:rPr>
                              <w:t>Modeling Results by Diagnostic Code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21B5C21" id="_x0000_t202" coordsize="21600,21600" o:spt="202" path="m,l,21600r21600,l21600,xe">
                <v:stroke joinstyle="miter"/>
                <v:path gradientshapeok="t" o:connecttype="rect"/>
              </v:shapetype>
              <v:shape id="Text Box 2" o:spid="_x0000_s1026" type="#_x0000_t202" style="position:absolute;margin-left:0;margin-top:254.7pt;width:517.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" stroked="f">
                <v:textbox style="mso-fit-shape-to-text:t" inset="0,0,0,0">
                  <w:txbxContent>
                    <w:p w:rsidR="009A0485" w:rsidRPr="00474079" w:rsidRDefault="009A0485" w:rsidP="00741F0F">
                      <w:pPr>
                        <w:pStyle w:val="Caption"/>
                        <w:rPr>
                          <w:noProof/>
                        </w:rPr>
                      </w:pPr>
                      <w:r>
                        <w:t xml:space="preserve">Figure </w:t>
                      </w:r>
                      <w:fldSimple w:instr=" SEQ Figure \* ARABIC ">
                        <w:r w:rsidR="009915B0">
                          <w:rPr>
                            <w:noProof/>
                          </w:rPr>
                          <w:t>1</w:t>
                        </w:r>
                      </w:fldSimple>
                      <w:r>
                        <w:t xml:space="preserve">: Distribution of </w:t>
                      </w:r>
                      <w:r>
                        <w:rPr>
                          <w:noProof/>
                        </w:rPr>
                        <w:t>Modeling Results by Diagnostic Code</w:t>
                      </w:r>
                    </w:p>
                  </w:txbxContent>
                </v:textbox>
                <w10:wrap type="square"/>
              </v:shape>
            </w:pict>
          </mc:Fallback>
        </mc:AlternateContent>
      </w:r>
      <w:r w:rsidRPr="006A2B04">
        <w:rPr>
          <w:noProof/>
        </w:rPr>
        <w:drawing>
          <wp:anchor distT="0" distB="0" distL="114300" distR="114300" simplePos="0" relativeHeight="251662336" behindDoc="0" locked="0" layoutInCell="1" allowOverlap="1" wp14:anchorId="097EE908" wp14:editId="64BE8682">
            <wp:simplePos x="0" y="0"/>
            <wp:positionH relativeFrom="column">
              <wp:posOffset>0</wp:posOffset>
            </wp:positionH>
            <wp:positionV relativeFrom="paragraph">
              <wp:posOffset>-1270</wp:posOffset>
            </wp:positionV>
            <wp:extent cx="6572250" cy="3177791"/>
            <wp:effectExtent l="0" t="0" r="0" b="381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572250" cy="3177791"/>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cs="Times New Roman"/>
          <w:szCs w:val="24"/>
        </w:rPr>
        <w:t xml:space="preserve">A performance analysis of the BCDSS </w:t>
      </w:r>
      <w:r w:rsidR="00E95C45">
        <w:rPr>
          <w:rFonts w:cs="Times New Roman"/>
          <w:szCs w:val="24"/>
        </w:rPr>
        <w:t xml:space="preserve">1.0 </w:t>
      </w:r>
      <w:r>
        <w:rPr>
          <w:rFonts w:cs="Times New Roman"/>
          <w:szCs w:val="24"/>
        </w:rPr>
        <w:t>Ear Model results (</w:t>
      </w:r>
      <w:r w:rsidR="00B10AC6">
        <w:rPr>
          <w:rFonts w:cs="Times New Roman"/>
          <w:szCs w:val="24"/>
        </w:rPr>
        <w:fldChar w:fldCharType="begin"/>
      </w:r>
      <w:r w:rsidR="00B10AC6">
        <w:rPr>
          <w:rFonts w:cs="Times New Roman"/>
          <w:szCs w:val="24"/>
        </w:rPr>
        <w:instrText xml:space="preserve"> REF _Ref468102235 \h </w:instrText>
      </w:r>
      <w:r w:rsidR="00B10AC6">
        <w:rPr>
          <w:rFonts w:cs="Times New Roman"/>
          <w:szCs w:val="24"/>
        </w:rPr>
      </w:r>
      <w:r w:rsidR="00B10AC6">
        <w:rPr>
          <w:rFonts w:cs="Times New Roman"/>
          <w:szCs w:val="24"/>
        </w:rPr>
        <w:fldChar w:fldCharType="separate"/>
      </w:r>
      <w:r w:rsidR="00B10AC6">
        <w:t xml:space="preserve">Figure </w:t>
      </w:r>
      <w:r w:rsidR="00B10AC6">
        <w:rPr>
          <w:noProof/>
        </w:rPr>
        <w:t>1</w:t>
      </w:r>
      <w:r w:rsidR="00B10AC6">
        <w:rPr>
          <w:rFonts w:cs="Times New Roman"/>
          <w:szCs w:val="24"/>
        </w:rPr>
        <w:fldChar w:fldCharType="end"/>
      </w:r>
      <w:r>
        <w:rPr>
          <w:rFonts w:cs="Times New Roman"/>
          <w:szCs w:val="24"/>
        </w:rPr>
        <w:t>) revealed two key findings:</w:t>
      </w:r>
    </w:p>
    <w:p w:rsidR="00741F0F" w:rsidRPr="00640C1A" w:rsidRDefault="00741F0F" w:rsidP="00C25129">
      <w:pPr>
        <w:pStyle w:val="NumberedList"/>
        <w:numPr>
          <w:ilvl w:val="0"/>
          <w:numId w:val="3"/>
        </w:numPr>
      </w:pPr>
      <w:r w:rsidRPr="00B9765B">
        <w:t>93</w:t>
      </w:r>
      <w:r>
        <w:t xml:space="preserve"> percent</w:t>
      </w:r>
      <w:r w:rsidRPr="00B9765B">
        <w:t xml:space="preserve"> of all</w:t>
      </w:r>
      <w:r w:rsidR="007601B9">
        <w:t xml:space="preserve"> claims</w:t>
      </w:r>
      <w:r w:rsidRPr="00B9765B">
        <w:t xml:space="preserve"> eligible</w:t>
      </w:r>
      <w:r w:rsidR="00E95C45">
        <w:t xml:space="preserve"> </w:t>
      </w:r>
      <w:r w:rsidR="007601B9">
        <w:t xml:space="preserve">to be rated using BCDSS Hearing Model 1.0 </w:t>
      </w:r>
      <w:r w:rsidRPr="00B9765B">
        <w:t xml:space="preserve">were </w:t>
      </w:r>
      <w:r w:rsidR="00E95C45">
        <w:t xml:space="preserve">rated </w:t>
      </w:r>
      <w:r w:rsidRPr="00B9765B">
        <w:t>using the General Hearing Loss (6100) or Tinnitus (6260) diagnosis codes</w:t>
      </w:r>
      <w:r w:rsidR="00B270B1">
        <w:t xml:space="preserve"> that is </w:t>
      </w:r>
      <w:r>
        <w:t xml:space="preserve"> 23 percent </w:t>
      </w:r>
      <w:r w:rsidR="00B270B1">
        <w:t>of the claim</w:t>
      </w:r>
      <w:r w:rsidR="008A731F">
        <w:t>s</w:t>
      </w:r>
      <w:r w:rsidR="00B270B1">
        <w:t xml:space="preserve"> contained </w:t>
      </w:r>
      <w:r>
        <w:t xml:space="preserve">hearing loss </w:t>
      </w:r>
      <w:r w:rsidR="00B270B1">
        <w:t xml:space="preserve">code </w:t>
      </w:r>
      <w:r>
        <w:t xml:space="preserve">ONLY, 14 percent </w:t>
      </w:r>
      <w:r w:rsidR="00B270B1">
        <w:t xml:space="preserve">contained </w:t>
      </w:r>
      <w:r>
        <w:t xml:space="preserve">Tinnitus </w:t>
      </w:r>
      <w:r w:rsidR="008A731F">
        <w:t xml:space="preserve">code </w:t>
      </w:r>
      <w:r>
        <w:t xml:space="preserve">ONLY, and 57 percent </w:t>
      </w:r>
      <w:r w:rsidR="00B270B1">
        <w:t xml:space="preserve">contained claims for </w:t>
      </w:r>
      <w:r>
        <w:t>both General Hearing Loss and Tinnitus</w:t>
      </w:r>
      <w:r w:rsidR="00B270B1">
        <w:t xml:space="preserve"> codes</w:t>
      </w:r>
      <w:r>
        <w:t>.</w:t>
      </w:r>
    </w:p>
    <w:p w:rsidR="00B32799" w:rsidRPr="00DF2CDF" w:rsidRDefault="00DF2CDF" w:rsidP="003A0D3D">
      <w:pPr>
        <w:pStyle w:val="NumberedList"/>
        <w:numPr>
          <w:ilvl w:val="0"/>
          <w:numId w:val="3"/>
        </w:numPr>
      </w:pPr>
      <w:r>
        <w:t xml:space="preserve">Recurrent </w:t>
      </w:r>
      <w:r w:rsidR="00741F0F">
        <w:t xml:space="preserve">Tinnitus, once substantiated and </w:t>
      </w:r>
      <w:r>
        <w:t>demonstrated to be service connected</w:t>
      </w:r>
      <w:r w:rsidR="00741F0F">
        <w:t xml:space="preserve">, </w:t>
      </w:r>
      <w:r w:rsidR="00741F0F" w:rsidRPr="00DF2CDF">
        <w:t>must r</w:t>
      </w:r>
      <w:r w:rsidR="00741F0F">
        <w:t>eceive a rating of 10 percent</w:t>
      </w:r>
      <w:r>
        <w:t xml:space="preserve"> (See Section 2)</w:t>
      </w:r>
      <w:r w:rsidR="00741F0F">
        <w:t xml:space="preserve">. </w:t>
      </w:r>
      <w:r w:rsidR="00B10AC6">
        <w:t xml:space="preserve"> </w:t>
      </w:r>
      <w:r w:rsidR="00741F0F">
        <w:t xml:space="preserve">As a result, </w:t>
      </w:r>
      <w:r w:rsidR="00E95C45">
        <w:t xml:space="preserve">the rating for </w:t>
      </w:r>
      <w:r w:rsidR="00741F0F">
        <w:t>supplemental claims where the claimant has previously received a</w:t>
      </w:r>
      <w:r w:rsidR="00E95C45">
        <w:t xml:space="preserve"> 10%</w:t>
      </w:r>
      <w:r w:rsidR="00741F0F">
        <w:t xml:space="preserve"> rating </w:t>
      </w:r>
      <w:r w:rsidR="00E95C45">
        <w:t xml:space="preserve">for Tinnitus </w:t>
      </w:r>
      <w:r w:rsidR="00741F0F">
        <w:t xml:space="preserve">will </w:t>
      </w:r>
      <w:r w:rsidR="00E95C45">
        <w:t>remain unchanged at 10%</w:t>
      </w:r>
    </w:p>
    <w:p w:rsidR="00741F0F" w:rsidRPr="00E95C45" w:rsidRDefault="008A731F" w:rsidP="003A0D3D">
      <w:pPr>
        <w:pStyle w:val="NumberedList"/>
        <w:numPr>
          <w:ilvl w:val="0"/>
          <w:numId w:val="3"/>
        </w:numPr>
        <w:rPr>
          <w:b/>
          <w:i/>
          <w:color w:val="FF0000"/>
        </w:rPr>
      </w:pPr>
      <w:r>
        <w:t>Because of the dominance and predictability of Tinnitus in the population of hearing eligible supplemental request for increase claims,</w:t>
      </w:r>
      <w:r w:rsidR="00741F0F" w:rsidRPr="00741F0F">
        <w:t xml:space="preserve">, </w:t>
      </w:r>
      <w:r w:rsidR="00E95C45">
        <w:t>the BCDSS business team</w:t>
      </w:r>
      <w:r w:rsidR="00E95C45" w:rsidRPr="00741F0F">
        <w:t xml:space="preserve"> </w:t>
      </w:r>
      <w:r>
        <w:t>proposed</w:t>
      </w:r>
      <w:r w:rsidRPr="00741F0F">
        <w:t xml:space="preserve"> </w:t>
      </w:r>
      <w:r w:rsidR="00741F0F" w:rsidRPr="00741F0F">
        <w:t xml:space="preserve">that the team </w:t>
      </w:r>
      <w:r>
        <w:t xml:space="preserve">proceed to </w:t>
      </w:r>
      <w:r w:rsidR="00741F0F" w:rsidRPr="00741F0F">
        <w:t>decompose the model into its constituent diagnostic codes, then redevelop and re-evaluate the resulting models to determine if separate models provide improved results for accuracy and throughput.</w:t>
      </w:r>
      <w:r w:rsidR="00BE0877">
        <w:t xml:space="preserve">  The specific objective for the Tinnitus model is to demonstrate that </w:t>
      </w:r>
      <w:r w:rsidR="00BE0877" w:rsidRPr="00E95C45">
        <w:rPr>
          <w:b/>
          <w:i/>
          <w:color w:val="FF0000"/>
        </w:rPr>
        <w:t xml:space="preserve">a condition-specific </w:t>
      </w:r>
      <w:r w:rsidR="00EF721E" w:rsidRPr="00E95C45">
        <w:rPr>
          <w:b/>
          <w:i/>
          <w:color w:val="FF0000"/>
        </w:rPr>
        <w:t xml:space="preserve">Tinnitus </w:t>
      </w:r>
      <w:r w:rsidR="00BE0877" w:rsidRPr="00E95C45">
        <w:rPr>
          <w:b/>
          <w:i/>
          <w:color w:val="FF0000"/>
        </w:rPr>
        <w:t xml:space="preserve">model can yield an accuracy rate </w:t>
      </w:r>
      <w:r w:rsidR="004502C0" w:rsidRPr="00E95C45">
        <w:rPr>
          <w:b/>
          <w:i/>
          <w:color w:val="FF0000"/>
        </w:rPr>
        <w:t xml:space="preserve">greater than </w:t>
      </w:r>
      <w:r w:rsidR="00BE0877" w:rsidRPr="00E95C45">
        <w:rPr>
          <w:b/>
          <w:i/>
          <w:color w:val="FF0000"/>
        </w:rPr>
        <w:t>95 percent across ALL eligible claims (a through-put of 100 percent).</w:t>
      </w:r>
    </w:p>
    <w:p w:rsidR="005305A4" w:rsidRDefault="005305A4" w:rsidP="005305A4">
      <w:pPr>
        <w:pStyle w:val="Heading1"/>
      </w:pPr>
      <w:bookmarkStart w:id="7" w:name="_Toc470010390"/>
      <w:r>
        <w:t>Tinnitus Model Results</w:t>
      </w:r>
      <w:bookmarkEnd w:id="7"/>
    </w:p>
    <w:p w:rsidR="009915B0" w:rsidRDefault="005305A4" w:rsidP="009915B0">
      <w:r>
        <w:t xml:space="preserve">The Tinnitus model </w:t>
      </w:r>
      <w:r w:rsidR="00EE0024">
        <w:t xml:space="preserve">2.2 </w:t>
      </w:r>
      <w:r>
        <w:t xml:space="preserve">is designed to first establish </w:t>
      </w:r>
      <w:r w:rsidR="00EE0024">
        <w:t xml:space="preserve">whether a claim is </w:t>
      </w:r>
      <w:hyperlink w:anchor="_Eligibility" w:history="1">
        <w:r w:rsidR="00EE0024" w:rsidRPr="00EE0024">
          <w:rPr>
            <w:rStyle w:val="Hyperlink"/>
          </w:rPr>
          <w:t>eligible</w:t>
        </w:r>
      </w:hyperlink>
      <w:r w:rsidR="00EE0024">
        <w:t xml:space="preserve"> </w:t>
      </w:r>
      <w:r w:rsidR="00EE0024">
        <w:rPr>
          <w:rStyle w:val="FootnoteReference"/>
        </w:rPr>
        <w:footnoteReference w:id="1"/>
      </w:r>
      <w:r w:rsidR="00EE0024">
        <w:t>to be rated using the model</w:t>
      </w:r>
      <w:r>
        <w:t>, and then to establish that a prior rating for Tinnitus has been granted.  Upon confirmation, the model simply assigns the issue within the claim a rating of 10 percent</w:t>
      </w:r>
      <w:r w:rsidR="00333ACC">
        <w:t xml:space="preserve"> consistent with the rating schedule, which specifies</w:t>
      </w:r>
      <w:r w:rsidR="009915B0">
        <w:t>:</w:t>
      </w:r>
    </w:p>
    <w:p w:rsidR="009915B0" w:rsidRDefault="009915B0" w:rsidP="009915B0">
      <w:pPr>
        <w:ind w:left="360"/>
      </w:pPr>
      <w:r>
        <w:t>“6260</w:t>
      </w:r>
      <w:r>
        <w:tab/>
        <w:t>Tinnitus - Recurrent</w:t>
      </w:r>
      <w:r>
        <w:tab/>
        <w:t>10 Percent</w:t>
      </w:r>
    </w:p>
    <w:p w:rsidR="009915B0" w:rsidRDefault="009915B0" w:rsidP="009915B0">
      <w:pPr>
        <w:pStyle w:val="ListParagraph"/>
        <w:numPr>
          <w:ilvl w:val="0"/>
          <w:numId w:val="8"/>
        </w:numPr>
      </w:pPr>
      <w:r>
        <w:t xml:space="preserve">Note (1): A separate evaluation for tinnitus may be combined with an evaluation under diagnostic codes 6100, 6200, 6204, or other diagnostic code, except when tinnitus supports an evaluation under one of those diagnostic codes. </w:t>
      </w:r>
    </w:p>
    <w:p w:rsidR="009915B0" w:rsidRDefault="009915B0" w:rsidP="009915B0">
      <w:pPr>
        <w:pStyle w:val="ListParagraph"/>
        <w:numPr>
          <w:ilvl w:val="0"/>
          <w:numId w:val="8"/>
        </w:numPr>
      </w:pPr>
      <w:r>
        <w:t xml:space="preserve">Note (2): Assign only a single evaluation for recurrent tinnitus, whether the sound is perceived in one ear, both ears, or in the head. </w:t>
      </w:r>
    </w:p>
    <w:p w:rsidR="009915B0" w:rsidRDefault="009915B0" w:rsidP="009915B0">
      <w:pPr>
        <w:pStyle w:val="ListParagraph"/>
        <w:numPr>
          <w:ilvl w:val="0"/>
          <w:numId w:val="8"/>
        </w:numPr>
      </w:pPr>
      <w:r>
        <w:t>Note (3): Do not evaluate objective tinnitus (in which the sound is audible to other people and has a definable cause that may or may not be pathologic) under this diagnostic code, but evaluate it as part of any underlying condition causing it.”</w:t>
      </w:r>
    </w:p>
    <w:p w:rsidR="00022530" w:rsidRDefault="00EE0024" w:rsidP="00022530">
      <w:r>
        <w:t>Similarly</w:t>
      </w:r>
      <w:r w:rsidR="00107B73">
        <w:t xml:space="preserve">, the </w:t>
      </w:r>
      <w:r w:rsidR="00022530">
        <w:t>VBA ratin</w:t>
      </w:r>
      <w:r w:rsidR="00107B73">
        <w:t>g calculator generates the following in its award explanation</w:t>
      </w:r>
      <w:r w:rsidR="00022530">
        <w:t>:</w:t>
      </w:r>
    </w:p>
    <w:p w:rsidR="00022530" w:rsidRDefault="00022530" w:rsidP="00022530">
      <w:pPr>
        <w:pStyle w:val="ListParagraph"/>
        <w:numPr>
          <w:ilvl w:val="0"/>
          <w:numId w:val="0"/>
        </w:numPr>
        <w:ind w:left="720"/>
      </w:pPr>
      <w:r>
        <w:t xml:space="preserve">We have assigned a 10 percent evaluation based on recurrent tinnitus. </w:t>
      </w:r>
      <w:r w:rsidR="008951B5">
        <w:t xml:space="preserve"> </w:t>
      </w:r>
      <w:r>
        <w:t>A single evaluation for recurrent tinnitus is assigned, whether the sound is perceived in one ear, both ears, or in the head.  This is the highest schedular evaluation allowed under the law for tinnitus, recurrent.</w:t>
      </w:r>
    </w:p>
    <w:p w:rsidR="005305A4" w:rsidRDefault="005305A4" w:rsidP="005305A4">
      <w:pPr>
        <w:pStyle w:val="Heading2"/>
      </w:pPr>
      <w:bookmarkStart w:id="8" w:name="_Toc470010391"/>
      <w:r>
        <w:t>Tinnitus Model Performance Analysis</w:t>
      </w:r>
      <w:bookmarkEnd w:id="8"/>
      <w:r>
        <w:t xml:space="preserve"> </w:t>
      </w:r>
    </w:p>
    <w:p w:rsidR="005305A4" w:rsidRDefault="005305A4" w:rsidP="005305A4">
      <w:r w:rsidRPr="00030EF9">
        <w:t xml:space="preserve">The </w:t>
      </w:r>
      <w:r>
        <w:t>team test</w:t>
      </w:r>
      <w:r w:rsidR="00A57799">
        <w:t>ed</w:t>
      </w:r>
      <w:r>
        <w:t xml:space="preserve"> the Tinnitus model to verify that the business logic, when applied to eligible claims, performed within established specifications.  Model performance analysis identified </w:t>
      </w:r>
      <w:r w:rsidRPr="00155F84">
        <w:rPr>
          <w:b/>
          <w:color w:val="FF0000"/>
        </w:rPr>
        <w:t>243,751</w:t>
      </w:r>
      <w:r w:rsidRPr="00155F84">
        <w:rPr>
          <w:color w:val="FF0000"/>
        </w:rPr>
        <w:t xml:space="preserve"> </w:t>
      </w:r>
      <w:r>
        <w:t xml:space="preserve">eligible claims containing a prior rating for tinnitus between 2008 and 2014.  Application of the model had an accuracy rate of </w:t>
      </w:r>
      <w:r w:rsidR="00D3449A">
        <w:rPr>
          <w:b/>
          <w:color w:val="FF0000"/>
        </w:rPr>
        <w:t>99.64</w:t>
      </w:r>
      <w:r w:rsidR="00A57799">
        <w:rPr>
          <w:b/>
          <w:color w:val="FF0000"/>
        </w:rPr>
        <w:t xml:space="preserve"> percent</w:t>
      </w:r>
      <w:r w:rsidR="00A57799" w:rsidRPr="00D129D5">
        <w:rPr>
          <w:color w:val="FF0000"/>
        </w:rPr>
        <w:t xml:space="preserve"> </w:t>
      </w:r>
      <w:r>
        <w:t xml:space="preserve">for </w:t>
      </w:r>
      <w:r w:rsidRPr="00D129D5">
        <w:rPr>
          <w:b/>
          <w:color w:val="FF0000"/>
        </w:rPr>
        <w:t>100</w:t>
      </w:r>
      <w:r w:rsidR="00A57799">
        <w:rPr>
          <w:b/>
          <w:color w:val="FF0000"/>
        </w:rPr>
        <w:t xml:space="preserve"> percent</w:t>
      </w:r>
      <w:r w:rsidR="00A57799">
        <w:t xml:space="preserve"> </w:t>
      </w:r>
      <w:r>
        <w:t>of claim throughput.</w:t>
      </w:r>
    </w:p>
    <w:p w:rsidR="00A57799" w:rsidRDefault="00A57799" w:rsidP="005305A4">
      <w:r>
        <w:t>T</w:t>
      </w:r>
      <w:r w:rsidR="003750CD">
        <w:t>he 883 claims containing Tinnitus diagnosis that differ</w:t>
      </w:r>
      <w:r>
        <w:t>ed</w:t>
      </w:r>
      <w:r w:rsidR="003750CD">
        <w:t xml:space="preserve"> from the specified business rule (i.e., the assigned rating was NOT 10</w:t>
      </w:r>
      <w:r>
        <w:t xml:space="preserve"> percent) broke down as follows:</w:t>
      </w:r>
    </w:p>
    <w:p w:rsidR="00A57799" w:rsidRDefault="003750CD" w:rsidP="004136D3">
      <w:pPr>
        <w:pStyle w:val="ListParagraph"/>
        <w:numPr>
          <w:ilvl w:val="0"/>
          <w:numId w:val="5"/>
        </w:numPr>
      </w:pPr>
      <w:r>
        <w:t>880 were assigned a rating of 0</w:t>
      </w:r>
      <w:r w:rsidR="00A57799">
        <w:t xml:space="preserve"> percent. </w:t>
      </w:r>
    </w:p>
    <w:p w:rsidR="00A57799" w:rsidRDefault="00A57799" w:rsidP="004136D3">
      <w:pPr>
        <w:pStyle w:val="ListParagraph"/>
        <w:numPr>
          <w:ilvl w:val="0"/>
          <w:numId w:val="5"/>
        </w:numPr>
      </w:pPr>
      <w:r>
        <w:t>T</w:t>
      </w:r>
      <w:r w:rsidR="003750CD">
        <w:t>wo were assigned a rating of 20</w:t>
      </w:r>
      <w:r>
        <w:t xml:space="preserve"> percent.</w:t>
      </w:r>
    </w:p>
    <w:p w:rsidR="00A57799" w:rsidRDefault="00A57799" w:rsidP="004136D3">
      <w:pPr>
        <w:pStyle w:val="ListParagraph"/>
        <w:numPr>
          <w:ilvl w:val="0"/>
          <w:numId w:val="5"/>
        </w:numPr>
      </w:pPr>
      <w:r>
        <w:t>O</w:t>
      </w:r>
      <w:r w:rsidR="003750CD">
        <w:t>ne was assigned a rating of 100</w:t>
      </w:r>
      <w:r>
        <w:t xml:space="preserve"> percent.  </w:t>
      </w:r>
    </w:p>
    <w:p w:rsidR="003750CD" w:rsidRPr="005305A4" w:rsidRDefault="003750CD" w:rsidP="00600CA7">
      <w:r>
        <w:t>The Office of Compensation Service suggested that the 0</w:t>
      </w:r>
      <w:r w:rsidR="00A57799">
        <w:t xml:space="preserve"> percent </w:t>
      </w:r>
      <w:r>
        <w:t xml:space="preserve">ratings may well have been assigned in error or </w:t>
      </w:r>
      <w:r w:rsidR="00022530">
        <w:t>resulted from a 0</w:t>
      </w:r>
      <w:r w:rsidR="00A57799">
        <w:t xml:space="preserve"> percent </w:t>
      </w:r>
      <w:r w:rsidR="00022530">
        <w:t>evaluation</w:t>
      </w:r>
      <w:r w:rsidR="00A57799">
        <w:t>,</w:t>
      </w:r>
      <w:r w:rsidR="00022530">
        <w:t xml:space="preserve"> </w:t>
      </w:r>
      <w:r w:rsidR="00A57799">
        <w:t>i.e.,</w:t>
      </w:r>
      <w:r w:rsidR="00022530">
        <w:t xml:space="preserve"> the exam revealed that the claimant did not suffer from Tinnitus.</w:t>
      </w:r>
    </w:p>
    <w:p w:rsidR="00EF721E" w:rsidRDefault="004502C0" w:rsidP="00EF721E">
      <w:pPr>
        <w:pStyle w:val="Heading1"/>
      </w:pPr>
      <w:bookmarkStart w:id="9" w:name="_Toc470010392"/>
      <w:r>
        <w:t>BCDS Modeling - Business Process Integration</w:t>
      </w:r>
      <w:bookmarkEnd w:id="9"/>
      <w:r>
        <w:t xml:space="preserve"> </w:t>
      </w:r>
    </w:p>
    <w:p w:rsidR="00DB1437" w:rsidRDefault="00DB1437" w:rsidP="003A0D3D">
      <w:r>
        <w:t xml:space="preserve">VBA’s </w:t>
      </w:r>
      <w:r w:rsidR="00A57799">
        <w:t xml:space="preserve">current </w:t>
      </w:r>
      <w:r>
        <w:t xml:space="preserve">claims adjudication process requires claimants to file a supplemental claim for increased disability compensation when they believe they are eligible </w:t>
      </w:r>
      <w:r w:rsidR="00614A05">
        <w:t>based on a change in condition, information, or circumstances</w:t>
      </w:r>
      <w:r>
        <w:t>.  Similar to the original claim for benefits, the claimant must present medical evidence sufficient to substantiate the condition</w:t>
      </w:r>
      <w:r w:rsidR="00614A05">
        <w:t>, if they believe the condition</w:t>
      </w:r>
      <w:r>
        <w:t xml:space="preserve"> has worsened and to what degree.  </w:t>
      </w:r>
      <w:r w:rsidR="00B80353">
        <w:t>After the veteran submits</w:t>
      </w:r>
      <w:r>
        <w:t xml:space="preserve"> the necessary evidence, a decision is </w:t>
      </w:r>
      <w:r w:rsidR="00B80353">
        <w:t>made</w:t>
      </w:r>
      <w:r>
        <w:t xml:space="preserve"> and promulgated </w:t>
      </w:r>
      <w:r w:rsidR="00B80353">
        <w:t xml:space="preserve">after </w:t>
      </w:r>
      <w:r>
        <w:t>review and authorization by appropri</w:t>
      </w:r>
      <w:r w:rsidR="00614A05">
        <w:t xml:space="preserve">ately credentialed VBA staff.  </w:t>
      </w:r>
    </w:p>
    <w:p w:rsidR="008C2F92" w:rsidRDefault="004502C0" w:rsidP="008C2F92">
      <w:r>
        <w:t xml:space="preserve">Statistical claims adjudication </w:t>
      </w:r>
      <w:r w:rsidR="00B80353">
        <w:t>uses</w:t>
      </w:r>
      <w:r>
        <w:t xml:space="preserve"> historical </w:t>
      </w:r>
      <w:r w:rsidR="00600CA7">
        <w:t xml:space="preserve">data </w:t>
      </w:r>
      <w:r>
        <w:t xml:space="preserve">captured in the filing patterns and substantiating diagnostic information of millions of claimants </w:t>
      </w:r>
      <w:r w:rsidR="00600CA7">
        <w:t>to establish</w:t>
      </w:r>
      <w:r>
        <w:t xml:space="preserve"> a statistical basis for predicting </w:t>
      </w:r>
      <w:r w:rsidR="00B80353">
        <w:t xml:space="preserve">the </w:t>
      </w:r>
      <w:r>
        <w:t xml:space="preserve">rating </w:t>
      </w:r>
      <w:r w:rsidR="00600CA7">
        <w:t>for</w:t>
      </w:r>
      <w:r>
        <w:t xml:space="preserve"> a claim containing similar factual attributes in the future</w:t>
      </w:r>
      <w:r w:rsidR="008C0BEA">
        <w:t xml:space="preserve"> Using Statistical Adjudication where model performance </w:t>
      </w:r>
      <w:r w:rsidR="00DA0E48">
        <w:t>is accep</w:t>
      </w:r>
      <w:r w:rsidR="008C0BEA">
        <w:t>table</w:t>
      </w:r>
      <w:r w:rsidR="00EC7087">
        <w:t xml:space="preserve"> </w:t>
      </w:r>
      <w:r w:rsidR="008C0BEA">
        <w:t xml:space="preserve">could </w:t>
      </w:r>
      <w:r w:rsidR="00EC7087">
        <w:t xml:space="preserve">allow VBA to calculate the rating </w:t>
      </w:r>
      <w:r w:rsidR="008C2F92">
        <w:t xml:space="preserve">of a claim </w:t>
      </w:r>
      <w:r w:rsidR="00EC7087">
        <w:t xml:space="preserve">without requesting </w:t>
      </w:r>
      <w:r w:rsidR="00600CA7">
        <w:t>additional</w:t>
      </w:r>
      <w:r w:rsidR="00EC7087">
        <w:t xml:space="preserve"> substantiating medical evidence.</w:t>
      </w:r>
      <w:r w:rsidR="008C2F92">
        <w:t xml:space="preserve">  However, </w:t>
      </w:r>
      <w:r w:rsidR="004C0952">
        <w:t xml:space="preserve">as to supplemental claims for increase, </w:t>
      </w:r>
      <w:r w:rsidR="008C2F92">
        <w:t xml:space="preserve">service connection and an initial fully substantiated rating must first be established by the claimant.  As a result, </w:t>
      </w:r>
      <w:r w:rsidR="000826D5">
        <w:t>BCDS</w:t>
      </w:r>
      <w:r w:rsidR="00600CA7">
        <w:t>S</w:t>
      </w:r>
      <w:r w:rsidR="000826D5">
        <w:t xml:space="preserve"> models</w:t>
      </w:r>
      <w:r w:rsidR="004C0952">
        <w:t xml:space="preserve"> currently</w:t>
      </w:r>
      <w:r w:rsidR="000826D5">
        <w:t xml:space="preserve"> address only supplemental claims (EP-02X)</w:t>
      </w:r>
      <w:r w:rsidR="00B73C47">
        <w:t xml:space="preserve"> where the claimant has received at least one </w:t>
      </w:r>
      <w:r w:rsidR="00600CA7">
        <w:t xml:space="preserve">prior </w:t>
      </w:r>
      <w:r w:rsidR="00B73C47">
        <w:t>service</w:t>
      </w:r>
      <w:r w:rsidR="00600CA7">
        <w:t>-</w:t>
      </w:r>
      <w:r w:rsidR="00B73C47">
        <w:t xml:space="preserve">connected rating for the modeled condition.  </w:t>
      </w:r>
    </w:p>
    <w:p w:rsidR="00830B46" w:rsidRDefault="00435DDD" w:rsidP="00391675">
      <w:r>
        <w:t xml:space="preserve">The Office of Compensation Service originally envisioned </w:t>
      </w:r>
      <w:r w:rsidR="000D337A">
        <w:t xml:space="preserve">using </w:t>
      </w:r>
      <w:r>
        <w:t xml:space="preserve">the BCDSS calculated rating </w:t>
      </w:r>
      <w:r w:rsidR="000D337A">
        <w:t xml:space="preserve">to </w:t>
      </w:r>
      <w:r>
        <w:t xml:space="preserve">provide a claimant the opportunity to accept his/her statistically adjudicated rating (where a change might be granted) or electing to have his/her claim adjudicated through the traditional process. </w:t>
      </w:r>
    </w:p>
    <w:p w:rsidR="00DA0E48" w:rsidRDefault="00830B46" w:rsidP="00391675">
      <w:r>
        <w:t>Analysis of the claims data by the BCD</w:t>
      </w:r>
      <w:r w:rsidR="00C83A20">
        <w:t>S</w:t>
      </w:r>
      <w:r>
        <w:t xml:space="preserve">S team revealed that only 40 percent of hearing related supplemental claims for increased compensation are granted.  Of these, 27 percent are for general hearing loss and the balance are the vast majority of the balance are for hearing conditions other than Tinnitus. </w:t>
      </w:r>
      <w:r w:rsidR="00C361F2">
        <w:t>243,123 of 251,567 (or 96.6 percent) evaluated supplemental Tinnitus claims were continued at the current level of disability compensation (the increase was denied).</w:t>
      </w:r>
      <w:r>
        <w:t xml:space="preserve"> </w:t>
      </w:r>
    </w:p>
    <w:p w:rsidR="003750CD" w:rsidRDefault="00DA0E48" w:rsidP="00391675">
      <w:r>
        <w:t>The question arises as to whether VBA will be able to use statistical adjudication to identify and rate the vast majority of hearing related supplemental request</w:t>
      </w:r>
      <w:r w:rsidR="003860E9">
        <w:t>s</w:t>
      </w:r>
      <w:r>
        <w:t xml:space="preserve"> for increase claims which are confirmed and continued</w:t>
      </w:r>
      <w:r w:rsidR="003860E9">
        <w:t>:</w:t>
      </w:r>
      <w:r>
        <w:t xml:space="preserve"> that is essentially denied from the Veteran’s viewpoint. However, a</w:t>
      </w:r>
      <w:r w:rsidR="00435DDD">
        <w:t xml:space="preserve">lthough </w:t>
      </w:r>
      <w:r>
        <w:t xml:space="preserve">rating these claims using statistical adjudication </w:t>
      </w:r>
      <w:r w:rsidR="00435DDD">
        <w:t>would require statutory</w:t>
      </w:r>
      <w:r w:rsidR="008C2F92">
        <w:t xml:space="preserve"> and regulatory</w:t>
      </w:r>
      <w:r w:rsidR="00435DDD">
        <w:t xml:space="preserve"> changes, the potential benefits </w:t>
      </w:r>
      <w:r w:rsidR="00734808">
        <w:t xml:space="preserve">are enormous. </w:t>
      </w:r>
      <w:r w:rsidR="008951B5">
        <w:t xml:space="preserve"> </w:t>
      </w:r>
      <w:r w:rsidR="00435DDD">
        <w:t>Veterans</w:t>
      </w:r>
      <w:r w:rsidR="00734808">
        <w:t xml:space="preserve"> would see </w:t>
      </w:r>
      <w:r w:rsidR="00435DDD">
        <w:t>almost instantaneous feedback on their claim and accelerated adjudication where a positive decision is rendered</w:t>
      </w:r>
      <w:r w:rsidR="00734808">
        <w:t>.  T</w:t>
      </w:r>
      <w:r w:rsidR="00435DDD">
        <w:t xml:space="preserve">he </w:t>
      </w:r>
      <w:r w:rsidR="000D337A">
        <w:t>VA</w:t>
      </w:r>
      <w:r w:rsidR="00734808">
        <w:t xml:space="preserve"> would </w:t>
      </w:r>
      <w:r w:rsidR="00324F6C">
        <w:t xml:space="preserve">also realize efficiencies through </w:t>
      </w:r>
      <w:r w:rsidR="00435DDD">
        <w:t>reduced</w:t>
      </w:r>
      <w:r w:rsidR="00734808">
        <w:t xml:space="preserve"> </w:t>
      </w:r>
      <w:r w:rsidR="00435DDD">
        <w:t xml:space="preserve">workload.  </w:t>
      </w:r>
      <w:r w:rsidR="003860E9">
        <w:t>In order to be viable in the VBA environment, more analysis and modeling needs to conducted to develop models which can address claims which contain claims for multiple distinct disability conditions Hence,</w:t>
      </w:r>
      <w:r w:rsidR="00435DDD">
        <w:t xml:space="preserve"> </w:t>
      </w:r>
      <w:r w:rsidR="00734808">
        <w:t xml:space="preserve"> </w:t>
      </w:r>
      <w:r w:rsidR="003750CD">
        <w:t>VACI and VBA have identified four</w:t>
      </w:r>
      <w:r w:rsidR="003860E9">
        <w:t xml:space="preserve"> potential</w:t>
      </w:r>
      <w:r w:rsidR="003750CD">
        <w:t xml:space="preserve"> use</w:t>
      </w:r>
      <w:r w:rsidR="00734808">
        <w:t xml:space="preserve">s </w:t>
      </w:r>
      <w:r w:rsidR="003750CD">
        <w:t>for BCDSS</w:t>
      </w:r>
      <w:r w:rsidR="003860E9">
        <w:t xml:space="preserve"> in its current form</w:t>
      </w:r>
      <w:r w:rsidR="003A0D3D">
        <w:t>:</w:t>
      </w:r>
      <w:r w:rsidR="003860E9">
        <w:t xml:space="preserve"> </w:t>
      </w:r>
      <w:r w:rsidR="004C0952">
        <w:t xml:space="preserve">    </w:t>
      </w:r>
    </w:p>
    <w:p w:rsidR="003750CD" w:rsidRDefault="00435DDD" w:rsidP="00C25129">
      <w:pPr>
        <w:pStyle w:val="ListParagraph"/>
        <w:numPr>
          <w:ilvl w:val="0"/>
          <w:numId w:val="7"/>
        </w:numPr>
      </w:pPr>
      <w:r>
        <w:t>Delivering an automated rating to the RVSR (to inform the final claim rating)</w:t>
      </w:r>
      <w:r w:rsidR="00734808">
        <w:t>–I</w:t>
      </w:r>
      <w:r>
        <w:t>n this case, the rating would be calculated immediately following establishment</w:t>
      </w:r>
      <w:r w:rsidR="00CE453D">
        <w:t xml:space="preserve"> and </w:t>
      </w:r>
      <w:r>
        <w:t>passed to the RVSR following claim development</w:t>
      </w:r>
      <w:r w:rsidR="00CE453D">
        <w:t xml:space="preserve"> via the BCDSS user-interface</w:t>
      </w:r>
      <w:r w:rsidR="00734808">
        <w:t>.</w:t>
      </w:r>
    </w:p>
    <w:p w:rsidR="00435DDD" w:rsidRDefault="00435DDD" w:rsidP="00C25129">
      <w:pPr>
        <w:pStyle w:val="ListParagraph"/>
        <w:numPr>
          <w:ilvl w:val="0"/>
          <w:numId w:val="7"/>
        </w:numPr>
      </w:pPr>
      <w:r>
        <w:t>Delivering an automated rating to the D</w:t>
      </w:r>
      <w:r w:rsidR="00324F6C">
        <w:t xml:space="preserve">ecision </w:t>
      </w:r>
      <w:r>
        <w:t>R</w:t>
      </w:r>
      <w:r w:rsidR="00324F6C">
        <w:t xml:space="preserve">eview </w:t>
      </w:r>
      <w:r>
        <w:t>O</w:t>
      </w:r>
      <w:r w:rsidR="00324F6C">
        <w:t>fficer (DRO) or Senior Veteran Service Representative (VSR)</w:t>
      </w:r>
      <w:r>
        <w:t xml:space="preserve"> during claim authorization (to assist in the review and verification of </w:t>
      </w:r>
      <w:r w:rsidR="00CE453D">
        <w:t>the manually calculated rating)–</w:t>
      </w:r>
      <w:r w:rsidR="00734808">
        <w:t>I</w:t>
      </w:r>
      <w:r w:rsidR="00CE453D">
        <w:t>n this case, the rating would be calculated immediately following establishment and passed to the Authorizer following award generation by the responsible VSR</w:t>
      </w:r>
      <w:r w:rsidR="00734808">
        <w:t>.</w:t>
      </w:r>
    </w:p>
    <w:p w:rsidR="00CE453D" w:rsidRDefault="00226D45" w:rsidP="00C25129">
      <w:pPr>
        <w:pStyle w:val="ListParagraph"/>
        <w:numPr>
          <w:ilvl w:val="0"/>
          <w:numId w:val="7"/>
        </w:numPr>
      </w:pPr>
      <w:r>
        <w:t xml:space="preserve">Delivering large sets of </w:t>
      </w:r>
      <w:r w:rsidR="00F64732">
        <w:t xml:space="preserve">BCDSS </w:t>
      </w:r>
      <w:r>
        <w:t>statistically adjudicated claim decisions to VBA quality assurance staff as means to evaluate the accuracy of claim adjudication decisions</w:t>
      </w:r>
      <w:r w:rsidR="00F64732">
        <w:t>, or trends in accuracy across multiple Regional Offices.</w:t>
      </w:r>
    </w:p>
    <w:p w:rsidR="00F64732" w:rsidRDefault="00F64732" w:rsidP="00C25129">
      <w:pPr>
        <w:pStyle w:val="ListParagraph"/>
        <w:numPr>
          <w:ilvl w:val="0"/>
          <w:numId w:val="7"/>
        </w:numPr>
      </w:pPr>
      <w:r>
        <w:t>Providing BCDSS access to RVSRs to support training</w:t>
      </w:r>
      <w:r w:rsidR="00734808">
        <w:t>.</w:t>
      </w:r>
      <w:r>
        <w:t xml:space="preserve"> </w:t>
      </w:r>
    </w:p>
    <w:p w:rsidR="00410B95" w:rsidRDefault="00410B95">
      <w:pPr>
        <w:spacing w:line="259" w:lineRule="auto"/>
      </w:pPr>
      <w:r>
        <w:br w:type="page"/>
      </w:r>
    </w:p>
    <w:p w:rsidR="003B2860" w:rsidRDefault="003B2860" w:rsidP="00410B95">
      <w:pPr>
        <w:pStyle w:val="Heading1"/>
        <w:numPr>
          <w:ilvl w:val="0"/>
          <w:numId w:val="0"/>
        </w:numPr>
        <w:ind w:left="432" w:hanging="432"/>
      </w:pPr>
      <w:bookmarkStart w:id="10" w:name="_Toc470010393"/>
      <w:r>
        <w:t>Appendix A:</w:t>
      </w:r>
      <w:r>
        <w:tab/>
        <w:t>Technical Specifications</w:t>
      </w:r>
      <w:bookmarkEnd w:id="10"/>
    </w:p>
    <w:p w:rsidR="00324F6C" w:rsidRPr="008814AB" w:rsidRDefault="00324F6C" w:rsidP="00324F6C">
      <w:pPr>
        <w:spacing w:after="0" w:line="240" w:lineRule="auto"/>
        <w:rPr>
          <w:rFonts w:cs="Times New Roman"/>
          <w:b/>
          <w:color w:val="FF0000"/>
          <w:szCs w:val="24"/>
        </w:rPr>
      </w:pPr>
      <w:r>
        <w:rPr>
          <w:rFonts w:cs="Times New Roman"/>
          <w:szCs w:val="24"/>
        </w:rPr>
        <w:t xml:space="preserve">BCDSS Model requirements stipulate that the three core components be defined for each BCDSS model: 1) the Decision Determination Matrix (DDM); 2) the Target Claim Feature-Set Data and Computational Specifications; and 3) the Claimant Feature-Set Data and Computational Specifications.  The Tinnitus Model varies from this requirement because of its simplicity.  Target Claim and Claimant feature and computational specifications are still required, but a single binary business rule is substituted from the DDM.  Each of these components are summarized below.  </w:t>
      </w:r>
    </w:p>
    <w:p w:rsidR="00324F6C" w:rsidRDefault="00324F6C" w:rsidP="00324F6C">
      <w:pPr>
        <w:spacing w:after="0" w:line="240" w:lineRule="auto"/>
        <w:rPr>
          <w:rFonts w:cs="Times New Roman"/>
          <w:szCs w:val="24"/>
        </w:rPr>
      </w:pPr>
    </w:p>
    <w:p w:rsidR="00324F6C" w:rsidRPr="001552D7" w:rsidRDefault="00324F6C" w:rsidP="00324F6C">
      <w:pPr>
        <w:pStyle w:val="Heading1"/>
        <w:numPr>
          <w:ilvl w:val="0"/>
          <w:numId w:val="0"/>
        </w:numPr>
      </w:pPr>
      <w:r w:rsidRPr="001552D7">
        <w:t>Tinnitus Model Core Business Rule (Substitution for DDM)</w:t>
      </w:r>
    </w:p>
    <w:p w:rsidR="00324F6C" w:rsidRDefault="00324F6C" w:rsidP="00324F6C">
      <w:pPr>
        <w:spacing w:after="0" w:line="240" w:lineRule="auto"/>
        <w:rPr>
          <w:rFonts w:cs="Times New Roman"/>
          <w:szCs w:val="24"/>
        </w:rPr>
      </w:pPr>
      <w:r>
        <w:rPr>
          <w:rFonts w:cs="Times New Roman"/>
          <w:szCs w:val="24"/>
        </w:rPr>
        <w:t>Tinnitus, once diagnosed and medically substantiated, is rated at 10%.  As a result, the core business rule applied to all Tinnitus (Code 6260) issues in claims contending Tinnitus can be stated as:</w:t>
      </w:r>
    </w:p>
    <w:p w:rsidR="00324F6C" w:rsidRDefault="00324F6C" w:rsidP="00324F6C">
      <w:pPr>
        <w:spacing w:after="0" w:line="240" w:lineRule="auto"/>
        <w:rPr>
          <w:rFonts w:cs="Times New Roman"/>
          <w:szCs w:val="24"/>
        </w:rPr>
      </w:pPr>
    </w:p>
    <w:p w:rsidR="00324F6C" w:rsidRDefault="00324F6C" w:rsidP="00324F6C">
      <w:pPr>
        <w:spacing w:after="0" w:line="240" w:lineRule="auto"/>
        <w:rPr>
          <w:rFonts w:cs="Times New Roman"/>
          <w:szCs w:val="24"/>
        </w:rPr>
      </w:pPr>
      <w:r>
        <w:rPr>
          <w:rFonts w:cs="Times New Roman"/>
          <w:szCs w:val="24"/>
        </w:rPr>
        <w:t xml:space="preserve">If ELIGIBILITY is NOT NULL then RATING=10 </w:t>
      </w:r>
    </w:p>
    <w:p w:rsidR="00324F6C" w:rsidRDefault="00324F6C" w:rsidP="00324F6C">
      <w:pPr>
        <w:pStyle w:val="Heading1"/>
        <w:numPr>
          <w:ilvl w:val="0"/>
          <w:numId w:val="0"/>
        </w:numPr>
        <w:ind w:left="432" w:hanging="432"/>
      </w:pPr>
      <w:bookmarkStart w:id="11" w:name="_Eligibility"/>
      <w:bookmarkEnd w:id="11"/>
      <w:r>
        <w:t>Eligibility</w:t>
      </w:r>
    </w:p>
    <w:p w:rsidR="00324F6C" w:rsidRPr="00815F37" w:rsidRDefault="00324F6C" w:rsidP="00324F6C">
      <w:pPr>
        <w:spacing w:line="240" w:lineRule="auto"/>
      </w:pPr>
      <w:r>
        <w:t>Claim eligibility is established by verifying that the claim is a re-opened en</w:t>
      </w:r>
      <w:r w:rsidR="003A0D3D">
        <w:t>d-product (end_product_type_cd=‘</w:t>
      </w:r>
      <w:r>
        <w:t>02%’) and that the claimant is contending a relevant condition.  The contention classification codes that determine relevance are provided in table 1 below.</w:t>
      </w:r>
    </w:p>
    <w:p w:rsidR="00324F6C" w:rsidRDefault="00324F6C" w:rsidP="00324F6C">
      <w:pPr>
        <w:spacing w:after="0" w:line="240" w:lineRule="auto"/>
        <w:rPr>
          <w:rFonts w:cs="Times New Roman"/>
          <w:szCs w:val="24"/>
        </w:rPr>
      </w:pPr>
    </w:p>
    <w:p w:rsidR="00324F6C" w:rsidRPr="000339EB" w:rsidRDefault="00324F6C" w:rsidP="00324F6C">
      <w:pPr>
        <w:spacing w:after="0" w:line="240" w:lineRule="auto"/>
        <w:rPr>
          <w:rFonts w:cs="Times New Roman"/>
          <w:b/>
          <w:szCs w:val="24"/>
        </w:rPr>
      </w:pPr>
      <w:r w:rsidRPr="000339EB">
        <w:rPr>
          <w:rFonts w:cs="Times New Roman"/>
          <w:b/>
          <w:szCs w:val="24"/>
        </w:rPr>
        <w:t xml:space="preserve">Table 1: </w:t>
      </w:r>
      <w:r>
        <w:rPr>
          <w:rFonts w:cs="Times New Roman"/>
          <w:b/>
          <w:szCs w:val="24"/>
        </w:rPr>
        <w:t>Contention Codes</w:t>
      </w:r>
    </w:p>
    <w:tbl>
      <w:tblPr>
        <w:tblStyle w:val="TableGrid"/>
        <w:tblW w:w="0" w:type="auto"/>
        <w:tblLook w:val="04A0" w:firstRow="1" w:lastRow="0" w:firstColumn="1" w:lastColumn="0" w:noHBand="0" w:noVBand="1"/>
      </w:tblPr>
      <w:tblGrid>
        <w:gridCol w:w="2065"/>
        <w:gridCol w:w="7285"/>
      </w:tblGrid>
      <w:tr w:rsidR="00324F6C" w:rsidRPr="00815F37" w:rsidTr="00E50ABB">
        <w:trPr>
          <w:tblHeader/>
        </w:trPr>
        <w:tc>
          <w:tcPr>
            <w:tcW w:w="2065" w:type="dxa"/>
            <w:shd w:val="clear" w:color="auto" w:fill="DEEAF6" w:themeFill="accent1" w:themeFillTint="33"/>
          </w:tcPr>
          <w:p w:rsidR="00324F6C" w:rsidRPr="00815F37" w:rsidRDefault="00324F6C" w:rsidP="00E50ABB">
            <w:pPr>
              <w:jc w:val="center"/>
              <w:rPr>
                <w:rFonts w:cs="Times New Roman"/>
                <w:b/>
                <w:sz w:val="20"/>
                <w:szCs w:val="20"/>
              </w:rPr>
            </w:pPr>
            <w:r w:rsidRPr="00815F37">
              <w:rPr>
                <w:rFonts w:cs="Times New Roman"/>
                <w:b/>
                <w:sz w:val="20"/>
                <w:szCs w:val="20"/>
              </w:rPr>
              <w:t>Feature</w:t>
            </w:r>
          </w:p>
        </w:tc>
        <w:tc>
          <w:tcPr>
            <w:tcW w:w="7285" w:type="dxa"/>
            <w:shd w:val="clear" w:color="auto" w:fill="DEEAF6" w:themeFill="accent1" w:themeFillTint="33"/>
          </w:tcPr>
          <w:p w:rsidR="00324F6C" w:rsidRPr="00815F37" w:rsidRDefault="00324F6C" w:rsidP="00E50ABB">
            <w:pPr>
              <w:jc w:val="center"/>
              <w:rPr>
                <w:rFonts w:cs="Times New Roman"/>
                <w:b/>
                <w:sz w:val="20"/>
                <w:szCs w:val="20"/>
              </w:rPr>
            </w:pPr>
            <w:r w:rsidRPr="00815F37">
              <w:rPr>
                <w:rFonts w:cs="Times New Roman"/>
                <w:b/>
                <w:sz w:val="20"/>
                <w:szCs w:val="20"/>
              </w:rPr>
              <w:t>Definition</w:t>
            </w:r>
          </w:p>
        </w:tc>
      </w:tr>
      <w:tr w:rsidR="00324F6C" w:rsidRPr="00815F37" w:rsidTr="00E50ABB">
        <w:tc>
          <w:tcPr>
            <w:tcW w:w="2065" w:type="dxa"/>
          </w:tcPr>
          <w:p w:rsidR="00324F6C" w:rsidRPr="00815F37" w:rsidRDefault="00324F6C" w:rsidP="00E50ABB">
            <w:pPr>
              <w:rPr>
                <w:rFonts w:cs="Times New Roman"/>
                <w:sz w:val="20"/>
                <w:szCs w:val="20"/>
              </w:rPr>
            </w:pPr>
            <w:r w:rsidRPr="00815F37">
              <w:rPr>
                <w:rFonts w:cs="Times New Roman"/>
                <w:sz w:val="20"/>
                <w:szCs w:val="20"/>
              </w:rPr>
              <w:t>2200</w:t>
            </w:r>
          </w:p>
        </w:tc>
        <w:tc>
          <w:tcPr>
            <w:tcW w:w="7285" w:type="dxa"/>
          </w:tcPr>
          <w:p w:rsidR="00324F6C" w:rsidRPr="00815F37" w:rsidRDefault="00324F6C" w:rsidP="00E50ABB">
            <w:pPr>
              <w:rPr>
                <w:rFonts w:cs="Times New Roman"/>
                <w:color w:val="FF0000"/>
                <w:sz w:val="20"/>
                <w:szCs w:val="20"/>
              </w:rPr>
            </w:pPr>
            <w:r w:rsidRPr="00815F37">
              <w:rPr>
                <w:rFonts w:cs="Times New Roman"/>
                <w:sz w:val="20"/>
                <w:szCs w:val="20"/>
              </w:rPr>
              <w:t>Ear Condition</w:t>
            </w:r>
          </w:p>
        </w:tc>
      </w:tr>
      <w:tr w:rsidR="00324F6C" w:rsidRPr="00815F37" w:rsidTr="00E50ABB">
        <w:tc>
          <w:tcPr>
            <w:tcW w:w="2065" w:type="dxa"/>
          </w:tcPr>
          <w:p w:rsidR="00324F6C" w:rsidRPr="00815F37" w:rsidRDefault="00324F6C" w:rsidP="00E50ABB">
            <w:pPr>
              <w:rPr>
                <w:rFonts w:cs="Times New Roman"/>
                <w:sz w:val="20"/>
                <w:szCs w:val="20"/>
              </w:rPr>
            </w:pPr>
            <w:r w:rsidRPr="00815F37">
              <w:rPr>
                <w:rFonts w:cs="Times New Roman"/>
                <w:sz w:val="20"/>
                <w:szCs w:val="20"/>
              </w:rPr>
              <w:t>3140</w:t>
            </w:r>
          </w:p>
        </w:tc>
        <w:tc>
          <w:tcPr>
            <w:tcW w:w="7285" w:type="dxa"/>
          </w:tcPr>
          <w:p w:rsidR="00324F6C" w:rsidRPr="00815F37" w:rsidRDefault="00324F6C" w:rsidP="00E50ABB">
            <w:pPr>
              <w:rPr>
                <w:rFonts w:cs="Times New Roman"/>
                <w:sz w:val="20"/>
                <w:szCs w:val="20"/>
              </w:rPr>
            </w:pPr>
            <w:r w:rsidRPr="00815F37">
              <w:rPr>
                <w:sz w:val="20"/>
                <w:szCs w:val="20"/>
              </w:rPr>
              <w:t>hearing loss</w:t>
            </w:r>
          </w:p>
        </w:tc>
      </w:tr>
      <w:tr w:rsidR="00324F6C" w:rsidRPr="00815F37" w:rsidTr="00E50ABB">
        <w:tc>
          <w:tcPr>
            <w:tcW w:w="2065" w:type="dxa"/>
          </w:tcPr>
          <w:p w:rsidR="00324F6C" w:rsidRPr="00815F37" w:rsidRDefault="00324F6C" w:rsidP="00E50ABB">
            <w:pPr>
              <w:rPr>
                <w:rFonts w:cs="Times New Roman"/>
                <w:sz w:val="20"/>
                <w:szCs w:val="20"/>
              </w:rPr>
            </w:pPr>
            <w:r w:rsidRPr="00815F37">
              <w:rPr>
                <w:rFonts w:cs="Times New Roman"/>
                <w:sz w:val="20"/>
                <w:szCs w:val="20"/>
              </w:rPr>
              <w:t>3150</w:t>
            </w:r>
          </w:p>
        </w:tc>
        <w:tc>
          <w:tcPr>
            <w:tcW w:w="7285" w:type="dxa"/>
          </w:tcPr>
          <w:p w:rsidR="00324F6C" w:rsidRPr="00815F37" w:rsidRDefault="00324F6C" w:rsidP="00E50ABB">
            <w:pPr>
              <w:rPr>
                <w:rFonts w:cs="Times New Roman"/>
                <w:color w:val="FF0000"/>
                <w:sz w:val="20"/>
                <w:szCs w:val="20"/>
              </w:rPr>
            </w:pPr>
            <w:r w:rsidRPr="00815F37">
              <w:rPr>
                <w:sz w:val="20"/>
                <w:szCs w:val="20"/>
              </w:rPr>
              <w:t>hearing loss, sensorineural</w:t>
            </w:r>
          </w:p>
        </w:tc>
      </w:tr>
      <w:tr w:rsidR="00324F6C" w:rsidRPr="00815F37" w:rsidTr="00E50ABB">
        <w:tc>
          <w:tcPr>
            <w:tcW w:w="2065" w:type="dxa"/>
          </w:tcPr>
          <w:p w:rsidR="00324F6C" w:rsidRPr="00815F37" w:rsidRDefault="00324F6C" w:rsidP="00E50ABB">
            <w:pPr>
              <w:rPr>
                <w:rFonts w:cs="Times New Roman"/>
                <w:sz w:val="20"/>
                <w:szCs w:val="20"/>
              </w:rPr>
            </w:pPr>
            <w:r w:rsidRPr="00815F37">
              <w:rPr>
                <w:rFonts w:cs="Times New Roman"/>
                <w:sz w:val="20"/>
                <w:szCs w:val="20"/>
              </w:rPr>
              <w:t>4700</w:t>
            </w:r>
          </w:p>
        </w:tc>
        <w:tc>
          <w:tcPr>
            <w:tcW w:w="7285" w:type="dxa"/>
          </w:tcPr>
          <w:p w:rsidR="00324F6C" w:rsidRPr="00815F37" w:rsidRDefault="00324F6C" w:rsidP="00E50ABB">
            <w:pPr>
              <w:rPr>
                <w:rFonts w:cs="Times New Roman"/>
                <w:sz w:val="20"/>
                <w:szCs w:val="20"/>
              </w:rPr>
            </w:pPr>
            <w:r w:rsidRPr="00815F37">
              <w:rPr>
                <w:rFonts w:cs="Times New Roman"/>
                <w:sz w:val="20"/>
                <w:szCs w:val="20"/>
              </w:rPr>
              <w:t>Non-specific Ear Condition</w:t>
            </w:r>
          </w:p>
        </w:tc>
      </w:tr>
      <w:tr w:rsidR="00324F6C" w:rsidRPr="00815F37" w:rsidTr="00E50ABB">
        <w:tc>
          <w:tcPr>
            <w:tcW w:w="2065" w:type="dxa"/>
          </w:tcPr>
          <w:p w:rsidR="00324F6C" w:rsidRPr="00815F37" w:rsidRDefault="00324F6C" w:rsidP="00E50ABB">
            <w:pPr>
              <w:rPr>
                <w:rFonts w:cs="Times New Roman"/>
                <w:sz w:val="20"/>
                <w:szCs w:val="20"/>
              </w:rPr>
            </w:pPr>
            <w:r w:rsidRPr="00815F37">
              <w:rPr>
                <w:rFonts w:cs="Times New Roman"/>
                <w:sz w:val="20"/>
                <w:szCs w:val="20"/>
              </w:rPr>
              <w:t>5710</w:t>
            </w:r>
          </w:p>
        </w:tc>
        <w:tc>
          <w:tcPr>
            <w:tcW w:w="7285" w:type="dxa"/>
          </w:tcPr>
          <w:p w:rsidR="00324F6C" w:rsidRPr="00815F37" w:rsidRDefault="00324F6C" w:rsidP="00E50ABB">
            <w:pPr>
              <w:rPr>
                <w:rFonts w:cs="Times New Roman"/>
                <w:sz w:val="20"/>
                <w:szCs w:val="20"/>
              </w:rPr>
            </w:pPr>
            <w:r w:rsidRPr="00815F37">
              <w:rPr>
                <w:rFonts w:cs="Times New Roman"/>
                <w:sz w:val="20"/>
                <w:szCs w:val="20"/>
              </w:rPr>
              <w:t>Ringing in Ears</w:t>
            </w:r>
          </w:p>
        </w:tc>
      </w:tr>
      <w:tr w:rsidR="00324F6C" w:rsidRPr="00815F37" w:rsidTr="00E50ABB">
        <w:tc>
          <w:tcPr>
            <w:tcW w:w="2065" w:type="dxa"/>
          </w:tcPr>
          <w:p w:rsidR="00324F6C" w:rsidRPr="00815F37" w:rsidRDefault="00324F6C" w:rsidP="00E50ABB">
            <w:pPr>
              <w:rPr>
                <w:rFonts w:cs="Times New Roman"/>
                <w:sz w:val="20"/>
                <w:szCs w:val="20"/>
              </w:rPr>
            </w:pPr>
            <w:r w:rsidRPr="00815F37">
              <w:rPr>
                <w:rFonts w:cs="Times New Roman"/>
                <w:sz w:val="20"/>
                <w:szCs w:val="20"/>
              </w:rPr>
              <w:t>6850</w:t>
            </w:r>
          </w:p>
        </w:tc>
        <w:tc>
          <w:tcPr>
            <w:tcW w:w="7285" w:type="dxa"/>
          </w:tcPr>
          <w:p w:rsidR="00324F6C" w:rsidRPr="00815F37" w:rsidRDefault="00324F6C" w:rsidP="00E50ABB">
            <w:pPr>
              <w:rPr>
                <w:rFonts w:cs="Times New Roman"/>
                <w:sz w:val="20"/>
                <w:szCs w:val="20"/>
              </w:rPr>
            </w:pPr>
            <w:r w:rsidRPr="00815F37">
              <w:rPr>
                <w:rFonts w:cs="Times New Roman"/>
                <w:sz w:val="20"/>
                <w:szCs w:val="20"/>
              </w:rPr>
              <w:t>Tinnitus</w:t>
            </w:r>
          </w:p>
        </w:tc>
      </w:tr>
    </w:tbl>
    <w:p w:rsidR="00324F6C" w:rsidRDefault="00324F6C" w:rsidP="00324F6C">
      <w:pPr>
        <w:spacing w:after="0" w:line="240" w:lineRule="auto"/>
        <w:rPr>
          <w:rFonts w:cs="Times New Roman"/>
          <w:b/>
          <w:szCs w:val="24"/>
        </w:rPr>
      </w:pPr>
    </w:p>
    <w:p w:rsidR="00324F6C" w:rsidRDefault="00324F6C" w:rsidP="00324F6C">
      <w:pPr>
        <w:spacing w:after="0" w:line="240" w:lineRule="auto"/>
        <w:rPr>
          <w:rFonts w:cs="Times New Roman"/>
          <w:szCs w:val="24"/>
        </w:rPr>
      </w:pPr>
      <w:r>
        <w:rPr>
          <w:rFonts w:cs="Times New Roman"/>
          <w:szCs w:val="24"/>
        </w:rPr>
        <w:t>SQL Statement:</w:t>
      </w:r>
    </w:p>
    <w:p w:rsidR="00324F6C" w:rsidRDefault="00324F6C" w:rsidP="00324F6C">
      <w:pPr>
        <w:spacing w:after="0" w:line="240" w:lineRule="auto"/>
        <w:rPr>
          <w:rFonts w:cs="Times New Roman"/>
          <w:szCs w:val="24"/>
        </w:rPr>
      </w:pPr>
      <w:r w:rsidRPr="00B77765">
        <w:rPr>
          <w:rFonts w:cs="Times New Roman"/>
          <w:b/>
          <w:color w:val="FF0000"/>
          <w:szCs w:val="24"/>
        </w:rPr>
        <w:t xml:space="preserve">Select </w:t>
      </w:r>
      <w:r>
        <w:rPr>
          <w:rFonts w:cs="Times New Roman"/>
          <w:szCs w:val="24"/>
        </w:rPr>
        <w:t xml:space="preserve">ptcpnt_vet_id, bnft_claim_id, end_product_type_cd, date_of_claim, cntntn_clsfn_id, prfil_dt </w:t>
      </w:r>
    </w:p>
    <w:p w:rsidR="00324F6C" w:rsidRDefault="00324F6C" w:rsidP="00324F6C">
      <w:pPr>
        <w:spacing w:after="0" w:line="240" w:lineRule="auto"/>
        <w:rPr>
          <w:rFonts w:cs="Times New Roman"/>
          <w:szCs w:val="24"/>
        </w:rPr>
      </w:pPr>
      <w:r w:rsidRPr="00B77765">
        <w:rPr>
          <w:rFonts w:cs="Times New Roman"/>
          <w:b/>
          <w:color w:val="FF0000"/>
          <w:szCs w:val="24"/>
        </w:rPr>
        <w:t xml:space="preserve">From </w:t>
      </w:r>
      <w:r>
        <w:rPr>
          <w:rFonts w:cs="Times New Roman"/>
          <w:szCs w:val="24"/>
        </w:rPr>
        <w:t>XXXX_rating_corp_claim</w:t>
      </w:r>
    </w:p>
    <w:p w:rsidR="00324F6C" w:rsidRDefault="00324F6C" w:rsidP="00324F6C">
      <w:pPr>
        <w:spacing w:after="0" w:line="240" w:lineRule="auto"/>
        <w:rPr>
          <w:rFonts w:cs="Times New Roman"/>
          <w:szCs w:val="24"/>
        </w:rPr>
      </w:pPr>
      <w:r w:rsidRPr="00B77765">
        <w:rPr>
          <w:rFonts w:cs="Times New Roman"/>
          <w:b/>
          <w:color w:val="FF0000"/>
          <w:szCs w:val="24"/>
        </w:rPr>
        <w:t xml:space="preserve">where </w:t>
      </w:r>
      <w:r>
        <w:rPr>
          <w:rFonts w:cs="Times New Roman"/>
          <w:szCs w:val="24"/>
        </w:rPr>
        <w:t xml:space="preserve">end_product_type_cd is like ‘02%’ and </w:t>
      </w:r>
    </w:p>
    <w:p w:rsidR="00324F6C" w:rsidRDefault="00324F6C" w:rsidP="00324F6C">
      <w:pPr>
        <w:spacing w:after="0" w:line="240" w:lineRule="auto"/>
        <w:rPr>
          <w:rFonts w:cs="Times New Roman"/>
          <w:szCs w:val="24"/>
        </w:rPr>
      </w:pPr>
      <w:r>
        <w:rPr>
          <w:rFonts w:cs="Times New Roman"/>
          <w:szCs w:val="24"/>
        </w:rPr>
        <w:t>(cntntn_clsfn_id=’2200’ or cntntn_clsfn_id=’4700’ or cntntn_clsfn_id=’3140’ or cntntn_clsfn_id=’5700’ or cntntn_clsfn_id=’6860’)</w:t>
      </w:r>
    </w:p>
    <w:p w:rsidR="00324F6C" w:rsidRDefault="00324F6C" w:rsidP="00324F6C">
      <w:pPr>
        <w:spacing w:after="0" w:line="240" w:lineRule="auto"/>
        <w:ind w:left="720"/>
        <w:rPr>
          <w:rFonts w:cs="Times New Roman"/>
          <w:szCs w:val="24"/>
        </w:rPr>
      </w:pPr>
    </w:p>
    <w:p w:rsidR="00324F6C" w:rsidRDefault="00324F6C" w:rsidP="00324F6C">
      <w:pPr>
        <w:pStyle w:val="Heading1"/>
        <w:numPr>
          <w:ilvl w:val="0"/>
          <w:numId w:val="0"/>
        </w:numPr>
        <w:ind w:left="432" w:hanging="432"/>
      </w:pPr>
      <w:r>
        <w:t>Claimant Data Computations</w:t>
      </w:r>
    </w:p>
    <w:p w:rsidR="00324F6C" w:rsidRDefault="00324F6C" w:rsidP="00324F6C">
      <w:pPr>
        <w:spacing w:after="0" w:line="240" w:lineRule="auto"/>
        <w:rPr>
          <w:rFonts w:cs="Times New Roman"/>
          <w:szCs w:val="24"/>
        </w:rPr>
      </w:pPr>
      <w:r>
        <w:rPr>
          <w:rFonts w:cs="Times New Roman"/>
          <w:szCs w:val="24"/>
        </w:rPr>
        <w:t>Only one claimant data based feature is necessary to calculate Tinnitus ratings and that is to establish that a service-connected (or 1151 Granted) prior rating was awarded for Tinnitus (Diagnostic Code 6260).</w:t>
      </w:r>
    </w:p>
    <w:p w:rsidR="00324F6C" w:rsidRDefault="00324F6C" w:rsidP="00324F6C">
      <w:pPr>
        <w:spacing w:after="0" w:line="240" w:lineRule="auto"/>
        <w:rPr>
          <w:rFonts w:cs="Times New Roman"/>
          <w:szCs w:val="24"/>
        </w:rPr>
      </w:pPr>
    </w:p>
    <w:p w:rsidR="00324F6C" w:rsidRDefault="00324F6C" w:rsidP="00324F6C">
      <w:pPr>
        <w:spacing w:after="0" w:line="240" w:lineRule="auto"/>
        <w:rPr>
          <w:rFonts w:cs="Times New Roman"/>
          <w:szCs w:val="24"/>
        </w:rPr>
      </w:pPr>
      <w:r>
        <w:rPr>
          <w:rFonts w:cs="Times New Roman"/>
          <w:szCs w:val="24"/>
        </w:rPr>
        <w:t>SQL Statement</w:t>
      </w:r>
    </w:p>
    <w:p w:rsidR="00324F6C" w:rsidRDefault="00324F6C" w:rsidP="00324F6C">
      <w:pPr>
        <w:spacing w:after="0" w:line="240" w:lineRule="auto"/>
        <w:rPr>
          <w:rFonts w:cs="Times New Roman"/>
          <w:szCs w:val="24"/>
        </w:rPr>
      </w:pPr>
    </w:p>
    <w:p w:rsidR="00324F6C" w:rsidRDefault="00324F6C" w:rsidP="00324F6C">
      <w:pPr>
        <w:spacing w:after="0" w:line="240" w:lineRule="auto"/>
        <w:rPr>
          <w:rFonts w:cs="Times New Roman"/>
          <w:szCs w:val="24"/>
        </w:rPr>
      </w:pPr>
      <w:r w:rsidRPr="00B77765">
        <w:rPr>
          <w:rFonts w:cs="Times New Roman"/>
          <w:b/>
          <w:color w:val="FF0000"/>
          <w:szCs w:val="24"/>
        </w:rPr>
        <w:t xml:space="preserve">Select </w:t>
      </w:r>
      <w:r>
        <w:rPr>
          <w:rFonts w:cs="Times New Roman"/>
          <w:szCs w:val="24"/>
        </w:rPr>
        <w:t xml:space="preserve">ptcpnt_vet_id, prfil_dt, prcnt_nbr, max(begin_dt) </w:t>
      </w:r>
    </w:p>
    <w:p w:rsidR="00324F6C" w:rsidRDefault="00324F6C" w:rsidP="00324F6C">
      <w:pPr>
        <w:spacing w:after="0" w:line="240" w:lineRule="auto"/>
        <w:rPr>
          <w:rFonts w:cs="Times New Roman"/>
          <w:szCs w:val="24"/>
        </w:rPr>
      </w:pPr>
      <w:r w:rsidRPr="00B77765">
        <w:rPr>
          <w:rFonts w:cs="Times New Roman"/>
          <w:b/>
          <w:color w:val="FF0000"/>
          <w:szCs w:val="24"/>
        </w:rPr>
        <w:t xml:space="preserve">From </w:t>
      </w:r>
      <w:r>
        <w:rPr>
          <w:rFonts w:cs="Times New Roman"/>
          <w:szCs w:val="24"/>
        </w:rPr>
        <w:t>XXXX_rating_decision</w:t>
      </w:r>
    </w:p>
    <w:p w:rsidR="00324F6C" w:rsidRDefault="00324F6C" w:rsidP="00324F6C">
      <w:pPr>
        <w:spacing w:after="0" w:line="240" w:lineRule="auto"/>
        <w:rPr>
          <w:rFonts w:cs="Times New Roman"/>
          <w:szCs w:val="24"/>
        </w:rPr>
      </w:pPr>
      <w:r w:rsidRPr="00B77765">
        <w:rPr>
          <w:rFonts w:cs="Times New Roman"/>
          <w:b/>
          <w:color w:val="FF0000"/>
          <w:szCs w:val="24"/>
        </w:rPr>
        <w:t>Where</w:t>
      </w:r>
      <w:r>
        <w:rPr>
          <w:rFonts w:cs="Times New Roman"/>
          <w:szCs w:val="24"/>
        </w:rPr>
        <w:t xml:space="preserve"> diagnosis_code=</w:t>
      </w:r>
      <w:r w:rsidR="003A0D3D">
        <w:rPr>
          <w:rFonts w:cs="Times New Roman"/>
          <w:szCs w:val="24"/>
        </w:rPr>
        <w:t>‘</w:t>
      </w:r>
      <w:r>
        <w:rPr>
          <w:rFonts w:cs="Times New Roman"/>
          <w:szCs w:val="24"/>
        </w:rPr>
        <w:t xml:space="preserve">6260’ and </w:t>
      </w:r>
    </w:p>
    <w:p w:rsidR="00324F6C" w:rsidRDefault="003A0D3D" w:rsidP="00324F6C">
      <w:pPr>
        <w:spacing w:after="0" w:line="240" w:lineRule="auto"/>
        <w:rPr>
          <w:rFonts w:cs="Times New Roman"/>
          <w:szCs w:val="24"/>
        </w:rPr>
      </w:pPr>
      <w:r>
        <w:rPr>
          <w:rFonts w:cs="Times New Roman"/>
          <w:szCs w:val="24"/>
        </w:rPr>
        <w:t>(narrative_codesheet_ind=‘</w:t>
      </w:r>
      <w:r w:rsidR="00324F6C">
        <w:rPr>
          <w:rFonts w:cs="Times New Roman"/>
          <w:szCs w:val="24"/>
        </w:rPr>
        <w:t>N’ or narrative_codesheet_ind=’C’) and (dsblty_decn_type_cd='SVCCONNCTED' or dsblty-decn-type_cd=</w:t>
      </w:r>
      <w:r w:rsidR="00324F6C" w:rsidRPr="002276FE">
        <w:rPr>
          <w:rFonts w:cs="Times New Roman"/>
          <w:szCs w:val="24"/>
        </w:rPr>
        <w:t>'1151GRANTED')</w:t>
      </w:r>
      <w:r w:rsidR="00324F6C">
        <w:rPr>
          <w:rFonts w:cs="Times New Roman"/>
          <w:szCs w:val="24"/>
        </w:rPr>
        <w:t xml:space="preserve"> and</w:t>
      </w:r>
    </w:p>
    <w:p w:rsidR="00324F6C" w:rsidRDefault="00324F6C" w:rsidP="00324F6C">
      <w:pPr>
        <w:spacing w:after="0" w:line="240" w:lineRule="auto"/>
        <w:rPr>
          <w:rFonts w:cs="Times New Roman"/>
          <w:szCs w:val="24"/>
        </w:rPr>
      </w:pPr>
      <w:r>
        <w:rPr>
          <w:rFonts w:cs="Times New Roman"/>
          <w:szCs w:val="24"/>
        </w:rPr>
        <w:t>prcnt_nbr is not null</w:t>
      </w:r>
    </w:p>
    <w:p w:rsidR="00324F6C" w:rsidRDefault="00324F6C" w:rsidP="00324F6C">
      <w:pPr>
        <w:spacing w:after="0" w:line="240" w:lineRule="auto"/>
        <w:rPr>
          <w:rFonts w:cs="Times New Roman"/>
          <w:szCs w:val="24"/>
        </w:rPr>
      </w:pPr>
    </w:p>
    <w:p w:rsidR="003B2860" w:rsidRDefault="00324F6C" w:rsidP="00324F6C">
      <w:r>
        <w:t>Then Rating=10</w:t>
      </w:r>
    </w:p>
    <w:p w:rsidR="00324F6C" w:rsidRDefault="00324F6C">
      <w:pPr>
        <w:spacing w:line="259" w:lineRule="auto"/>
        <w:rPr>
          <w:rFonts w:asciiTheme="majorHAnsi" w:eastAsiaTheme="majorEastAsia" w:hAnsiTheme="majorHAnsi" w:cstheme="majorBidi"/>
          <w:color w:val="2E74B5" w:themeColor="accent1" w:themeShade="BF"/>
          <w:sz w:val="32"/>
          <w:szCs w:val="32"/>
        </w:rPr>
      </w:pPr>
      <w:bookmarkStart w:id="12" w:name="_Toc470010394"/>
      <w:r>
        <w:br w:type="page"/>
      </w:r>
    </w:p>
    <w:p w:rsidR="00B54BF6" w:rsidRDefault="003B2860" w:rsidP="00410B95">
      <w:pPr>
        <w:pStyle w:val="Heading1"/>
        <w:numPr>
          <w:ilvl w:val="0"/>
          <w:numId w:val="0"/>
        </w:numPr>
        <w:ind w:left="432" w:hanging="432"/>
      </w:pPr>
      <w:r>
        <w:t>Appendix B</w:t>
      </w:r>
      <w:r w:rsidR="00410B95">
        <w:t>:</w:t>
      </w:r>
      <w:r w:rsidR="00734808">
        <w:tab/>
      </w:r>
      <w:r w:rsidR="005031D6">
        <w:t>BCDSS Model Architecture</w:t>
      </w:r>
      <w:bookmarkEnd w:id="12"/>
    </w:p>
    <w:p w:rsidR="00630455" w:rsidRPr="003A0FD6" w:rsidRDefault="00630455" w:rsidP="00630455">
      <w:pPr>
        <w:spacing w:after="0" w:line="480" w:lineRule="auto"/>
        <w:rPr>
          <w:rFonts w:cs="Times New Roman"/>
          <w:szCs w:val="24"/>
        </w:rPr>
      </w:pPr>
      <w:r>
        <w:rPr>
          <w:rFonts w:cs="Times New Roman"/>
          <w:szCs w:val="24"/>
        </w:rPr>
        <w:t xml:space="preserve">The BCDSS team evaluated </w:t>
      </w:r>
      <w:r w:rsidRPr="003A0FD6">
        <w:rPr>
          <w:rFonts w:cs="Times New Roman"/>
          <w:szCs w:val="24"/>
        </w:rPr>
        <w:t>MITRE’s analytical methodology for statistically adjudicating claims for scalability and the ease with which the classifiers</w:t>
      </w:r>
      <w:r>
        <w:rPr>
          <w:rFonts w:cs="Times New Roman"/>
          <w:szCs w:val="24"/>
        </w:rPr>
        <w:t xml:space="preserve"> </w:t>
      </w:r>
      <w:r w:rsidRPr="003A0FD6">
        <w:rPr>
          <w:rFonts w:cs="Times New Roman"/>
          <w:szCs w:val="24"/>
        </w:rPr>
        <w:t>could be automated.</w:t>
      </w:r>
      <w:r w:rsidR="00734808">
        <w:rPr>
          <w:rFonts w:cs="Times New Roman"/>
          <w:szCs w:val="24"/>
        </w:rPr>
        <w:t xml:space="preserve"> </w:t>
      </w:r>
      <w:r w:rsidRPr="003A0FD6">
        <w:rPr>
          <w:rFonts w:cs="Times New Roman"/>
          <w:szCs w:val="24"/>
        </w:rPr>
        <w:t xml:space="preserve"> The BCDS</w:t>
      </w:r>
      <w:r>
        <w:rPr>
          <w:rFonts w:cs="Times New Roman"/>
          <w:szCs w:val="24"/>
        </w:rPr>
        <w:t>S</w:t>
      </w:r>
      <w:r w:rsidRPr="003A0FD6">
        <w:rPr>
          <w:rFonts w:cs="Times New Roman"/>
          <w:szCs w:val="24"/>
        </w:rPr>
        <w:t xml:space="preserve"> team’s evaluation </w:t>
      </w:r>
      <w:r>
        <w:rPr>
          <w:rFonts w:cs="Times New Roman"/>
          <w:szCs w:val="24"/>
        </w:rPr>
        <w:t>determined</w:t>
      </w:r>
      <w:r w:rsidRPr="003A0FD6">
        <w:rPr>
          <w:rFonts w:cs="Times New Roman"/>
          <w:szCs w:val="24"/>
        </w:rPr>
        <w:t xml:space="preserve"> that a simpler approach </w:t>
      </w:r>
      <w:r>
        <w:rPr>
          <w:rFonts w:cs="Times New Roman"/>
          <w:szCs w:val="24"/>
        </w:rPr>
        <w:t>using</w:t>
      </w:r>
      <w:r w:rsidRPr="003A0FD6">
        <w:rPr>
          <w:rFonts w:cs="Times New Roman"/>
          <w:szCs w:val="24"/>
        </w:rPr>
        <w:t xml:space="preserve"> a pattern-matching architecture </w:t>
      </w:r>
      <w:r>
        <w:rPr>
          <w:rFonts w:cs="Times New Roman"/>
          <w:szCs w:val="24"/>
        </w:rPr>
        <w:t xml:space="preserve">could streamline rating calculation and prediction, while providing enhanced scalability. </w:t>
      </w:r>
      <w:r w:rsidR="000E11A7">
        <w:rPr>
          <w:rFonts w:cs="Times New Roman"/>
          <w:szCs w:val="24"/>
        </w:rPr>
        <w:t xml:space="preserve"> </w:t>
      </w:r>
      <w:r>
        <w:rPr>
          <w:rFonts w:cs="Times New Roman"/>
          <w:szCs w:val="24"/>
        </w:rPr>
        <w:t>This approach r</w:t>
      </w:r>
      <w:r w:rsidRPr="003A0FD6">
        <w:rPr>
          <w:rFonts w:cs="Times New Roman"/>
          <w:szCs w:val="24"/>
        </w:rPr>
        <w:t>etain</w:t>
      </w:r>
      <w:r>
        <w:rPr>
          <w:rFonts w:cs="Times New Roman"/>
          <w:szCs w:val="24"/>
        </w:rPr>
        <w:t>s</w:t>
      </w:r>
      <w:r w:rsidRPr="003A0FD6">
        <w:rPr>
          <w:rFonts w:cs="Times New Roman"/>
          <w:szCs w:val="24"/>
        </w:rPr>
        <w:t xml:space="preserve"> the ability to </w:t>
      </w:r>
      <w:r>
        <w:rPr>
          <w:rFonts w:cs="Times New Roman"/>
          <w:szCs w:val="24"/>
        </w:rPr>
        <w:t>apply</w:t>
      </w:r>
      <w:r w:rsidRPr="003A0FD6">
        <w:rPr>
          <w:rFonts w:cs="Times New Roman"/>
          <w:szCs w:val="24"/>
        </w:rPr>
        <w:t xml:space="preserve"> </w:t>
      </w:r>
      <w:r w:rsidRPr="007510F2">
        <w:t>Ordinal Logistic Regression (</w:t>
      </w:r>
      <w:r w:rsidRPr="003A0FD6">
        <w:rPr>
          <w:rFonts w:cs="Times New Roman"/>
          <w:szCs w:val="24"/>
        </w:rPr>
        <w:t>OLR</w:t>
      </w:r>
      <w:r>
        <w:rPr>
          <w:rFonts w:cs="Times New Roman"/>
          <w:szCs w:val="24"/>
        </w:rPr>
        <w:t>)</w:t>
      </w:r>
      <w:r w:rsidRPr="003A0FD6">
        <w:rPr>
          <w:rFonts w:cs="Times New Roman"/>
          <w:szCs w:val="24"/>
        </w:rPr>
        <w:t xml:space="preserve"> or other </w:t>
      </w:r>
      <w:r w:rsidR="00561B8C">
        <w:rPr>
          <w:rFonts w:cs="Times New Roman"/>
          <w:szCs w:val="24"/>
        </w:rPr>
        <w:t>advanced statistical algorithms</w:t>
      </w:r>
      <w:r w:rsidRPr="003A0FD6">
        <w:rPr>
          <w:rFonts w:cs="Times New Roman"/>
          <w:szCs w:val="24"/>
        </w:rPr>
        <w:t xml:space="preserve"> should such </w:t>
      </w:r>
      <w:r>
        <w:rPr>
          <w:rFonts w:cs="Times New Roman"/>
          <w:szCs w:val="24"/>
        </w:rPr>
        <w:t xml:space="preserve">analytical </w:t>
      </w:r>
      <w:r w:rsidRPr="003A0FD6">
        <w:rPr>
          <w:rFonts w:cs="Times New Roman"/>
          <w:szCs w:val="24"/>
        </w:rPr>
        <w:t>capabilities become necessary</w:t>
      </w:r>
      <w:r>
        <w:rPr>
          <w:rFonts w:cs="Times New Roman"/>
          <w:szCs w:val="24"/>
        </w:rPr>
        <w:t xml:space="preserve"> to satisfy performance parameters</w:t>
      </w:r>
      <w:r w:rsidRPr="003A0FD6">
        <w:rPr>
          <w:rFonts w:cs="Times New Roman"/>
          <w:szCs w:val="24"/>
        </w:rPr>
        <w:t xml:space="preserve">. </w:t>
      </w:r>
      <w:r w:rsidR="000E11A7">
        <w:rPr>
          <w:rFonts w:cs="Times New Roman"/>
          <w:szCs w:val="24"/>
        </w:rPr>
        <w:t xml:space="preserve"> </w:t>
      </w:r>
      <w:r w:rsidRPr="003A0FD6">
        <w:rPr>
          <w:rFonts w:cs="Times New Roman"/>
          <w:szCs w:val="24"/>
        </w:rPr>
        <w:t>Th</w:t>
      </w:r>
      <w:r>
        <w:rPr>
          <w:rFonts w:cs="Times New Roman"/>
          <w:szCs w:val="24"/>
        </w:rPr>
        <w:t>e BCDSS team</w:t>
      </w:r>
      <w:r w:rsidRPr="003A0FD6">
        <w:rPr>
          <w:rFonts w:cs="Times New Roman"/>
          <w:szCs w:val="24"/>
        </w:rPr>
        <w:t xml:space="preserve"> </w:t>
      </w:r>
      <w:r>
        <w:rPr>
          <w:rFonts w:cs="Times New Roman"/>
          <w:szCs w:val="24"/>
        </w:rPr>
        <w:t xml:space="preserve">based this </w:t>
      </w:r>
      <w:r w:rsidRPr="003A0FD6">
        <w:rPr>
          <w:rFonts w:cs="Times New Roman"/>
          <w:szCs w:val="24"/>
        </w:rPr>
        <w:t>hypothesis on</w:t>
      </w:r>
      <w:r>
        <w:rPr>
          <w:rFonts w:cs="Times New Roman"/>
          <w:szCs w:val="24"/>
        </w:rPr>
        <w:t xml:space="preserve"> the following</w:t>
      </w:r>
      <w:r w:rsidRPr="003A0FD6">
        <w:rPr>
          <w:rFonts w:cs="Times New Roman"/>
          <w:szCs w:val="24"/>
        </w:rPr>
        <w:t>:</w:t>
      </w:r>
    </w:p>
    <w:p w:rsidR="00630455" w:rsidRPr="00D14D84" w:rsidRDefault="00630455" w:rsidP="00630455">
      <w:pPr>
        <w:pStyle w:val="ListParagraph"/>
      </w:pPr>
      <w:r w:rsidRPr="00D14D84">
        <w:t>A cursory analysis of supplemental claims for increase</w:t>
      </w:r>
      <w:r w:rsidR="000E11A7">
        <w:t>d compensation</w:t>
      </w:r>
      <w:r w:rsidRPr="00D14D84">
        <w:t xml:space="preserve"> containing at least one ear</w:t>
      </w:r>
      <w:r w:rsidRPr="00973A28">
        <w:t xml:space="preserve">-related contention indicated that most claimants file </w:t>
      </w:r>
      <w:r>
        <w:t>a</w:t>
      </w:r>
      <w:r w:rsidRPr="00D14D84">
        <w:t>n average</w:t>
      </w:r>
      <w:r>
        <w:t xml:space="preserve"> of</w:t>
      </w:r>
      <w:r w:rsidRPr="00D14D84">
        <w:t xml:space="preserve"> less than </w:t>
      </w:r>
      <w:r w:rsidRPr="00973A28">
        <w:t xml:space="preserve">two such claims. </w:t>
      </w:r>
      <w:r w:rsidR="000E11A7">
        <w:t xml:space="preserve"> </w:t>
      </w:r>
      <w:r w:rsidRPr="00973A28">
        <w:t>The team concluded event-specific analysis might yield just as accurate a result given the limited number of relevant events contained within most claimants</w:t>
      </w:r>
      <w:r>
        <w:t>’</w:t>
      </w:r>
      <w:r w:rsidRPr="00D14D84">
        <w:t xml:space="preserve"> adjudication history.</w:t>
      </w:r>
    </w:p>
    <w:p w:rsidR="00630455" w:rsidRPr="00D14D84" w:rsidRDefault="00630455" w:rsidP="00630455">
      <w:pPr>
        <w:pStyle w:val="ListParagraph"/>
      </w:pPr>
      <w:r w:rsidRPr="00973A28">
        <w:t xml:space="preserve">Establishing an architecture that </w:t>
      </w:r>
      <w:r>
        <w:t>can</w:t>
      </w:r>
      <w:r w:rsidRPr="00D14D84">
        <w:t xml:space="preserve"> </w:t>
      </w:r>
      <w:r>
        <w:t>use and modify</w:t>
      </w:r>
      <w:r w:rsidRPr="00D14D84">
        <w:t xml:space="preserve"> </w:t>
      </w:r>
      <w:r w:rsidRPr="00973A28">
        <w:t xml:space="preserve">a claimant’s adjudicatory history, as well as training data to derive a single </w:t>
      </w:r>
      <w:r w:rsidR="000E11A7">
        <w:t>Combined Disability Determination (</w:t>
      </w:r>
      <w:r w:rsidRPr="00973A28">
        <w:t>CDD</w:t>
      </w:r>
      <w:r w:rsidR="000E11A7">
        <w:t>)</w:t>
      </w:r>
      <w:r w:rsidRPr="00973A28">
        <w:t xml:space="preserve">, seemed unnecessarily cumbersome. </w:t>
      </w:r>
      <w:r w:rsidR="000E11A7">
        <w:t xml:space="preserve"> </w:t>
      </w:r>
      <w:r w:rsidRPr="00973A28">
        <w:t xml:space="preserve">It might also present significant performance challenges </w:t>
      </w:r>
      <w:r>
        <w:t>when there are a</w:t>
      </w:r>
      <w:r w:rsidRPr="00D14D84">
        <w:t xml:space="preserve"> high numbers of users and transaction requests. </w:t>
      </w:r>
      <w:r w:rsidR="000E11A7">
        <w:t xml:space="preserve"> </w:t>
      </w:r>
      <w:r w:rsidRPr="00D14D84">
        <w:t xml:space="preserve">The final design concept </w:t>
      </w:r>
      <w:r w:rsidRPr="00973A28">
        <w:t>need</w:t>
      </w:r>
      <w:r>
        <w:t>s</w:t>
      </w:r>
      <w:r w:rsidRPr="00D14D84">
        <w:t xml:space="preserve"> to be repeatable, efficient, and highly scalable.</w:t>
      </w:r>
    </w:p>
    <w:p w:rsidR="00630455" w:rsidRPr="00973A28" w:rsidRDefault="00630455" w:rsidP="00630455">
      <w:pPr>
        <w:pStyle w:val="ListParagraph"/>
      </w:pPr>
      <w:r w:rsidRPr="00973A28">
        <w:t>MITRE appl</w:t>
      </w:r>
      <w:r>
        <w:t>ied</w:t>
      </w:r>
      <w:r w:rsidRPr="00D14D84">
        <w:t xml:space="preserve"> machine-</w:t>
      </w:r>
      <w:r w:rsidRPr="00973A28">
        <w:t xml:space="preserve">learning algorithms to establish predictive adjudicatory patterns from historical training </w:t>
      </w:r>
      <w:r>
        <w:t xml:space="preserve">and test </w:t>
      </w:r>
      <w:r w:rsidRPr="00D14D84">
        <w:t>data and then appl</w:t>
      </w:r>
      <w:r>
        <w:t>ied</w:t>
      </w:r>
      <w:r w:rsidRPr="00D14D84">
        <w:t xml:space="preserve"> the pattern against target </w:t>
      </w:r>
      <w:r w:rsidRPr="00973A28">
        <w:t xml:space="preserve">claims to calculate the likely CDD. </w:t>
      </w:r>
      <w:r w:rsidR="000E11A7">
        <w:t xml:space="preserve"> </w:t>
      </w:r>
      <w:r w:rsidRPr="00973A28">
        <w:t>Current computer processing speeds can execute pattern-matching routines far faster and with greater efficiency than machine-learning algorithms, even with inventories of more than 100,000 patterns.</w:t>
      </w:r>
    </w:p>
    <w:p w:rsidR="00630455" w:rsidRPr="00973A28" w:rsidRDefault="00630455" w:rsidP="00630455">
      <w:pPr>
        <w:pStyle w:val="ListParagraph"/>
      </w:pPr>
      <w:r w:rsidRPr="00973A28">
        <w:t xml:space="preserve">A basic modeling architecture that relies on matching a fixed set of claim attributes for a specified claim </w:t>
      </w:r>
      <w:r>
        <w:t>that includes</w:t>
      </w:r>
      <w:r w:rsidRPr="00D14D84">
        <w:t xml:space="preserve"> the features contained within an inventory of patterns is</w:t>
      </w:r>
      <w:r w:rsidRPr="00973A28">
        <w:t xml:space="preserve"> extremely scalable</w:t>
      </w:r>
      <w:r>
        <w:t>. It can also</w:t>
      </w:r>
      <w:r w:rsidRPr="00973A28">
        <w:t xml:space="preserve"> </w:t>
      </w:r>
      <w:r>
        <w:t>exclude</w:t>
      </w:r>
      <w:r w:rsidRPr="00D14D84">
        <w:t xml:space="preserve"> invalid patterns</w:t>
      </w:r>
      <w:r w:rsidRPr="00973A28">
        <w:t xml:space="preserve">. </w:t>
      </w:r>
      <w:r w:rsidR="000E11A7">
        <w:t xml:space="preserve"> </w:t>
      </w:r>
      <w:r w:rsidRPr="00973A28">
        <w:t>This would be far more challenging to accomplish with statistical adjudication models.</w:t>
      </w:r>
    </w:p>
    <w:p w:rsidR="00630455" w:rsidRDefault="00630455" w:rsidP="00630455">
      <w:r>
        <w:t>Based on this</w:t>
      </w:r>
      <w:r w:rsidRPr="003A0FD6">
        <w:t xml:space="preserve">, </w:t>
      </w:r>
      <w:r>
        <w:t xml:space="preserve">the team developed and tested </w:t>
      </w:r>
      <w:r w:rsidRPr="003A0FD6">
        <w:t xml:space="preserve">a more streamlined and scalable design concept. </w:t>
      </w:r>
      <w:r w:rsidR="000E11A7">
        <w:t xml:space="preserve"> </w:t>
      </w:r>
      <w:r w:rsidRPr="003A0FD6">
        <w:t>This design conc</w:t>
      </w:r>
      <w:r>
        <w:t>ept assumes that</w:t>
      </w:r>
      <w:r w:rsidRPr="003A0FD6">
        <w:t xml:space="preserve"> </w:t>
      </w:r>
      <w:r>
        <w:t>the</w:t>
      </w:r>
      <w:r w:rsidRPr="003A0FD6">
        <w:t xml:space="preserve"> attributes related to specific conditions and the decisions of VA personnel who adjudicate claims </w:t>
      </w:r>
      <w:r>
        <w:t xml:space="preserve">for those conditions </w:t>
      </w:r>
      <w:r w:rsidRPr="003A0FD6">
        <w:t xml:space="preserve">form repeated and predictable patterns. </w:t>
      </w:r>
      <w:r w:rsidR="000E11A7">
        <w:t xml:space="preserve"> </w:t>
      </w:r>
      <w:r w:rsidRPr="003A0FD6">
        <w:t xml:space="preserve">These patterns are </w:t>
      </w:r>
      <w:r>
        <w:t>captured within the</w:t>
      </w:r>
      <w:r w:rsidRPr="003A0FD6">
        <w:t xml:space="preserve"> values </w:t>
      </w:r>
      <w:r>
        <w:t>of</w:t>
      </w:r>
      <w:r w:rsidRPr="003A0FD6">
        <w:t xml:space="preserve"> a predefined suite of predictive characteristics or features. </w:t>
      </w:r>
      <w:r w:rsidR="009A3578">
        <w:t xml:space="preserve"> </w:t>
      </w:r>
      <w:r w:rsidRPr="003A0FD6">
        <w:t xml:space="preserve">A </w:t>
      </w:r>
      <w:r>
        <w:t>s</w:t>
      </w:r>
      <w:r w:rsidRPr="003A0FD6">
        <w:t xml:space="preserve">ample </w:t>
      </w:r>
      <w:r>
        <w:t>pattern inventory</w:t>
      </w:r>
      <w:r w:rsidRPr="003A0FD6">
        <w:t xml:space="preserve"> </w:t>
      </w:r>
      <w:r>
        <w:t>is</w:t>
      </w:r>
      <w:r w:rsidRPr="003A0FD6">
        <w:t xml:space="preserve"> </w:t>
      </w:r>
      <w:r>
        <w:t>shown</w:t>
      </w:r>
      <w:r w:rsidRPr="003A0FD6">
        <w:t xml:space="preserve"> in </w:t>
      </w:r>
      <w:r>
        <w:fldChar w:fldCharType="begin"/>
      </w:r>
      <w:r>
        <w:instrText xml:space="preserve"> REF _Ref468102235 \h </w:instrText>
      </w:r>
      <w:r>
        <w:fldChar w:fldCharType="separate"/>
      </w:r>
      <w:r w:rsidR="000E11A7">
        <w:t xml:space="preserve">Figure </w:t>
      </w:r>
      <w:r w:rsidR="000E11A7">
        <w:rPr>
          <w:noProof/>
        </w:rPr>
        <w:t>2</w:t>
      </w:r>
      <w:r>
        <w:fldChar w:fldCharType="end"/>
      </w:r>
      <w:r>
        <w:t>:</w:t>
      </w:r>
    </w:p>
    <w:p w:rsidR="00630455" w:rsidRDefault="00630455" w:rsidP="00630455">
      <w:r w:rsidRPr="00EA3111">
        <w:rPr>
          <w:noProof/>
        </w:rPr>
        <w:drawing>
          <wp:inline distT="0" distB="0" distL="0" distR="0" wp14:anchorId="33B48FFD" wp14:editId="3104A5E4">
            <wp:extent cx="6547274" cy="3162521"/>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47274" cy="3162521"/>
                    </a:xfrm>
                    <a:prstGeom prst="rect">
                      <a:avLst/>
                    </a:prstGeom>
                    <a:noFill/>
                    <a:ln>
                      <a:noFill/>
                    </a:ln>
                  </pic:spPr>
                </pic:pic>
              </a:graphicData>
            </a:graphic>
          </wp:inline>
        </w:drawing>
      </w:r>
    </w:p>
    <w:p w:rsidR="00630455" w:rsidRDefault="00630455" w:rsidP="00630455">
      <w:pPr>
        <w:pStyle w:val="Caption"/>
      </w:pPr>
      <w:bookmarkStart w:id="13" w:name="_Ref468102235"/>
      <w:r>
        <w:t xml:space="preserve">Figure </w:t>
      </w:r>
      <w:fldSimple w:instr=" SEQ Figure \* ARABIC ">
        <w:r w:rsidR="000E11A7">
          <w:rPr>
            <w:noProof/>
          </w:rPr>
          <w:t>2</w:t>
        </w:r>
      </w:fldSimple>
      <w:bookmarkEnd w:id="13"/>
      <w:r>
        <w:t xml:space="preserve">: </w:t>
      </w:r>
      <w:r w:rsidRPr="001F68EB">
        <w:t>Sample Pattern Inventory</w:t>
      </w:r>
    </w:p>
    <w:p w:rsidR="00630455" w:rsidRDefault="00630455" w:rsidP="00630455">
      <w:r>
        <w:t>The BCDSS team tested its hypothesis with</w:t>
      </w:r>
      <w:r w:rsidRPr="00CF1F87">
        <w:t xml:space="preserve"> the same data </w:t>
      </w:r>
      <w:r>
        <w:t>that</w:t>
      </w:r>
      <w:r w:rsidRPr="00CF1F87">
        <w:t xml:space="preserve"> MITRE </w:t>
      </w:r>
      <w:r>
        <w:t xml:space="preserve">used </w:t>
      </w:r>
      <w:r w:rsidRPr="00CF1F87">
        <w:t>to conduct its analysis</w:t>
      </w:r>
      <w:r>
        <w:t xml:space="preserve"> and the same feature set:</w:t>
      </w:r>
    </w:p>
    <w:p w:rsidR="00630455" w:rsidRDefault="00630455" w:rsidP="00C25129">
      <w:pPr>
        <w:pStyle w:val="NumberedList"/>
        <w:numPr>
          <w:ilvl w:val="0"/>
          <w:numId w:val="11"/>
        </w:numPr>
      </w:pPr>
      <w:r>
        <w:t>The team extracted</w:t>
      </w:r>
      <w:r w:rsidRPr="00973A28">
        <w:t xml:space="preserve"> </w:t>
      </w:r>
      <w:r>
        <w:t>claims that included</w:t>
      </w:r>
      <w:r w:rsidRPr="00973A28">
        <w:t xml:space="preserve"> one </w:t>
      </w:r>
      <w:r>
        <w:t xml:space="preserve">or more </w:t>
      </w:r>
      <w:r w:rsidRPr="00973A28">
        <w:t>ear-related contention</w:t>
      </w:r>
      <w:r>
        <w:t>s from the initial set of 1.2 million claims.</w:t>
      </w:r>
    </w:p>
    <w:p w:rsidR="00630455" w:rsidRDefault="00630455" w:rsidP="00614A05">
      <w:pPr>
        <w:pStyle w:val="NumberedList"/>
        <w:numPr>
          <w:ilvl w:val="0"/>
          <w:numId w:val="3"/>
        </w:numPr>
      </w:pPr>
      <w:r w:rsidRPr="00973A28">
        <w:t xml:space="preserve">The data were </w:t>
      </w:r>
      <w:r>
        <w:t>grouped based on</w:t>
      </w:r>
      <w:r w:rsidRPr="00973A28">
        <w:t xml:space="preserve"> unique combinations of values for the set of features. </w:t>
      </w:r>
    </w:p>
    <w:p w:rsidR="00630455" w:rsidRDefault="00630455" w:rsidP="00614A05">
      <w:pPr>
        <w:pStyle w:val="NumberedList"/>
        <w:numPr>
          <w:ilvl w:val="0"/>
          <w:numId w:val="3"/>
        </w:numPr>
      </w:pPr>
      <w:r w:rsidRPr="00973A28">
        <w:t>The patterns were numbered and aligned with the resulting CDD for the ear (the calculated current CDDs were rounded to the nearest 10</w:t>
      </w:r>
      <w:r w:rsidR="009A0485">
        <w:t xml:space="preserve"> percent</w:t>
      </w:r>
      <w:r w:rsidR="009A0485" w:rsidRPr="00973A28">
        <w:t xml:space="preserve"> </w:t>
      </w:r>
      <w:r w:rsidRPr="00973A28">
        <w:t xml:space="preserve">or quantified based on MITRE’s analysis). </w:t>
      </w:r>
    </w:p>
    <w:p w:rsidR="00630455" w:rsidRDefault="00630455" w:rsidP="00614A05">
      <w:pPr>
        <w:pStyle w:val="NumberedList"/>
        <w:numPr>
          <w:ilvl w:val="0"/>
          <w:numId w:val="3"/>
        </w:numPr>
      </w:pPr>
      <w:r>
        <w:t>T</w:t>
      </w:r>
      <w:r w:rsidRPr="00973A28">
        <w:t xml:space="preserve">he team executed an automated routine to match the same set of claims with the pattern inventory to determine whether the logic was self-repeating (i.e., the claims used to identify the patterns could again be matched to provide an accurate result). </w:t>
      </w:r>
    </w:p>
    <w:p w:rsidR="00630455" w:rsidRDefault="00630455" w:rsidP="00614A05">
      <w:pPr>
        <w:pStyle w:val="NumberedList"/>
        <w:numPr>
          <w:ilvl w:val="0"/>
          <w:numId w:val="3"/>
        </w:numPr>
      </w:pPr>
      <w:r w:rsidRPr="00973A28">
        <w:t>The initial test indicated that fewer than 65,000 patterns were required to determine the CDD at accuracy rates above 90 percent. Based on these initial results, the team adopted the pattern-matching architecture for preliminary development and testing purposes.</w:t>
      </w:r>
    </w:p>
    <w:p w:rsidR="009A3578" w:rsidRDefault="009A3578" w:rsidP="009A3578">
      <w:pPr>
        <w:spacing w:after="0" w:line="480" w:lineRule="auto"/>
        <w:rPr>
          <w:rFonts w:cs="Times New Roman"/>
          <w:szCs w:val="24"/>
        </w:rPr>
      </w:pPr>
      <w:r>
        <w:rPr>
          <w:rFonts w:cs="Times New Roman"/>
          <w:szCs w:val="24"/>
        </w:rPr>
        <w:t>The BCD</w:t>
      </w:r>
      <w:r w:rsidR="009A0485">
        <w:rPr>
          <w:rFonts w:cs="Times New Roman"/>
          <w:szCs w:val="24"/>
        </w:rPr>
        <w:t>S</w:t>
      </w:r>
      <w:r>
        <w:rPr>
          <w:rFonts w:cs="Times New Roman"/>
          <w:szCs w:val="24"/>
        </w:rPr>
        <w:t xml:space="preserve">S team used a </w:t>
      </w:r>
      <w:r w:rsidRPr="006B045F">
        <w:rPr>
          <w:rFonts w:cs="Times New Roman"/>
          <w:szCs w:val="24"/>
        </w:rPr>
        <w:t>four phase technical approach</w:t>
      </w:r>
      <w:r>
        <w:rPr>
          <w:rFonts w:cs="Times New Roman"/>
          <w:szCs w:val="24"/>
        </w:rPr>
        <w:t xml:space="preserve"> (Figure 2 below) consistent with previous models</w:t>
      </w:r>
      <w:r w:rsidRPr="006B045F">
        <w:rPr>
          <w:rFonts w:cs="Times New Roman"/>
          <w:szCs w:val="24"/>
        </w:rPr>
        <w:t xml:space="preserve">.  </w:t>
      </w:r>
    </w:p>
    <w:p w:rsidR="009A3578" w:rsidRDefault="009A3578" w:rsidP="009A3578">
      <w:pPr>
        <w:keepNext/>
        <w:spacing w:after="0" w:line="480" w:lineRule="auto"/>
      </w:pPr>
      <w:r w:rsidRPr="00853422">
        <w:rPr>
          <w:noProof/>
        </w:rPr>
        <w:drawing>
          <wp:inline distT="0" distB="0" distL="0" distR="0" wp14:anchorId="1A5CF286" wp14:editId="7AD0B839">
            <wp:extent cx="6572250" cy="3347975"/>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572250" cy="3347975"/>
                    </a:xfrm>
                    <a:prstGeom prst="rect">
                      <a:avLst/>
                    </a:prstGeom>
                    <a:noFill/>
                    <a:ln>
                      <a:noFill/>
                    </a:ln>
                  </pic:spPr>
                </pic:pic>
              </a:graphicData>
            </a:graphic>
          </wp:inline>
        </w:drawing>
      </w:r>
    </w:p>
    <w:p w:rsidR="009A3578" w:rsidRDefault="009A3578" w:rsidP="009A3578">
      <w:pPr>
        <w:pStyle w:val="Caption"/>
        <w:spacing w:line="480" w:lineRule="auto"/>
        <w:rPr>
          <w:rFonts w:cs="Times New Roman"/>
          <w:sz w:val="24"/>
          <w:szCs w:val="24"/>
        </w:rPr>
      </w:pPr>
      <w:r>
        <w:t>Figure 2: BCDS Model Development Approach</w:t>
      </w:r>
    </w:p>
    <w:p w:rsidR="009A3578" w:rsidRDefault="009A3578" w:rsidP="00C25129">
      <w:pPr>
        <w:pStyle w:val="ListParagraph"/>
        <w:numPr>
          <w:ilvl w:val="0"/>
          <w:numId w:val="9"/>
        </w:numPr>
        <w:spacing w:after="0"/>
        <w:rPr>
          <w:rFonts w:cs="Times New Roman"/>
          <w:szCs w:val="24"/>
        </w:rPr>
      </w:pPr>
      <w:r w:rsidRPr="009A3578">
        <w:rPr>
          <w:rFonts w:cs="Times New Roman"/>
          <w:b/>
          <w:szCs w:val="24"/>
        </w:rPr>
        <w:t>During Phase 1,</w:t>
      </w:r>
      <w:r w:rsidRPr="009A3578">
        <w:rPr>
          <w:rFonts w:cs="Times New Roman"/>
          <w:szCs w:val="24"/>
        </w:rPr>
        <w:t xml:space="preserve"> the team extract</w:t>
      </w:r>
      <w:r w:rsidR="009A0485">
        <w:rPr>
          <w:rFonts w:cs="Times New Roman"/>
          <w:szCs w:val="24"/>
        </w:rPr>
        <w:t>ed</w:t>
      </w:r>
      <w:r w:rsidRPr="009A3578">
        <w:rPr>
          <w:rFonts w:cs="Times New Roman"/>
          <w:szCs w:val="24"/>
        </w:rPr>
        <w:t xml:space="preserve"> and </w:t>
      </w:r>
      <w:r w:rsidR="009A0485" w:rsidRPr="009A3578">
        <w:rPr>
          <w:rFonts w:cs="Times New Roman"/>
          <w:szCs w:val="24"/>
        </w:rPr>
        <w:t>segment</w:t>
      </w:r>
      <w:r w:rsidR="009A0485">
        <w:rPr>
          <w:rFonts w:cs="Times New Roman"/>
          <w:szCs w:val="24"/>
        </w:rPr>
        <w:t>ed</w:t>
      </w:r>
      <w:r w:rsidR="009A0485" w:rsidRPr="009A3578">
        <w:rPr>
          <w:rFonts w:cs="Times New Roman"/>
          <w:szCs w:val="24"/>
        </w:rPr>
        <w:t xml:space="preserve"> </w:t>
      </w:r>
      <w:r w:rsidRPr="009A3578">
        <w:rPr>
          <w:rFonts w:cs="Times New Roman"/>
          <w:szCs w:val="24"/>
        </w:rPr>
        <w:t xml:space="preserve">data to ensure sufficient claimants with relevant claimed contentions and adjudication decisions are included to form distinct development and test data sets.  The team </w:t>
      </w:r>
      <w:r w:rsidR="009A0485">
        <w:rPr>
          <w:rFonts w:cs="Times New Roman"/>
          <w:szCs w:val="24"/>
        </w:rPr>
        <w:t>then</w:t>
      </w:r>
      <w:r w:rsidR="009A0485" w:rsidRPr="009A3578">
        <w:rPr>
          <w:rFonts w:cs="Times New Roman"/>
          <w:szCs w:val="24"/>
        </w:rPr>
        <w:t xml:space="preserve"> </w:t>
      </w:r>
      <w:r w:rsidRPr="009A3578">
        <w:rPr>
          <w:rFonts w:cs="Times New Roman"/>
          <w:szCs w:val="24"/>
        </w:rPr>
        <w:t>synthesize</w:t>
      </w:r>
      <w:r w:rsidR="009A0485">
        <w:rPr>
          <w:rFonts w:cs="Times New Roman"/>
          <w:szCs w:val="24"/>
        </w:rPr>
        <w:t>d</w:t>
      </w:r>
      <w:r w:rsidRPr="009A3578">
        <w:rPr>
          <w:rFonts w:cs="Times New Roman"/>
          <w:szCs w:val="24"/>
        </w:rPr>
        <w:t xml:space="preserve"> the data within the development data set to form a high-resolution feature set (i.e., values </w:t>
      </w:r>
      <w:r w:rsidR="009A0485">
        <w:rPr>
          <w:rFonts w:cs="Times New Roman"/>
          <w:szCs w:val="24"/>
        </w:rPr>
        <w:t>we</w:t>
      </w:r>
      <w:r w:rsidRPr="009A3578">
        <w:rPr>
          <w:rFonts w:cs="Times New Roman"/>
          <w:szCs w:val="24"/>
        </w:rPr>
        <w:t xml:space="preserve">re calculated to the highest level of precision </w:t>
      </w:r>
      <w:r w:rsidR="007F7D9D">
        <w:rPr>
          <w:rFonts w:cs="Times New Roman"/>
          <w:szCs w:val="24"/>
        </w:rPr>
        <w:t>in</w:t>
      </w:r>
      <w:r w:rsidRPr="009A3578">
        <w:rPr>
          <w:rFonts w:cs="Times New Roman"/>
          <w:szCs w:val="24"/>
        </w:rPr>
        <w:t xml:space="preserve"> the underlying data: in this case, time periods were calculated in days where defined by starting and end dates).</w:t>
      </w:r>
    </w:p>
    <w:p w:rsidR="009A3578" w:rsidRDefault="009A3578" w:rsidP="00C25129">
      <w:pPr>
        <w:pStyle w:val="ListParagraph"/>
        <w:numPr>
          <w:ilvl w:val="0"/>
          <w:numId w:val="9"/>
        </w:numPr>
        <w:spacing w:after="0"/>
        <w:rPr>
          <w:rFonts w:cs="Times New Roman"/>
          <w:szCs w:val="24"/>
        </w:rPr>
      </w:pPr>
      <w:r w:rsidRPr="009A3578">
        <w:rPr>
          <w:rFonts w:cs="Times New Roman"/>
          <w:b/>
          <w:szCs w:val="24"/>
        </w:rPr>
        <w:t>During Phase 2,</w:t>
      </w:r>
      <w:r w:rsidRPr="009A3578">
        <w:rPr>
          <w:rFonts w:cs="Times New Roman"/>
          <w:szCs w:val="24"/>
        </w:rPr>
        <w:t xml:space="preserve"> the team aggregate</w:t>
      </w:r>
      <w:r w:rsidR="007F7D9D">
        <w:rPr>
          <w:rFonts w:cs="Times New Roman"/>
          <w:szCs w:val="24"/>
        </w:rPr>
        <w:t>d</w:t>
      </w:r>
      <w:r w:rsidRPr="009A3578">
        <w:rPr>
          <w:rFonts w:cs="Times New Roman"/>
          <w:szCs w:val="24"/>
        </w:rPr>
        <w:t xml:space="preserve"> the development data to form unique, numbered patterns, and align</w:t>
      </w:r>
      <w:r w:rsidR="007F7D9D">
        <w:rPr>
          <w:rFonts w:cs="Times New Roman"/>
          <w:szCs w:val="24"/>
        </w:rPr>
        <w:t>ed</w:t>
      </w:r>
      <w:r w:rsidRPr="009A3578">
        <w:rPr>
          <w:rFonts w:cs="Times New Roman"/>
          <w:szCs w:val="24"/>
        </w:rPr>
        <w:t xml:space="preserve"> the patterns with the corresponding CDDs. </w:t>
      </w:r>
      <w:r w:rsidR="007F7D9D">
        <w:rPr>
          <w:rFonts w:cs="Times New Roman"/>
          <w:szCs w:val="24"/>
        </w:rPr>
        <w:t xml:space="preserve"> </w:t>
      </w:r>
      <w:r w:rsidRPr="009A3578">
        <w:rPr>
          <w:rFonts w:cs="Times New Roman"/>
          <w:szCs w:val="24"/>
        </w:rPr>
        <w:t xml:space="preserve">Sensitivity and optimization analyses </w:t>
      </w:r>
      <w:r w:rsidR="007F7D9D">
        <w:rPr>
          <w:rFonts w:cs="Times New Roman"/>
          <w:szCs w:val="24"/>
        </w:rPr>
        <w:t>we</w:t>
      </w:r>
      <w:r w:rsidRPr="009A3578">
        <w:rPr>
          <w:rFonts w:cs="Times New Roman"/>
          <w:szCs w:val="24"/>
        </w:rPr>
        <w:t xml:space="preserve">re conducted on each feature to identify the relevant impact of the feature on accuracy, and the extent to which the feature </w:t>
      </w:r>
      <w:r w:rsidR="007F7D9D" w:rsidRPr="009A3578">
        <w:rPr>
          <w:rFonts w:cs="Times New Roman"/>
          <w:szCs w:val="24"/>
        </w:rPr>
        <w:t>c</w:t>
      </w:r>
      <w:r w:rsidR="007F7D9D">
        <w:rPr>
          <w:rFonts w:cs="Times New Roman"/>
          <w:szCs w:val="24"/>
        </w:rPr>
        <w:t>ould</w:t>
      </w:r>
      <w:r w:rsidR="007F7D9D" w:rsidRPr="009A3578">
        <w:rPr>
          <w:rFonts w:cs="Times New Roman"/>
          <w:szCs w:val="24"/>
        </w:rPr>
        <w:t xml:space="preserve"> </w:t>
      </w:r>
      <w:r w:rsidRPr="009A3578">
        <w:rPr>
          <w:rFonts w:cs="Times New Roman"/>
          <w:szCs w:val="24"/>
        </w:rPr>
        <w:t>be aggregated to increase the rate at which a pattern is re-used across test data without compromising the model’s predictive accuracy. For example, storing the period between the claim date and last CDD in years rather than days.</w:t>
      </w:r>
    </w:p>
    <w:p w:rsidR="009A3578" w:rsidRDefault="009A3578" w:rsidP="00C25129">
      <w:pPr>
        <w:pStyle w:val="ListParagraph"/>
        <w:numPr>
          <w:ilvl w:val="0"/>
          <w:numId w:val="9"/>
        </w:numPr>
        <w:spacing w:after="0"/>
        <w:rPr>
          <w:rFonts w:cs="Times New Roman"/>
          <w:szCs w:val="24"/>
        </w:rPr>
      </w:pPr>
      <w:r w:rsidRPr="009A3578">
        <w:rPr>
          <w:rFonts w:cs="Times New Roman"/>
          <w:b/>
          <w:szCs w:val="24"/>
        </w:rPr>
        <w:t xml:space="preserve">During Phase 3, </w:t>
      </w:r>
      <w:r w:rsidRPr="009A3578">
        <w:rPr>
          <w:rFonts w:cs="Times New Roman"/>
          <w:szCs w:val="24"/>
        </w:rPr>
        <w:t>the team optimize</w:t>
      </w:r>
      <w:r w:rsidR="007F7D9D">
        <w:rPr>
          <w:rFonts w:cs="Times New Roman"/>
          <w:szCs w:val="24"/>
        </w:rPr>
        <w:t>d</w:t>
      </w:r>
      <w:r w:rsidRPr="009A3578">
        <w:rPr>
          <w:rFonts w:cs="Times New Roman"/>
          <w:szCs w:val="24"/>
        </w:rPr>
        <w:t xml:space="preserve"> the model to maximize </w:t>
      </w:r>
      <w:r w:rsidR="007F7D9D">
        <w:rPr>
          <w:rFonts w:cs="Times New Roman"/>
          <w:szCs w:val="24"/>
        </w:rPr>
        <w:t>“</w:t>
      </w:r>
      <w:r w:rsidRPr="009A3578">
        <w:rPr>
          <w:rFonts w:cs="Times New Roman"/>
          <w:szCs w:val="24"/>
        </w:rPr>
        <w:t>rate of use” within the context of target through-put and accuracy performance parameters.  The confidence level of pattern sets are a function of repetition (or “rate of use”) relative to the size of the sample (number of claims eligible for modeling).</w:t>
      </w:r>
    </w:p>
    <w:p w:rsidR="009A3578" w:rsidRPr="009A3578" w:rsidRDefault="009A3578" w:rsidP="00C25129">
      <w:pPr>
        <w:pStyle w:val="ListParagraph"/>
        <w:numPr>
          <w:ilvl w:val="0"/>
          <w:numId w:val="9"/>
        </w:numPr>
        <w:spacing w:after="0"/>
        <w:rPr>
          <w:rFonts w:cs="Times New Roman"/>
          <w:szCs w:val="24"/>
        </w:rPr>
      </w:pPr>
      <w:r w:rsidRPr="009A3578">
        <w:rPr>
          <w:rFonts w:cs="Times New Roman"/>
          <w:b/>
          <w:szCs w:val="24"/>
        </w:rPr>
        <w:t>During Phase 4,</w:t>
      </w:r>
      <w:r w:rsidRPr="009A3578">
        <w:rPr>
          <w:rFonts w:cs="Times New Roman"/>
          <w:szCs w:val="24"/>
        </w:rPr>
        <w:t xml:space="preserve"> the team </w:t>
      </w:r>
      <w:r w:rsidR="007F7D9D" w:rsidRPr="009A3578">
        <w:rPr>
          <w:rFonts w:cs="Times New Roman"/>
          <w:szCs w:val="24"/>
        </w:rPr>
        <w:t>test</w:t>
      </w:r>
      <w:r w:rsidR="007F7D9D">
        <w:rPr>
          <w:rFonts w:cs="Times New Roman"/>
          <w:szCs w:val="24"/>
        </w:rPr>
        <w:t>ed</w:t>
      </w:r>
      <w:r w:rsidR="007F7D9D" w:rsidRPr="009A3578">
        <w:rPr>
          <w:rFonts w:cs="Times New Roman"/>
          <w:szCs w:val="24"/>
        </w:rPr>
        <w:t xml:space="preserve"> </w:t>
      </w:r>
      <w:r w:rsidRPr="009A3578">
        <w:rPr>
          <w:rFonts w:cs="Times New Roman"/>
          <w:szCs w:val="24"/>
        </w:rPr>
        <w:t xml:space="preserve">the model against an entirely separate set of verification data to verify that the performance results initially obtained during optimization </w:t>
      </w:r>
      <w:r w:rsidR="007F7D9D">
        <w:rPr>
          <w:rFonts w:cs="Times New Roman"/>
          <w:szCs w:val="24"/>
        </w:rPr>
        <w:t>we</w:t>
      </w:r>
      <w:r w:rsidRPr="009A3578">
        <w:rPr>
          <w:rFonts w:cs="Times New Roman"/>
          <w:szCs w:val="24"/>
        </w:rPr>
        <w:t xml:space="preserve">re replicated, and confidence levels </w:t>
      </w:r>
      <w:r w:rsidR="007F7D9D">
        <w:rPr>
          <w:rFonts w:cs="Times New Roman"/>
          <w:szCs w:val="24"/>
        </w:rPr>
        <w:t>we</w:t>
      </w:r>
      <w:r w:rsidRPr="009A3578">
        <w:rPr>
          <w:rFonts w:cs="Times New Roman"/>
          <w:szCs w:val="24"/>
        </w:rPr>
        <w:t xml:space="preserve">re sustained.  The government </w:t>
      </w:r>
      <w:r w:rsidR="007F7D9D">
        <w:rPr>
          <w:rFonts w:cs="Times New Roman"/>
          <w:szCs w:val="24"/>
        </w:rPr>
        <w:t>wa</w:t>
      </w:r>
      <w:r w:rsidRPr="009A3578">
        <w:rPr>
          <w:rFonts w:cs="Times New Roman"/>
          <w:szCs w:val="24"/>
        </w:rPr>
        <w:t xml:space="preserve">s also provided the model to </w:t>
      </w:r>
      <w:r w:rsidR="007F7D9D">
        <w:rPr>
          <w:rFonts w:cs="Times New Roman"/>
          <w:szCs w:val="24"/>
        </w:rPr>
        <w:t>allow</w:t>
      </w:r>
      <w:r w:rsidR="007F7D9D" w:rsidRPr="009A3578">
        <w:rPr>
          <w:rFonts w:cs="Times New Roman"/>
          <w:szCs w:val="24"/>
        </w:rPr>
        <w:t xml:space="preserve"> </w:t>
      </w:r>
      <w:r w:rsidRPr="009A3578">
        <w:rPr>
          <w:rFonts w:cs="Times New Roman"/>
          <w:szCs w:val="24"/>
        </w:rPr>
        <w:t xml:space="preserve">its analysts </w:t>
      </w:r>
      <w:r w:rsidR="007F7D9D">
        <w:rPr>
          <w:rFonts w:cs="Times New Roman"/>
          <w:szCs w:val="24"/>
        </w:rPr>
        <w:t>to</w:t>
      </w:r>
      <w:r w:rsidRPr="009A3578">
        <w:rPr>
          <w:rFonts w:cs="Times New Roman"/>
          <w:szCs w:val="24"/>
        </w:rPr>
        <w:t xml:space="preserve"> conduct independent analyses of the models.</w:t>
      </w:r>
    </w:p>
    <w:p w:rsidR="009A3578" w:rsidRPr="00D972A6" w:rsidRDefault="00734808" w:rsidP="00B10AC6">
      <w:pPr>
        <w:pStyle w:val="Heading2"/>
        <w:numPr>
          <w:ilvl w:val="0"/>
          <w:numId w:val="0"/>
        </w:numPr>
        <w:spacing w:line="480" w:lineRule="auto"/>
      </w:pPr>
      <w:bookmarkStart w:id="14" w:name="_Toc448223067"/>
      <w:bookmarkStart w:id="15" w:name="_Toc468094191"/>
      <w:bookmarkStart w:id="16" w:name="_Toc470010395"/>
      <w:r>
        <w:t>B.1</w:t>
      </w:r>
      <w:r>
        <w:tab/>
      </w:r>
      <w:r w:rsidR="009A3578" w:rsidRPr="00D972A6">
        <w:t>BCD</w:t>
      </w:r>
      <w:r>
        <w:t>S</w:t>
      </w:r>
      <w:r w:rsidR="009A3578" w:rsidRPr="00D972A6">
        <w:t xml:space="preserve">S </w:t>
      </w:r>
      <w:r w:rsidR="009A3578">
        <w:t xml:space="preserve">Pattern-Matching </w:t>
      </w:r>
      <w:r w:rsidR="009A3578" w:rsidRPr="00D972A6">
        <w:t>Architecture</w:t>
      </w:r>
      <w:bookmarkEnd w:id="14"/>
      <w:bookmarkEnd w:id="15"/>
      <w:bookmarkEnd w:id="16"/>
    </w:p>
    <w:p w:rsidR="009A3578" w:rsidRPr="006B045F" w:rsidRDefault="009A3578" w:rsidP="009A3578">
      <w:pPr>
        <w:spacing w:after="0" w:line="480" w:lineRule="auto"/>
        <w:rPr>
          <w:rFonts w:cs="Times New Roman"/>
          <w:szCs w:val="24"/>
        </w:rPr>
      </w:pPr>
      <w:r>
        <w:rPr>
          <w:rFonts w:cs="Times New Roman"/>
          <w:szCs w:val="24"/>
        </w:rPr>
        <w:t>T</w:t>
      </w:r>
      <w:r w:rsidRPr="006B045F">
        <w:rPr>
          <w:rFonts w:cs="Times New Roman"/>
          <w:szCs w:val="24"/>
        </w:rPr>
        <w:t>he BCD</w:t>
      </w:r>
      <w:r w:rsidR="00734808">
        <w:rPr>
          <w:rFonts w:cs="Times New Roman"/>
          <w:szCs w:val="24"/>
        </w:rPr>
        <w:t>S</w:t>
      </w:r>
      <w:r w:rsidRPr="006B045F">
        <w:rPr>
          <w:rFonts w:cs="Times New Roman"/>
          <w:szCs w:val="24"/>
        </w:rPr>
        <w:t xml:space="preserve">S pattern-matching modeling architecture </w:t>
      </w:r>
      <w:r>
        <w:rPr>
          <w:rFonts w:cs="Times New Roman"/>
          <w:szCs w:val="24"/>
        </w:rPr>
        <w:t xml:space="preserve">relies on replicated </w:t>
      </w:r>
      <w:r w:rsidRPr="006B045F">
        <w:rPr>
          <w:rFonts w:cs="Times New Roman"/>
          <w:szCs w:val="24"/>
        </w:rPr>
        <w:t xml:space="preserve">fact patterns for similar conditions and claim </w:t>
      </w:r>
      <w:r w:rsidR="007F7D9D" w:rsidRPr="006B045F">
        <w:rPr>
          <w:rFonts w:cs="Times New Roman"/>
          <w:szCs w:val="24"/>
        </w:rPr>
        <w:t>adjudicat</w:t>
      </w:r>
      <w:r w:rsidR="007F7D9D">
        <w:rPr>
          <w:rFonts w:cs="Times New Roman"/>
          <w:szCs w:val="24"/>
        </w:rPr>
        <w:t>ion</w:t>
      </w:r>
      <w:r w:rsidR="007F7D9D" w:rsidRPr="006B045F">
        <w:rPr>
          <w:rFonts w:cs="Times New Roman"/>
          <w:szCs w:val="24"/>
        </w:rPr>
        <w:t xml:space="preserve"> </w:t>
      </w:r>
      <w:r w:rsidRPr="006B045F">
        <w:rPr>
          <w:rFonts w:cs="Times New Roman"/>
          <w:szCs w:val="24"/>
        </w:rPr>
        <w:t xml:space="preserve">histories, and </w:t>
      </w:r>
      <w:r>
        <w:rPr>
          <w:rFonts w:cs="Times New Roman"/>
          <w:szCs w:val="24"/>
        </w:rPr>
        <w:t>the</w:t>
      </w:r>
      <w:r w:rsidRPr="006B045F">
        <w:rPr>
          <w:rFonts w:cs="Times New Roman"/>
          <w:szCs w:val="24"/>
        </w:rPr>
        <w:t xml:space="preserve"> </w:t>
      </w:r>
      <w:r>
        <w:rPr>
          <w:rFonts w:cs="Times New Roman"/>
          <w:szCs w:val="24"/>
        </w:rPr>
        <w:t xml:space="preserve">consistent </w:t>
      </w:r>
      <w:r w:rsidRPr="006B045F">
        <w:rPr>
          <w:rFonts w:cs="Times New Roman"/>
          <w:szCs w:val="24"/>
        </w:rPr>
        <w:t>promulgat</w:t>
      </w:r>
      <w:r>
        <w:rPr>
          <w:rFonts w:cs="Times New Roman"/>
          <w:szCs w:val="24"/>
        </w:rPr>
        <w:t>ion of ratings for such fact patterns by VA employees to reliably predict ratings (without subjecting the claim to additional substantiation and human evaluation)</w:t>
      </w:r>
      <w:r w:rsidRPr="006B045F">
        <w:rPr>
          <w:rFonts w:cs="Times New Roman"/>
          <w:szCs w:val="24"/>
        </w:rPr>
        <w:t xml:space="preserve">.  </w:t>
      </w:r>
      <w:r>
        <w:rPr>
          <w:rFonts w:cs="Times New Roman"/>
          <w:szCs w:val="24"/>
        </w:rPr>
        <w:t>A</w:t>
      </w:r>
      <w:r w:rsidRPr="006B045F">
        <w:rPr>
          <w:rFonts w:cs="Times New Roman"/>
          <w:szCs w:val="24"/>
        </w:rPr>
        <w:t xml:space="preserve"> relatively small number of claim attributes and established facts contained in the claimant’s filing history</w:t>
      </w:r>
      <w:r>
        <w:rPr>
          <w:rFonts w:cs="Times New Roman"/>
          <w:szCs w:val="24"/>
        </w:rPr>
        <w:t xml:space="preserve"> comprise these patterns</w:t>
      </w:r>
      <w:r w:rsidRPr="006B045F">
        <w:rPr>
          <w:rFonts w:cs="Times New Roman"/>
          <w:szCs w:val="24"/>
        </w:rPr>
        <w:t xml:space="preserve">.  The </w:t>
      </w:r>
      <w:r>
        <w:rPr>
          <w:rFonts w:cs="Times New Roman"/>
          <w:szCs w:val="24"/>
        </w:rPr>
        <w:t>rating</w:t>
      </w:r>
      <w:r w:rsidRPr="006B045F">
        <w:rPr>
          <w:rFonts w:cs="Times New Roman"/>
          <w:szCs w:val="24"/>
        </w:rPr>
        <w:t xml:space="preserve"> of </w:t>
      </w:r>
      <w:r>
        <w:rPr>
          <w:rFonts w:cs="Times New Roman"/>
          <w:szCs w:val="24"/>
        </w:rPr>
        <w:t xml:space="preserve">a specific </w:t>
      </w:r>
      <w:r w:rsidRPr="006B045F">
        <w:rPr>
          <w:rFonts w:cs="Times New Roman"/>
          <w:szCs w:val="24"/>
        </w:rPr>
        <w:t xml:space="preserve">condition within the target claim </w:t>
      </w:r>
      <w:r>
        <w:rPr>
          <w:rFonts w:cs="Times New Roman"/>
          <w:szCs w:val="24"/>
        </w:rPr>
        <w:t>is</w:t>
      </w:r>
      <w:r w:rsidRPr="006B045F">
        <w:rPr>
          <w:rFonts w:cs="Times New Roman"/>
          <w:szCs w:val="24"/>
        </w:rPr>
        <w:t xml:space="preserve"> obtained by establishing the fact pattern of the claim using a predefined set of attributes, and matching it to a specific historical pattern and the </w:t>
      </w:r>
      <w:r>
        <w:rPr>
          <w:rFonts w:cs="Times New Roman"/>
          <w:szCs w:val="24"/>
        </w:rPr>
        <w:t>rating</w:t>
      </w:r>
      <w:r w:rsidRPr="006B045F">
        <w:rPr>
          <w:rFonts w:cs="Times New Roman"/>
          <w:szCs w:val="24"/>
        </w:rPr>
        <w:t xml:space="preserve"> that most often results.</w:t>
      </w:r>
      <w:r w:rsidR="007F7D9D">
        <w:rPr>
          <w:rFonts w:cs="Times New Roman"/>
          <w:szCs w:val="24"/>
        </w:rPr>
        <w:t xml:space="preserve">  </w:t>
      </w:r>
      <w:r w:rsidRPr="006B045F">
        <w:rPr>
          <w:rFonts w:cs="Times New Roman"/>
          <w:szCs w:val="24"/>
        </w:rPr>
        <w:t>This BCD</w:t>
      </w:r>
      <w:r w:rsidR="007F7D9D">
        <w:rPr>
          <w:rFonts w:cs="Times New Roman"/>
          <w:szCs w:val="24"/>
        </w:rPr>
        <w:t>S</w:t>
      </w:r>
      <w:r w:rsidRPr="006B045F">
        <w:rPr>
          <w:rFonts w:cs="Times New Roman"/>
          <w:szCs w:val="24"/>
        </w:rPr>
        <w:t xml:space="preserve">S pattern-matching architecture </w:t>
      </w:r>
      <w:r w:rsidR="007F7D9D">
        <w:rPr>
          <w:rFonts w:cs="Times New Roman"/>
          <w:szCs w:val="24"/>
        </w:rPr>
        <w:t>contains</w:t>
      </w:r>
      <w:r w:rsidRPr="006B045F">
        <w:rPr>
          <w:rFonts w:cs="Times New Roman"/>
          <w:szCs w:val="24"/>
        </w:rPr>
        <w:t xml:space="preserve"> three major components:</w:t>
      </w:r>
    </w:p>
    <w:p w:rsidR="009A3578" w:rsidRDefault="009A3578" w:rsidP="00C25129">
      <w:pPr>
        <w:pStyle w:val="NumberedList"/>
        <w:numPr>
          <w:ilvl w:val="0"/>
          <w:numId w:val="12"/>
        </w:numPr>
      </w:pPr>
      <w:r w:rsidRPr="009A3578">
        <w:t>A set of claim-specific features and the associated specifications for calculating the values for these features.  These features relate to the claim that will be subject to predictive modeling</w:t>
      </w:r>
      <w:r w:rsidR="007F7D9D">
        <w:t>—</w:t>
      </w:r>
      <w:r w:rsidRPr="009A3578">
        <w:t>the target claim.</w:t>
      </w:r>
    </w:p>
    <w:p w:rsidR="009A3578" w:rsidRPr="009A3578" w:rsidRDefault="009A3578" w:rsidP="00C25129">
      <w:pPr>
        <w:pStyle w:val="NumberedList"/>
        <w:numPr>
          <w:ilvl w:val="0"/>
          <w:numId w:val="12"/>
        </w:numPr>
      </w:pPr>
      <w:r w:rsidRPr="009A3578">
        <w:rPr>
          <w:rFonts w:cs="Times New Roman"/>
          <w:szCs w:val="24"/>
        </w:rPr>
        <w:t>A set of claimant specific features and the associated specifications for calculating the values for these features.  These features relate to attributes of the claimant</w:t>
      </w:r>
      <w:r w:rsidR="007F7D9D">
        <w:rPr>
          <w:rFonts w:cs="Times New Roman"/>
          <w:szCs w:val="24"/>
        </w:rPr>
        <w:t>’</w:t>
      </w:r>
      <w:r w:rsidRPr="009A3578">
        <w:rPr>
          <w:rFonts w:cs="Times New Roman"/>
          <w:szCs w:val="24"/>
        </w:rPr>
        <w:t>s filing history, including decisions contained in prior claims for similar conditions, the period of elapsed time between the target claim and prior decisions, the place of the target claim in the sequence of relevant claims in the claimant’s adjudication history, etc.</w:t>
      </w:r>
    </w:p>
    <w:p w:rsidR="009A3578" w:rsidRPr="009A3578" w:rsidRDefault="009A3578" w:rsidP="00C25129">
      <w:pPr>
        <w:pStyle w:val="NumberedList"/>
        <w:numPr>
          <w:ilvl w:val="0"/>
          <w:numId w:val="12"/>
        </w:numPr>
      </w:pPr>
      <w:r w:rsidRPr="009A3578">
        <w:rPr>
          <w:rFonts w:cs="Times New Roman"/>
          <w:szCs w:val="24"/>
        </w:rPr>
        <w:t>The Decision Determination Matrix (DDM) or set of predictive patterns and related CDDs for the modeled condition.  The columns of the DDM constitute the various features as well as the CDD and their performance attributes.  The rows are the unique combinations of values that constitute the predictive patterns.</w:t>
      </w:r>
    </w:p>
    <w:p w:rsidR="009A3578" w:rsidRDefault="009A3578" w:rsidP="009A3578">
      <w:pPr>
        <w:spacing w:after="0" w:line="480" w:lineRule="auto"/>
        <w:rPr>
          <w:rFonts w:cs="Times New Roman"/>
          <w:szCs w:val="24"/>
        </w:rPr>
      </w:pPr>
      <w:r w:rsidRPr="006B045F">
        <w:rPr>
          <w:rFonts w:cs="Times New Roman"/>
          <w:szCs w:val="24"/>
        </w:rPr>
        <w:t xml:space="preserve">The basic logic described above is depicted in Figure </w:t>
      </w:r>
      <w:r>
        <w:rPr>
          <w:rFonts w:cs="Times New Roman"/>
          <w:szCs w:val="24"/>
        </w:rPr>
        <w:t>3</w:t>
      </w:r>
      <w:r w:rsidRPr="006B045F">
        <w:rPr>
          <w:rFonts w:cs="Times New Roman"/>
          <w:szCs w:val="24"/>
        </w:rPr>
        <w:t>.</w:t>
      </w:r>
    </w:p>
    <w:p w:rsidR="009A3578" w:rsidRDefault="009A3578" w:rsidP="009A3578">
      <w:pPr>
        <w:keepNext/>
        <w:spacing w:after="0" w:line="480" w:lineRule="auto"/>
      </w:pPr>
      <w:r w:rsidRPr="00853422">
        <w:rPr>
          <w:noProof/>
        </w:rPr>
        <w:drawing>
          <wp:inline distT="0" distB="0" distL="0" distR="0" wp14:anchorId="34384FBB" wp14:editId="6F57777F">
            <wp:extent cx="6572250" cy="2737502"/>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572250" cy="2737502"/>
                    </a:xfrm>
                    <a:prstGeom prst="rect">
                      <a:avLst/>
                    </a:prstGeom>
                    <a:noFill/>
                    <a:ln>
                      <a:noFill/>
                    </a:ln>
                  </pic:spPr>
                </pic:pic>
              </a:graphicData>
            </a:graphic>
          </wp:inline>
        </w:drawing>
      </w:r>
    </w:p>
    <w:p w:rsidR="009A3578" w:rsidRDefault="009A3578" w:rsidP="009A3578">
      <w:pPr>
        <w:pStyle w:val="Caption"/>
        <w:rPr>
          <w:rFonts w:cs="Times New Roman"/>
          <w:sz w:val="24"/>
          <w:szCs w:val="24"/>
        </w:rPr>
      </w:pPr>
      <w:r>
        <w:t>Figure 3: Pattern-Matching Logic</w:t>
      </w:r>
    </w:p>
    <w:p w:rsidR="009A3578" w:rsidRDefault="009A3578" w:rsidP="009A3578">
      <w:pPr>
        <w:spacing w:after="0" w:line="480" w:lineRule="auto"/>
        <w:rPr>
          <w:rFonts w:cs="Times New Roman"/>
          <w:szCs w:val="24"/>
        </w:rPr>
      </w:pPr>
      <w:r w:rsidRPr="006B045F">
        <w:rPr>
          <w:rFonts w:cs="Times New Roman"/>
          <w:szCs w:val="24"/>
        </w:rPr>
        <w:t>The BCDS</w:t>
      </w:r>
      <w:r w:rsidR="007F7D9D">
        <w:rPr>
          <w:rFonts w:cs="Times New Roman"/>
          <w:szCs w:val="24"/>
        </w:rPr>
        <w:t>S</w:t>
      </w:r>
      <w:r w:rsidRPr="006B045F">
        <w:rPr>
          <w:rFonts w:cs="Times New Roman"/>
          <w:szCs w:val="24"/>
        </w:rPr>
        <w:t xml:space="preserve"> provides an automated environment in which authorized users select one or more target claims to adjudicate, one or more models to appl</w:t>
      </w:r>
      <w:r w:rsidR="007F7D9D">
        <w:rPr>
          <w:rFonts w:cs="Times New Roman"/>
          <w:szCs w:val="24"/>
        </w:rPr>
        <w:t>y</w:t>
      </w:r>
      <w:r w:rsidRPr="006B045F">
        <w:rPr>
          <w:rFonts w:cs="Times New Roman"/>
          <w:szCs w:val="24"/>
        </w:rPr>
        <w:t xml:space="preserve">, and one or more output formats </w:t>
      </w:r>
      <w:r>
        <w:rPr>
          <w:rFonts w:cs="Times New Roman"/>
          <w:szCs w:val="24"/>
        </w:rPr>
        <w:t>preferred by the user</w:t>
      </w:r>
      <w:r w:rsidRPr="006B045F">
        <w:rPr>
          <w:rFonts w:cs="Times New Roman"/>
          <w:szCs w:val="24"/>
        </w:rPr>
        <w:t xml:space="preserve">.  The system then executes automated routines in accordance with the user selections to derive the results.  Three inter-related modeling engines support these functions as depicted in Figure </w:t>
      </w:r>
      <w:r>
        <w:rPr>
          <w:rFonts w:cs="Times New Roman"/>
          <w:szCs w:val="24"/>
        </w:rPr>
        <w:t>4</w:t>
      </w:r>
      <w:r w:rsidRPr="006B045F">
        <w:rPr>
          <w:rFonts w:cs="Times New Roman"/>
          <w:szCs w:val="24"/>
        </w:rPr>
        <w:t>.</w:t>
      </w:r>
      <w:r>
        <w:rPr>
          <w:rFonts w:cs="Times New Roman"/>
          <w:szCs w:val="24"/>
        </w:rPr>
        <w:t xml:space="preserve">  </w:t>
      </w:r>
    </w:p>
    <w:p w:rsidR="009A3578" w:rsidRDefault="009A3578" w:rsidP="009A3578">
      <w:pPr>
        <w:keepNext/>
        <w:spacing w:after="0" w:line="480" w:lineRule="auto"/>
      </w:pPr>
      <w:r w:rsidRPr="00853422">
        <w:rPr>
          <w:noProof/>
        </w:rPr>
        <w:drawing>
          <wp:inline distT="0" distB="0" distL="0" distR="0" wp14:anchorId="099036AE" wp14:editId="7C8E6848">
            <wp:extent cx="6572250" cy="3814907"/>
            <wp:effectExtent l="19050" t="19050" r="19050" b="146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572250" cy="3814907"/>
                    </a:xfrm>
                    <a:prstGeom prst="rect">
                      <a:avLst/>
                    </a:prstGeom>
                    <a:noFill/>
                    <a:ln>
                      <a:solidFill>
                        <a:schemeClr val="tx1"/>
                      </a:solidFill>
                    </a:ln>
                  </pic:spPr>
                </pic:pic>
              </a:graphicData>
            </a:graphic>
          </wp:inline>
        </w:drawing>
      </w:r>
    </w:p>
    <w:p w:rsidR="009A3578" w:rsidRDefault="009A3578" w:rsidP="009A3578">
      <w:pPr>
        <w:pStyle w:val="Caption"/>
        <w:rPr>
          <w:rFonts w:cs="Times New Roman"/>
          <w:sz w:val="24"/>
          <w:szCs w:val="24"/>
        </w:rPr>
      </w:pPr>
      <w:r>
        <w:t>Figure 4: BCDS System Workflow and Modeling Architecture</w:t>
      </w:r>
    </w:p>
    <w:p w:rsidR="009A3578" w:rsidRDefault="009A3578" w:rsidP="009A3578">
      <w:pPr>
        <w:spacing w:line="480" w:lineRule="auto"/>
        <w:rPr>
          <w:rFonts w:cs="Times New Roman"/>
          <w:szCs w:val="24"/>
        </w:rPr>
      </w:pPr>
      <w:r>
        <w:rPr>
          <w:rFonts w:cs="Times New Roman"/>
          <w:szCs w:val="24"/>
        </w:rPr>
        <w:t>Upon user selection</w:t>
      </w:r>
      <w:r w:rsidRPr="006B045F">
        <w:rPr>
          <w:rFonts w:cs="Times New Roman"/>
          <w:szCs w:val="24"/>
        </w:rPr>
        <w:t xml:space="preserve">, the </w:t>
      </w:r>
      <w:r>
        <w:rPr>
          <w:rFonts w:cs="Times New Roman"/>
          <w:szCs w:val="24"/>
        </w:rPr>
        <w:t>BCDS</w:t>
      </w:r>
      <w:r w:rsidR="007F7D9D">
        <w:rPr>
          <w:rFonts w:cs="Times New Roman"/>
          <w:szCs w:val="24"/>
        </w:rPr>
        <w:t>S</w:t>
      </w:r>
      <w:r>
        <w:rPr>
          <w:rFonts w:cs="Times New Roman"/>
          <w:szCs w:val="24"/>
        </w:rPr>
        <w:t xml:space="preserve"> retrieves </w:t>
      </w:r>
      <w:r w:rsidRPr="006B045F">
        <w:rPr>
          <w:rFonts w:cs="Times New Roman"/>
          <w:szCs w:val="24"/>
        </w:rPr>
        <w:t>appropriate model(s) from the model repository.  The ingest engine verifies that the claim satisfies the eligibility requirement and executes the required calculations against the target claim and related claimant data to create a composite feature set.  The modeling engine then conducts the pattern matching and either assigns the associate</w:t>
      </w:r>
      <w:r w:rsidR="007F7D9D">
        <w:rPr>
          <w:rFonts w:cs="Times New Roman"/>
          <w:szCs w:val="24"/>
        </w:rPr>
        <w:t>d</w:t>
      </w:r>
      <w:r w:rsidRPr="006B045F">
        <w:rPr>
          <w:rFonts w:cs="Times New Roman"/>
          <w:szCs w:val="24"/>
        </w:rPr>
        <w:t xml:space="preserve"> CDD (where a match is found), or identifies that the CDD could not be established.  Finally, the output engine integrates descriptive information about the claim (and the CDD, where appropriate) and formats the data in accordance with the user</w:t>
      </w:r>
      <w:r w:rsidR="007F7D9D">
        <w:rPr>
          <w:rFonts w:cs="Times New Roman"/>
          <w:szCs w:val="24"/>
        </w:rPr>
        <w:t>’</w:t>
      </w:r>
      <w:r w:rsidRPr="006B045F">
        <w:rPr>
          <w:rFonts w:cs="Times New Roman"/>
          <w:szCs w:val="24"/>
        </w:rPr>
        <w:t>s selection.</w:t>
      </w:r>
    </w:p>
    <w:p w:rsidR="009A3578" w:rsidRDefault="009A3578" w:rsidP="009A3578">
      <w:pPr>
        <w:pStyle w:val="NumberedList"/>
        <w:numPr>
          <w:ilvl w:val="0"/>
          <w:numId w:val="0"/>
        </w:numPr>
      </w:pPr>
    </w:p>
    <w:p w:rsidR="00A8130A" w:rsidRDefault="009A3578" w:rsidP="009A3578">
      <w:pPr>
        <w:pStyle w:val="AppendixHeading"/>
      </w:pPr>
      <w:bookmarkStart w:id="17" w:name="_Toc468962210"/>
      <w:bookmarkStart w:id="18" w:name="_Toc468964386"/>
      <w:bookmarkStart w:id="19" w:name="_Toc468962211"/>
      <w:bookmarkStart w:id="20" w:name="_Toc468964387"/>
      <w:bookmarkStart w:id="21" w:name="_Toc468962212"/>
      <w:bookmarkStart w:id="22" w:name="_Toc468964388"/>
      <w:bookmarkStart w:id="23" w:name="_Toc468962214"/>
      <w:bookmarkStart w:id="24" w:name="_Toc468964390"/>
      <w:bookmarkStart w:id="25" w:name="_Toc468962215"/>
      <w:bookmarkStart w:id="26" w:name="_Toc468964391"/>
      <w:bookmarkStart w:id="27" w:name="_Toc468962216"/>
      <w:bookmarkStart w:id="28" w:name="_Toc468964392"/>
      <w:bookmarkStart w:id="29" w:name="_Toc470010396"/>
      <w:bookmarkEnd w:id="17"/>
      <w:bookmarkEnd w:id="18"/>
      <w:bookmarkEnd w:id="19"/>
      <w:bookmarkEnd w:id="20"/>
      <w:bookmarkEnd w:id="21"/>
      <w:bookmarkEnd w:id="22"/>
      <w:bookmarkEnd w:id="23"/>
      <w:bookmarkEnd w:id="24"/>
      <w:bookmarkEnd w:id="25"/>
      <w:bookmarkEnd w:id="26"/>
      <w:bookmarkEnd w:id="27"/>
      <w:bookmarkEnd w:id="28"/>
      <w:r>
        <w:t xml:space="preserve">Appendix </w:t>
      </w:r>
      <w:r w:rsidR="00B10AC6">
        <w:t>C</w:t>
      </w:r>
      <w:r>
        <w:t>:</w:t>
      </w:r>
      <w:r>
        <w:tab/>
      </w:r>
      <w:r w:rsidR="00A8130A" w:rsidRPr="00DD670F">
        <w:t xml:space="preserve">Summary of </w:t>
      </w:r>
      <w:r w:rsidR="00A8130A">
        <w:t>MITRE</w:t>
      </w:r>
      <w:r w:rsidR="00A8130A" w:rsidRPr="00DD670F">
        <w:t xml:space="preserve"> </w:t>
      </w:r>
      <w:r w:rsidR="00A8130A">
        <w:t xml:space="preserve">Corporation’s </w:t>
      </w:r>
      <w:r w:rsidR="00A8130A" w:rsidRPr="00DD670F">
        <w:t>Methodology</w:t>
      </w:r>
      <w:bookmarkEnd w:id="29"/>
    </w:p>
    <w:p w:rsidR="00A8130A" w:rsidRPr="003A0FD6" w:rsidRDefault="00A8130A" w:rsidP="00324793">
      <w:r w:rsidRPr="003A0FD6">
        <w:t xml:space="preserve">The methodology used by MITRE to complete its analyses is documented in a series of engineering notebooks (completed under Contract No. VA118A13J0421/VBA OSP COMPENSATION SERVICES CLIN 0005 IFCAP 101-J47030). MITRE’s methodology </w:t>
      </w:r>
      <w:r>
        <w:t>was as follows:</w:t>
      </w:r>
    </w:p>
    <w:p w:rsidR="00A8130A" w:rsidRDefault="00A8130A" w:rsidP="00C25129">
      <w:pPr>
        <w:pStyle w:val="NumberedList"/>
        <w:numPr>
          <w:ilvl w:val="0"/>
          <w:numId w:val="4"/>
        </w:numPr>
      </w:pPr>
      <w:r>
        <w:t xml:space="preserve">VA </w:t>
      </w:r>
      <w:r w:rsidRPr="00356B81">
        <w:t>supplied</w:t>
      </w:r>
      <w:r>
        <w:t xml:space="preserve"> </w:t>
      </w:r>
      <w:r w:rsidRPr="007510F2">
        <w:t>MITRE (and later, the BCDS</w:t>
      </w:r>
      <w:r>
        <w:t>S</w:t>
      </w:r>
      <w:r w:rsidRPr="007510F2">
        <w:t xml:space="preserve"> team) with a set of claims and veteran data for the purpose of the analysis. </w:t>
      </w:r>
      <w:r w:rsidR="007F7D9D">
        <w:t xml:space="preserve"> </w:t>
      </w:r>
      <w:r w:rsidRPr="007510F2">
        <w:t xml:space="preserve">These VBA claims and rating decision data were first conditioned, </w:t>
      </w:r>
      <w:r w:rsidR="007F7D9D">
        <w:t>which</w:t>
      </w:r>
      <w:r w:rsidRPr="007510F2">
        <w:t xml:space="preserve"> involve</w:t>
      </w:r>
      <w:r w:rsidR="007F7D9D">
        <w:t>d</w:t>
      </w:r>
      <w:r w:rsidRPr="007510F2">
        <w:t xml:space="preserve"> aligning the claims data with the corresponding decision data to produce a chronological claimant adjudication history and feature vector. </w:t>
      </w:r>
      <w:r w:rsidR="007F7D9D">
        <w:t xml:space="preserve"> </w:t>
      </w:r>
      <w:r w:rsidRPr="007510F2">
        <w:t xml:space="preserve">This feature vector </w:t>
      </w:r>
      <w:r>
        <w:t>constitutes a</w:t>
      </w:r>
      <w:r w:rsidRPr="007510F2">
        <w:t xml:space="preserve"> recurring sequence of claim attributes and the trajectory of related decisions that result in common outcomes.  </w:t>
      </w:r>
    </w:p>
    <w:p w:rsidR="00A8130A" w:rsidRDefault="00A8130A" w:rsidP="00614A05">
      <w:pPr>
        <w:pStyle w:val="NumberedList"/>
        <w:numPr>
          <w:ilvl w:val="0"/>
          <w:numId w:val="3"/>
        </w:numPr>
      </w:pPr>
      <w:r w:rsidRPr="007510F2">
        <w:t>Machine</w:t>
      </w:r>
      <w:r>
        <w:t>-</w:t>
      </w:r>
      <w:r w:rsidRPr="007510F2">
        <w:t>learning algorithms or “classifiers” (e.g., Random Forest, Logistic Regression, Ordinal Logistic Regression (OLR), and Auto-encoder) quantif</w:t>
      </w:r>
      <w:r w:rsidR="00044C7B">
        <w:t>ied</w:t>
      </w:r>
      <w:r w:rsidRPr="007510F2">
        <w:t xml:space="preserve"> the relative importance of a suite of common claim attributes (or features) </w:t>
      </w:r>
      <w:r>
        <w:t>for</w:t>
      </w:r>
      <w:r w:rsidRPr="007510F2">
        <w:t xml:space="preserve"> determining the CDD for subject conditions within supplemental claims, across samples of the above described claimant adjudication histories. </w:t>
      </w:r>
      <w:r w:rsidR="007F7D9D">
        <w:t xml:space="preserve"> </w:t>
      </w:r>
      <w:r w:rsidRPr="007510F2">
        <w:t>Those features with greatest predictive value were subject</w:t>
      </w:r>
      <w:r>
        <w:t>ed</w:t>
      </w:r>
      <w:r w:rsidRPr="007510F2">
        <w:t xml:space="preserve"> to testing and predictive modeling.</w:t>
      </w:r>
    </w:p>
    <w:p w:rsidR="00A8130A" w:rsidRPr="00356B81" w:rsidRDefault="00A8130A" w:rsidP="00614A05">
      <w:pPr>
        <w:pStyle w:val="NumberedList"/>
        <w:numPr>
          <w:ilvl w:val="0"/>
          <w:numId w:val="3"/>
        </w:numPr>
      </w:pPr>
      <w:r w:rsidRPr="00356B81">
        <w:t xml:space="preserve">The classifiers were also applied to evaluate their relative performance in predicting the CDD of randomly selected (eligible) claims. </w:t>
      </w:r>
      <w:r w:rsidR="00044C7B">
        <w:t xml:space="preserve"> </w:t>
      </w:r>
      <w:r w:rsidRPr="00356B81">
        <w:t xml:space="preserve">The above-mentioned dataset, once conditioned, was segmented into a Training Set and a Test Set. </w:t>
      </w:r>
      <w:r w:rsidR="00044C7B">
        <w:t xml:space="preserve"> </w:t>
      </w:r>
      <w:r w:rsidRPr="00356B81">
        <w:t xml:space="preserve">Training data supplied the analytical basis for determining correlations between features to calculate the predicted CDD. </w:t>
      </w:r>
      <w:r w:rsidR="00044C7B">
        <w:t xml:space="preserve"> </w:t>
      </w:r>
      <w:r w:rsidRPr="00356B81">
        <w:t xml:space="preserve">Separate sample claims were then used to test the predictive capabilities.  </w:t>
      </w:r>
    </w:p>
    <w:p w:rsidR="00A8130A" w:rsidRPr="00356B81" w:rsidRDefault="00A8130A" w:rsidP="00614A05">
      <w:pPr>
        <w:pStyle w:val="NumberedList"/>
        <w:numPr>
          <w:ilvl w:val="0"/>
          <w:numId w:val="3"/>
        </w:numPr>
      </w:pPr>
      <w:r w:rsidRPr="00356B81">
        <w:t>Results were measured based on throughput (</w:t>
      </w:r>
      <w:r w:rsidR="00044C7B">
        <w:t xml:space="preserve">i.e., </w:t>
      </w:r>
      <w:r w:rsidRPr="00356B81">
        <w:t>the ratio of the number of claims processed by the classifier to the total number of claims) and accuracy (</w:t>
      </w:r>
      <w:r w:rsidR="00044C7B">
        <w:t xml:space="preserve">i.e., </w:t>
      </w:r>
      <w:r w:rsidRPr="00356B81">
        <w:t xml:space="preserve">the percentage of predicted CDDs that are equal to the CDD assigned by the responsible Rating Veterans Service Representative (RVSR). </w:t>
      </w:r>
    </w:p>
    <w:p w:rsidR="00A8130A" w:rsidRDefault="00A8130A" w:rsidP="00A8130A">
      <w:r>
        <w:t>MITRE’s work established</w:t>
      </w:r>
      <w:r w:rsidRPr="003A0FD6">
        <w:t xml:space="preserve"> the relative importance of specific features and </w:t>
      </w:r>
      <w:r>
        <w:t xml:space="preserve">identified </w:t>
      </w:r>
      <w:r w:rsidRPr="003A0FD6">
        <w:t xml:space="preserve">methods </w:t>
      </w:r>
      <w:r>
        <w:t>that can</w:t>
      </w:r>
      <w:r w:rsidRPr="003A0FD6">
        <w:t xml:space="preserve"> quantify their importanc</w:t>
      </w:r>
      <w:r>
        <w:t xml:space="preserve">e. </w:t>
      </w:r>
      <w:r w:rsidR="00044C7B">
        <w:t xml:space="preserve"> </w:t>
      </w:r>
      <w:r>
        <w:t>These analyses also provide</w:t>
      </w:r>
      <w:r w:rsidRPr="003A0FD6">
        <w:t xml:space="preserve"> </w:t>
      </w:r>
      <w:r>
        <w:t xml:space="preserve">performance </w:t>
      </w:r>
      <w:r w:rsidRPr="003A0FD6">
        <w:t xml:space="preserve">evaluations of various classifiers </w:t>
      </w:r>
      <w:r>
        <w:t>MITRE applied to</w:t>
      </w:r>
      <w:r w:rsidRPr="003A0FD6">
        <w:t xml:space="preserve"> statistically adjudicate claims that match specific fact patterns. </w:t>
      </w:r>
      <w:r w:rsidR="00044C7B">
        <w:t xml:space="preserve"> </w:t>
      </w:r>
      <w:r w:rsidRPr="003A0FD6">
        <w:t xml:space="preserve">These patterns </w:t>
      </w:r>
      <w:r>
        <w:t>include</w:t>
      </w:r>
      <w:r w:rsidRPr="003A0FD6">
        <w:t xml:space="preserve"> the features identified as having significant predictive value</w:t>
      </w:r>
      <w:r>
        <w:t>,</w:t>
      </w:r>
      <w:r w:rsidRPr="003A0FD6">
        <w:t xml:space="preserve"> </w:t>
      </w:r>
      <w:r>
        <w:t>as well as</w:t>
      </w:r>
      <w:r w:rsidRPr="003A0FD6">
        <w:t xml:space="preserve"> prior claimant adjudication decisions, time periods between the subject claim and prior decisions, the diagnostic information used to describe those decisions, attributes of the claimant (age at the time of filing, etc.), and data within the subject claim (e.g., the contention classification codes used to describe the Veteran’s new claimed disability).</w:t>
      </w:r>
      <w:r>
        <w:t xml:space="preserve">  </w:t>
      </w:r>
    </w:p>
    <w:p w:rsidR="00A8130A" w:rsidRPr="00324793" w:rsidRDefault="00D14D84" w:rsidP="00324793">
      <w:r w:rsidRPr="00CF1F87">
        <w:t xml:space="preserve">MITRE categorized its set </w:t>
      </w:r>
      <w:r>
        <w:t>of</w:t>
      </w:r>
      <w:r w:rsidRPr="00CF1F87">
        <w:t xml:space="preserve"> features as either numeric or text. </w:t>
      </w:r>
      <w:r w:rsidR="00001000">
        <w:t xml:space="preserve"> N</w:t>
      </w:r>
      <w:r w:rsidRPr="00CF1F87">
        <w:t xml:space="preserve">umeric values were calculated where necessary (e.g., time periods, counts, etc.), rounded to the nearest </w:t>
      </w:r>
      <w:r w:rsidR="00397F14">
        <w:t>decile</w:t>
      </w:r>
      <w:r w:rsidRPr="00CF1F87">
        <w:t xml:space="preserve"> (e.g., 35 would be stored as 40)</w:t>
      </w:r>
      <w:r>
        <w:t>,</w:t>
      </w:r>
      <w:r w:rsidRPr="00CF1F87">
        <w:t xml:space="preserve"> and otherwise stored as true/false values (e.g., whether a specific diagnostic code or contention code was used). </w:t>
      </w:r>
      <w:r w:rsidR="00044C7B">
        <w:t xml:space="preserve"> </w:t>
      </w:r>
      <w:r w:rsidRPr="00CF1F87">
        <w:t>The same true/false logic was applied to the calculation of text values (i.e., the presence of specified text strings in specified fields within the data).</w:t>
      </w:r>
    </w:p>
    <w:sectPr w:rsidR="00A8130A" w:rsidRPr="00324793" w:rsidSect="00B10AC6">
      <w:pgSz w:w="12240" w:h="15840"/>
      <w:pgMar w:top="1440" w:right="810" w:bottom="1440" w:left="108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F0CCE" w:rsidRDefault="00AF0CCE" w:rsidP="008013C2">
      <w:pPr>
        <w:spacing w:after="0" w:line="240" w:lineRule="auto"/>
      </w:pPr>
      <w:r>
        <w:separator/>
      </w:r>
    </w:p>
  </w:endnote>
  <w:endnote w:type="continuationSeparator" w:id="0">
    <w:p w:rsidR="00AF0CCE" w:rsidRDefault="00AF0CCE" w:rsidP="008013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485" w:rsidRPr="008013C2" w:rsidRDefault="009A0485" w:rsidP="005A030B">
    <w:pPr>
      <w:pStyle w:val="Footer"/>
      <w:pBdr>
        <w:top w:val="single" w:sz="4" w:space="1" w:color="auto"/>
      </w:pBdr>
      <w:tabs>
        <w:tab w:val="clear" w:pos="9360"/>
        <w:tab w:val="right" w:pos="10350"/>
      </w:tabs>
      <w:rPr>
        <w:rFonts w:cs="Times New Roman"/>
        <w:sz w:val="18"/>
        <w:szCs w:val="18"/>
      </w:rPr>
    </w:pPr>
    <w:r w:rsidRPr="008013C2">
      <w:rPr>
        <w:rFonts w:cs="Times New Roman"/>
        <w:sz w:val="18"/>
        <w:szCs w:val="18"/>
      </w:rPr>
      <w:t xml:space="preserve">Version </w:t>
    </w:r>
    <w:r w:rsidR="005A030B">
      <w:rPr>
        <w:rFonts w:cs="Times New Roman"/>
        <w:sz w:val="18"/>
        <w:szCs w:val="18"/>
      </w:rPr>
      <w:t>1</w:t>
    </w:r>
    <w:r>
      <w:rPr>
        <w:rFonts w:cs="Times New Roman"/>
        <w:sz w:val="18"/>
        <w:szCs w:val="18"/>
      </w:rPr>
      <w:t xml:space="preserve"> (</w:t>
    </w:r>
    <w:r w:rsidR="005A030B">
      <w:rPr>
        <w:rFonts w:cs="Times New Roman"/>
        <w:sz w:val="18"/>
        <w:szCs w:val="18"/>
      </w:rPr>
      <w:t>December</w:t>
    </w:r>
    <w:r>
      <w:rPr>
        <w:rFonts w:cs="Times New Roman"/>
        <w:sz w:val="18"/>
        <w:szCs w:val="18"/>
      </w:rPr>
      <w:t xml:space="preserve"> 2016)</w:t>
    </w:r>
    <w:r w:rsidRPr="008013C2">
      <w:rPr>
        <w:rFonts w:cs="Times New Roman"/>
        <w:sz w:val="18"/>
        <w:szCs w:val="18"/>
      </w:rPr>
      <w:tab/>
      <w:t xml:space="preserve">- </w:t>
    </w:r>
    <w:r>
      <w:rPr>
        <w:rFonts w:cs="Times New Roman"/>
        <w:sz w:val="18"/>
        <w:szCs w:val="18"/>
      </w:rPr>
      <w:t>DRAFT</w:t>
    </w:r>
    <w:r w:rsidRPr="008013C2">
      <w:rPr>
        <w:rFonts w:cs="Times New Roman"/>
        <w:sz w:val="18"/>
        <w:szCs w:val="18"/>
      </w:rPr>
      <w:t xml:space="preserve"> -</w:t>
    </w:r>
    <w:r w:rsidRPr="008013C2">
      <w:rPr>
        <w:rFonts w:cs="Times New Roman"/>
        <w:sz w:val="18"/>
        <w:szCs w:val="18"/>
      </w:rPr>
      <w:tab/>
      <w:t xml:space="preserve">Page </w:t>
    </w:r>
    <w:r w:rsidRPr="008013C2">
      <w:rPr>
        <w:rFonts w:cs="Times New Roman"/>
        <w:sz w:val="18"/>
        <w:szCs w:val="18"/>
      </w:rPr>
      <w:fldChar w:fldCharType="begin"/>
    </w:r>
    <w:r w:rsidRPr="008013C2">
      <w:rPr>
        <w:rFonts w:cs="Times New Roman"/>
        <w:sz w:val="18"/>
        <w:szCs w:val="18"/>
      </w:rPr>
      <w:instrText xml:space="preserve"> PAGE   \* MERGEFORMAT </w:instrText>
    </w:r>
    <w:r w:rsidRPr="008013C2">
      <w:rPr>
        <w:rFonts w:cs="Times New Roman"/>
        <w:sz w:val="18"/>
        <w:szCs w:val="18"/>
      </w:rPr>
      <w:fldChar w:fldCharType="separate"/>
    </w:r>
    <w:r w:rsidR="00C32561">
      <w:rPr>
        <w:rFonts w:cs="Times New Roman"/>
        <w:noProof/>
        <w:sz w:val="18"/>
        <w:szCs w:val="18"/>
      </w:rPr>
      <w:t>3</w:t>
    </w:r>
    <w:r w:rsidRPr="008013C2">
      <w:rPr>
        <w:rFonts w:cs="Times New Roman"/>
        <w:noProof/>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F0CCE" w:rsidRDefault="00AF0CCE" w:rsidP="008013C2">
      <w:pPr>
        <w:spacing w:after="0" w:line="240" w:lineRule="auto"/>
      </w:pPr>
      <w:r>
        <w:separator/>
      </w:r>
    </w:p>
  </w:footnote>
  <w:footnote w:type="continuationSeparator" w:id="0">
    <w:p w:rsidR="00AF0CCE" w:rsidRDefault="00AF0CCE" w:rsidP="008013C2">
      <w:pPr>
        <w:spacing w:after="0" w:line="240" w:lineRule="auto"/>
      </w:pPr>
      <w:r>
        <w:continuationSeparator/>
      </w:r>
    </w:p>
  </w:footnote>
  <w:footnote w:id="1">
    <w:p w:rsidR="00EE0024" w:rsidRDefault="00EE0024" w:rsidP="00EE0024">
      <w:r>
        <w:rPr>
          <w:rStyle w:val="FootnoteReference"/>
        </w:rPr>
        <w:footnoteRef/>
      </w:r>
      <w:r>
        <w:t xml:space="preserve"> Eligibility is determined by:</w:t>
      </w:r>
    </w:p>
    <w:p w:rsidR="00EE0024" w:rsidRDefault="00EE0024" w:rsidP="00EE0024">
      <w:pPr>
        <w:pStyle w:val="ListParagraph"/>
        <w:numPr>
          <w:ilvl w:val="0"/>
          <w:numId w:val="5"/>
        </w:numPr>
      </w:pPr>
      <w:r>
        <w:t>Establishment as an End Product (EP-02X)</w:t>
      </w:r>
    </w:p>
    <w:p w:rsidR="00EE0024" w:rsidRDefault="00EE0024" w:rsidP="00EE0024">
      <w:pPr>
        <w:pStyle w:val="ListParagraph"/>
        <w:numPr>
          <w:ilvl w:val="0"/>
          <w:numId w:val="5"/>
        </w:numPr>
      </w:pPr>
      <w:r>
        <w:t>The presence of contention codes 2200, 3140, 3150, 4700, 5710, or 6850</w:t>
      </w:r>
    </w:p>
    <w:p w:rsidR="00EE0024" w:rsidRPr="00D557B5" w:rsidRDefault="00EE0024" w:rsidP="00EE0024">
      <w:pPr>
        <w:pStyle w:val="ListParagraph"/>
        <w:numPr>
          <w:ilvl w:val="0"/>
          <w:numId w:val="5"/>
        </w:numPr>
      </w:pPr>
      <w:r>
        <w:t>Confirmation of a prior rating. The feature set, in this case, is limited to the prior rating for service connected issue identified for diagnostic code 6260.</w:t>
      </w:r>
    </w:p>
    <w:p w:rsidR="00EE0024" w:rsidRDefault="00EE0024">
      <w:pPr>
        <w:pStyle w:val="FootnoteText"/>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A0485" w:rsidRDefault="009A0485" w:rsidP="008013C2">
    <w:pPr>
      <w:pStyle w:val="Header"/>
      <w:jc w:val="center"/>
      <w:rPr>
        <w:rFonts w:cs="Times New Roman"/>
        <w:b/>
        <w:sz w:val="28"/>
        <w:szCs w:val="28"/>
      </w:rPr>
    </w:pPr>
    <w:r w:rsidRPr="008013C2">
      <w:rPr>
        <w:rFonts w:cs="Times New Roman"/>
        <w:b/>
        <w:sz w:val="28"/>
        <w:szCs w:val="28"/>
      </w:rPr>
      <w:t>BCD</w:t>
    </w:r>
    <w:r>
      <w:rPr>
        <w:rFonts w:cs="Times New Roman"/>
        <w:b/>
        <w:sz w:val="28"/>
        <w:szCs w:val="28"/>
      </w:rPr>
      <w:t>S</w:t>
    </w:r>
    <w:r w:rsidRPr="008013C2">
      <w:rPr>
        <w:rFonts w:cs="Times New Roman"/>
        <w:b/>
        <w:sz w:val="28"/>
        <w:szCs w:val="28"/>
      </w:rPr>
      <w:t xml:space="preserve">S </w:t>
    </w:r>
    <w:r>
      <w:rPr>
        <w:rFonts w:cs="Times New Roman"/>
        <w:b/>
        <w:sz w:val="28"/>
        <w:szCs w:val="28"/>
      </w:rPr>
      <w:t xml:space="preserve">Tinnitus </w:t>
    </w:r>
    <w:r w:rsidRPr="008013C2">
      <w:rPr>
        <w:rFonts w:cs="Times New Roman"/>
        <w:b/>
        <w:sz w:val="28"/>
        <w:szCs w:val="28"/>
      </w:rPr>
      <w:t xml:space="preserve">Model </w:t>
    </w:r>
    <w:r>
      <w:rPr>
        <w:rFonts w:cs="Times New Roman"/>
        <w:b/>
        <w:sz w:val="28"/>
        <w:szCs w:val="28"/>
      </w:rPr>
      <w:t xml:space="preserve">Manual </w:t>
    </w:r>
  </w:p>
  <w:p w:rsidR="009A0485" w:rsidRPr="008013C2" w:rsidRDefault="009A0485" w:rsidP="008013C2">
    <w:pPr>
      <w:pStyle w:val="Header"/>
      <w:jc w:val="center"/>
      <w:rPr>
        <w:rFonts w:cs="Times New Roman"/>
        <w:b/>
        <w:i/>
        <w:szCs w:val="24"/>
      </w:rPr>
    </w:pPr>
    <w:r>
      <w:rPr>
        <w:rFonts w:cs="Times New Roman"/>
        <w:b/>
        <w:sz w:val="28"/>
        <w:szCs w:val="28"/>
      </w:rPr>
      <w:t>(BCDSS Model No. 004)</w:t>
    </w:r>
  </w:p>
  <w:p w:rsidR="009A0485" w:rsidRPr="008013C2" w:rsidRDefault="009A0485" w:rsidP="008013C2">
    <w:pPr>
      <w:pStyle w:val="Header"/>
      <w:pBdr>
        <w:top w:val="single" w:sz="4" w:space="1" w:color="auto"/>
      </w:pBdr>
      <w:jc w:val="center"/>
      <w:rPr>
        <w:rFonts w:cs="Times New Roman"/>
        <w:b/>
        <w:sz w:val="28"/>
        <w:szCs w:val="28"/>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49551251"/>
    <w:multiLevelType w:val="hybridMultilevel"/>
    <w:tmpl w:val="AE38458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52BB1C61"/>
    <w:multiLevelType w:val="hybridMultilevel"/>
    <w:tmpl w:val="E4CCF862"/>
    <w:lvl w:ilvl="0" w:tplc="64CE9202">
      <w:start w:val="1"/>
      <w:numFmt w:val="bullet"/>
      <w:pStyle w:val="ListParagraph"/>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59A83B22"/>
    <w:multiLevelType w:val="hybridMultilevel"/>
    <w:tmpl w:val="B2141E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DFB2168"/>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5F5F14F0"/>
    <w:multiLevelType w:val="hybridMultilevel"/>
    <w:tmpl w:val="FF60C9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3D47A22"/>
    <w:multiLevelType w:val="hybridMultilevel"/>
    <w:tmpl w:val="702A68B0"/>
    <w:lvl w:ilvl="0" w:tplc="F3BE49E6">
      <w:start w:val="1"/>
      <w:numFmt w:val="decimal"/>
      <w:pStyle w:val="NumberedList"/>
      <w:lvlText w:val="%1."/>
      <w:lvlJc w:val="left"/>
      <w:pPr>
        <w:ind w:left="360" w:hanging="360"/>
      </w:pPr>
      <w:rPr>
        <w:rFonts w:hint="default"/>
      </w:rPr>
    </w:lvl>
    <w:lvl w:ilvl="1" w:tplc="BAE8F43A">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6B1D76CD"/>
    <w:multiLevelType w:val="hybridMultilevel"/>
    <w:tmpl w:val="D4C874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72EE7555"/>
    <w:multiLevelType w:val="hybridMultilevel"/>
    <w:tmpl w:val="3460B5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7B595903"/>
    <w:multiLevelType w:val="hybridMultilevel"/>
    <w:tmpl w:val="D42AF250"/>
    <w:lvl w:ilvl="0" w:tplc="7EEA7178">
      <w:start w:val="1"/>
      <w:numFmt w:val="decimal"/>
      <w:lvlText w:val="%1."/>
      <w:lvlJc w:val="left"/>
      <w:pPr>
        <w:ind w:left="360" w:hanging="360"/>
      </w:pPr>
      <w:rPr>
        <w:b w:val="0"/>
        <w:i w:val="0"/>
        <w:color w:val="auto"/>
      </w:rPr>
    </w:lvl>
    <w:lvl w:ilvl="1" w:tplc="BAE8F43A">
      <w:start w:val="1"/>
      <w:numFmt w:val="lowerLetter"/>
      <w:lvlText w:val="%2)"/>
      <w:lvlJc w:val="left"/>
      <w:pPr>
        <w:ind w:left="1080" w:hanging="360"/>
      </w:pPr>
      <w:rPr>
        <w:rFonts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
  </w:num>
  <w:num w:numId="3">
    <w:abstractNumId w:val="8"/>
  </w:num>
  <w:num w:numId="4">
    <w:abstractNumId w:val="8"/>
    <w:lvlOverride w:ilvl="0">
      <w:startOverride w:val="1"/>
    </w:lvlOverride>
  </w:num>
  <w:num w:numId="5">
    <w:abstractNumId w:val="6"/>
  </w:num>
  <w:num w:numId="6">
    <w:abstractNumId w:val="7"/>
  </w:num>
  <w:num w:numId="7">
    <w:abstractNumId w:val="0"/>
  </w:num>
  <w:num w:numId="8">
    <w:abstractNumId w:val="2"/>
  </w:num>
  <w:num w:numId="9">
    <w:abstractNumId w:val="4"/>
  </w:num>
  <w:num w:numId="10">
    <w:abstractNumId w:val="5"/>
  </w:num>
  <w:num w:numId="11">
    <w:abstractNumId w:val="5"/>
    <w:lvlOverride w:ilvl="0">
      <w:startOverride w:val="1"/>
    </w:lvlOverride>
  </w:num>
  <w:num w:numId="12">
    <w:abstractNumId w:val="5"/>
    <w:lvlOverride w:ilvl="0">
      <w:startOverride w:val="1"/>
    </w:lvlOverride>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2474"/>
    <w:rsid w:val="00001000"/>
    <w:rsid w:val="0000134F"/>
    <w:rsid w:val="00004C55"/>
    <w:rsid w:val="00011DF8"/>
    <w:rsid w:val="00011E6A"/>
    <w:rsid w:val="000127C0"/>
    <w:rsid w:val="00022530"/>
    <w:rsid w:val="000278C5"/>
    <w:rsid w:val="00030EF9"/>
    <w:rsid w:val="00043D02"/>
    <w:rsid w:val="00044C7B"/>
    <w:rsid w:val="00044E2B"/>
    <w:rsid w:val="00045BA0"/>
    <w:rsid w:val="00046B0E"/>
    <w:rsid w:val="0006565F"/>
    <w:rsid w:val="00066C82"/>
    <w:rsid w:val="00067766"/>
    <w:rsid w:val="00067BC7"/>
    <w:rsid w:val="0007056B"/>
    <w:rsid w:val="00074671"/>
    <w:rsid w:val="00074F1F"/>
    <w:rsid w:val="000758CC"/>
    <w:rsid w:val="0008050C"/>
    <w:rsid w:val="000805D8"/>
    <w:rsid w:val="000826D5"/>
    <w:rsid w:val="00082899"/>
    <w:rsid w:val="00084EED"/>
    <w:rsid w:val="0009135A"/>
    <w:rsid w:val="0009218B"/>
    <w:rsid w:val="0009223F"/>
    <w:rsid w:val="0009439E"/>
    <w:rsid w:val="00095FF1"/>
    <w:rsid w:val="000B2670"/>
    <w:rsid w:val="000C0426"/>
    <w:rsid w:val="000C3C13"/>
    <w:rsid w:val="000C4576"/>
    <w:rsid w:val="000D1EE3"/>
    <w:rsid w:val="000D337A"/>
    <w:rsid w:val="000E11A7"/>
    <w:rsid w:val="000E1F4D"/>
    <w:rsid w:val="000E443B"/>
    <w:rsid w:val="000F2A1D"/>
    <w:rsid w:val="00100CBD"/>
    <w:rsid w:val="00104DB0"/>
    <w:rsid w:val="00107B73"/>
    <w:rsid w:val="00110029"/>
    <w:rsid w:val="00111032"/>
    <w:rsid w:val="001133F4"/>
    <w:rsid w:val="00113E13"/>
    <w:rsid w:val="0011468D"/>
    <w:rsid w:val="0011657B"/>
    <w:rsid w:val="00116F27"/>
    <w:rsid w:val="00125832"/>
    <w:rsid w:val="001325ED"/>
    <w:rsid w:val="001426B3"/>
    <w:rsid w:val="001472E0"/>
    <w:rsid w:val="001519DF"/>
    <w:rsid w:val="00152581"/>
    <w:rsid w:val="00154DDB"/>
    <w:rsid w:val="00155F84"/>
    <w:rsid w:val="00156836"/>
    <w:rsid w:val="00166743"/>
    <w:rsid w:val="00172FE0"/>
    <w:rsid w:val="00174BFA"/>
    <w:rsid w:val="00176B96"/>
    <w:rsid w:val="001813B3"/>
    <w:rsid w:val="00190E55"/>
    <w:rsid w:val="00190ECE"/>
    <w:rsid w:val="00194F3D"/>
    <w:rsid w:val="00196B77"/>
    <w:rsid w:val="0019761A"/>
    <w:rsid w:val="001A0F59"/>
    <w:rsid w:val="001A4D85"/>
    <w:rsid w:val="001A7809"/>
    <w:rsid w:val="001B001D"/>
    <w:rsid w:val="001B00BA"/>
    <w:rsid w:val="001B61EA"/>
    <w:rsid w:val="001D0791"/>
    <w:rsid w:val="001D4D73"/>
    <w:rsid w:val="00221D76"/>
    <w:rsid w:val="002257ED"/>
    <w:rsid w:val="00226D45"/>
    <w:rsid w:val="00227672"/>
    <w:rsid w:val="00245A61"/>
    <w:rsid w:val="0025108C"/>
    <w:rsid w:val="00257AD9"/>
    <w:rsid w:val="0026136D"/>
    <w:rsid w:val="002628CA"/>
    <w:rsid w:val="00262EF2"/>
    <w:rsid w:val="0026661F"/>
    <w:rsid w:val="0027138A"/>
    <w:rsid w:val="00272F38"/>
    <w:rsid w:val="0027644F"/>
    <w:rsid w:val="002773BE"/>
    <w:rsid w:val="00281A46"/>
    <w:rsid w:val="0029261F"/>
    <w:rsid w:val="00293540"/>
    <w:rsid w:val="00296105"/>
    <w:rsid w:val="002A2013"/>
    <w:rsid w:val="002A3DF7"/>
    <w:rsid w:val="002A63C0"/>
    <w:rsid w:val="002A66A0"/>
    <w:rsid w:val="002B7FDD"/>
    <w:rsid w:val="002C0C5C"/>
    <w:rsid w:val="002C2367"/>
    <w:rsid w:val="002C47FA"/>
    <w:rsid w:val="002D107F"/>
    <w:rsid w:val="002D36E9"/>
    <w:rsid w:val="002E103A"/>
    <w:rsid w:val="002E4614"/>
    <w:rsid w:val="002F1FAB"/>
    <w:rsid w:val="002F3AD4"/>
    <w:rsid w:val="002F465C"/>
    <w:rsid w:val="002F4B1B"/>
    <w:rsid w:val="003067A5"/>
    <w:rsid w:val="00314D26"/>
    <w:rsid w:val="00323CA9"/>
    <w:rsid w:val="00324793"/>
    <w:rsid w:val="00324F6C"/>
    <w:rsid w:val="003252A6"/>
    <w:rsid w:val="00333ACC"/>
    <w:rsid w:val="003355C4"/>
    <w:rsid w:val="003434F2"/>
    <w:rsid w:val="00352328"/>
    <w:rsid w:val="003573D0"/>
    <w:rsid w:val="0035776E"/>
    <w:rsid w:val="0036424E"/>
    <w:rsid w:val="00366E55"/>
    <w:rsid w:val="003722C4"/>
    <w:rsid w:val="003750CD"/>
    <w:rsid w:val="00376982"/>
    <w:rsid w:val="00381C6D"/>
    <w:rsid w:val="003860E9"/>
    <w:rsid w:val="00387865"/>
    <w:rsid w:val="00391675"/>
    <w:rsid w:val="003930C3"/>
    <w:rsid w:val="003945DF"/>
    <w:rsid w:val="00395315"/>
    <w:rsid w:val="003965B4"/>
    <w:rsid w:val="00397F14"/>
    <w:rsid w:val="003A0D3D"/>
    <w:rsid w:val="003A0FD6"/>
    <w:rsid w:val="003A42A1"/>
    <w:rsid w:val="003B2860"/>
    <w:rsid w:val="003C08D3"/>
    <w:rsid w:val="003C3C50"/>
    <w:rsid w:val="003C770C"/>
    <w:rsid w:val="003D2BF8"/>
    <w:rsid w:val="003D4F2C"/>
    <w:rsid w:val="003E074E"/>
    <w:rsid w:val="003E3C85"/>
    <w:rsid w:val="003E4393"/>
    <w:rsid w:val="003E5828"/>
    <w:rsid w:val="003F083C"/>
    <w:rsid w:val="003F5183"/>
    <w:rsid w:val="003F6D74"/>
    <w:rsid w:val="00406934"/>
    <w:rsid w:val="00410B95"/>
    <w:rsid w:val="004136D3"/>
    <w:rsid w:val="0043203F"/>
    <w:rsid w:val="004324F0"/>
    <w:rsid w:val="00435DDD"/>
    <w:rsid w:val="004414C3"/>
    <w:rsid w:val="00443EFA"/>
    <w:rsid w:val="00445F34"/>
    <w:rsid w:val="00446468"/>
    <w:rsid w:val="004502C0"/>
    <w:rsid w:val="00453DF1"/>
    <w:rsid w:val="00463D65"/>
    <w:rsid w:val="00465040"/>
    <w:rsid w:val="00472F07"/>
    <w:rsid w:val="0047630F"/>
    <w:rsid w:val="00491749"/>
    <w:rsid w:val="00494076"/>
    <w:rsid w:val="004A5842"/>
    <w:rsid w:val="004C0952"/>
    <w:rsid w:val="004C1ABB"/>
    <w:rsid w:val="004C1D3B"/>
    <w:rsid w:val="004C2BAE"/>
    <w:rsid w:val="004C44D3"/>
    <w:rsid w:val="004D2D1D"/>
    <w:rsid w:val="004D524E"/>
    <w:rsid w:val="004E3615"/>
    <w:rsid w:val="004E6293"/>
    <w:rsid w:val="004E62C0"/>
    <w:rsid w:val="005009E2"/>
    <w:rsid w:val="005031D6"/>
    <w:rsid w:val="005048C3"/>
    <w:rsid w:val="00510059"/>
    <w:rsid w:val="0052183B"/>
    <w:rsid w:val="005305A4"/>
    <w:rsid w:val="00534EF5"/>
    <w:rsid w:val="00552605"/>
    <w:rsid w:val="00552ADF"/>
    <w:rsid w:val="00553976"/>
    <w:rsid w:val="0055446E"/>
    <w:rsid w:val="00554A5F"/>
    <w:rsid w:val="005564AC"/>
    <w:rsid w:val="00561B8C"/>
    <w:rsid w:val="00571915"/>
    <w:rsid w:val="00575BE1"/>
    <w:rsid w:val="00584FB8"/>
    <w:rsid w:val="00584FD7"/>
    <w:rsid w:val="00592782"/>
    <w:rsid w:val="005932C9"/>
    <w:rsid w:val="005957AB"/>
    <w:rsid w:val="00595833"/>
    <w:rsid w:val="005A030B"/>
    <w:rsid w:val="005A426A"/>
    <w:rsid w:val="005A62A8"/>
    <w:rsid w:val="005A7B5F"/>
    <w:rsid w:val="005B1A58"/>
    <w:rsid w:val="005B6AE5"/>
    <w:rsid w:val="005C1FC7"/>
    <w:rsid w:val="005D2C10"/>
    <w:rsid w:val="005D2FC4"/>
    <w:rsid w:val="005D484A"/>
    <w:rsid w:val="005D52CB"/>
    <w:rsid w:val="005E2671"/>
    <w:rsid w:val="005E2CA9"/>
    <w:rsid w:val="005E2D8A"/>
    <w:rsid w:val="005E5038"/>
    <w:rsid w:val="005E5FDD"/>
    <w:rsid w:val="005F18C9"/>
    <w:rsid w:val="005F31BC"/>
    <w:rsid w:val="0060093C"/>
    <w:rsid w:val="00600B94"/>
    <w:rsid w:val="00600CA7"/>
    <w:rsid w:val="00601833"/>
    <w:rsid w:val="00604B58"/>
    <w:rsid w:val="00610215"/>
    <w:rsid w:val="00610AC6"/>
    <w:rsid w:val="00611B68"/>
    <w:rsid w:val="00612EE6"/>
    <w:rsid w:val="00614A05"/>
    <w:rsid w:val="00615495"/>
    <w:rsid w:val="00630455"/>
    <w:rsid w:val="006314B5"/>
    <w:rsid w:val="00632A70"/>
    <w:rsid w:val="0063385A"/>
    <w:rsid w:val="00634B98"/>
    <w:rsid w:val="00635BE9"/>
    <w:rsid w:val="00637C49"/>
    <w:rsid w:val="00637FE3"/>
    <w:rsid w:val="00642149"/>
    <w:rsid w:val="00643166"/>
    <w:rsid w:val="00650571"/>
    <w:rsid w:val="00656026"/>
    <w:rsid w:val="00660842"/>
    <w:rsid w:val="0066468A"/>
    <w:rsid w:val="00676331"/>
    <w:rsid w:val="00695360"/>
    <w:rsid w:val="006A2B04"/>
    <w:rsid w:val="006A4E98"/>
    <w:rsid w:val="006A6F6E"/>
    <w:rsid w:val="006B045F"/>
    <w:rsid w:val="006C605D"/>
    <w:rsid w:val="006F0DE7"/>
    <w:rsid w:val="00704C11"/>
    <w:rsid w:val="00714A4B"/>
    <w:rsid w:val="00716DD5"/>
    <w:rsid w:val="00726A4D"/>
    <w:rsid w:val="00730DA7"/>
    <w:rsid w:val="00734808"/>
    <w:rsid w:val="00740896"/>
    <w:rsid w:val="00741F0F"/>
    <w:rsid w:val="0074271E"/>
    <w:rsid w:val="0074370B"/>
    <w:rsid w:val="00746126"/>
    <w:rsid w:val="007510F2"/>
    <w:rsid w:val="00753B48"/>
    <w:rsid w:val="00755286"/>
    <w:rsid w:val="007567BB"/>
    <w:rsid w:val="007601B9"/>
    <w:rsid w:val="00761CE5"/>
    <w:rsid w:val="00767BBD"/>
    <w:rsid w:val="007731BB"/>
    <w:rsid w:val="0078298E"/>
    <w:rsid w:val="007913BF"/>
    <w:rsid w:val="00791EB5"/>
    <w:rsid w:val="0079230D"/>
    <w:rsid w:val="00794B47"/>
    <w:rsid w:val="007A38BC"/>
    <w:rsid w:val="007A64AA"/>
    <w:rsid w:val="007C44C5"/>
    <w:rsid w:val="007C6922"/>
    <w:rsid w:val="007C702F"/>
    <w:rsid w:val="007D6BAC"/>
    <w:rsid w:val="007F1C59"/>
    <w:rsid w:val="007F6A44"/>
    <w:rsid w:val="007F7D9D"/>
    <w:rsid w:val="00800774"/>
    <w:rsid w:val="008013C2"/>
    <w:rsid w:val="00802673"/>
    <w:rsid w:val="008104FD"/>
    <w:rsid w:val="00810755"/>
    <w:rsid w:val="008215F9"/>
    <w:rsid w:val="00827F6B"/>
    <w:rsid w:val="00830B46"/>
    <w:rsid w:val="00832FE8"/>
    <w:rsid w:val="00842788"/>
    <w:rsid w:val="00853422"/>
    <w:rsid w:val="0085655E"/>
    <w:rsid w:val="00857522"/>
    <w:rsid w:val="00863BE6"/>
    <w:rsid w:val="008662F3"/>
    <w:rsid w:val="00875441"/>
    <w:rsid w:val="00876A0C"/>
    <w:rsid w:val="00877894"/>
    <w:rsid w:val="00880341"/>
    <w:rsid w:val="008804DA"/>
    <w:rsid w:val="00885A30"/>
    <w:rsid w:val="0089019A"/>
    <w:rsid w:val="008951B5"/>
    <w:rsid w:val="008A3357"/>
    <w:rsid w:val="008A731F"/>
    <w:rsid w:val="008A7BD5"/>
    <w:rsid w:val="008B0B57"/>
    <w:rsid w:val="008B2285"/>
    <w:rsid w:val="008B62B7"/>
    <w:rsid w:val="008C00AE"/>
    <w:rsid w:val="008C0BEA"/>
    <w:rsid w:val="008C1A91"/>
    <w:rsid w:val="008C1B48"/>
    <w:rsid w:val="008C1FB9"/>
    <w:rsid w:val="008C2F92"/>
    <w:rsid w:val="008E4C26"/>
    <w:rsid w:val="008E6DFB"/>
    <w:rsid w:val="008F0239"/>
    <w:rsid w:val="008F5074"/>
    <w:rsid w:val="009043AC"/>
    <w:rsid w:val="00906392"/>
    <w:rsid w:val="009101F8"/>
    <w:rsid w:val="00923E2A"/>
    <w:rsid w:val="009259D1"/>
    <w:rsid w:val="009336E1"/>
    <w:rsid w:val="009370EF"/>
    <w:rsid w:val="009526E9"/>
    <w:rsid w:val="0095357F"/>
    <w:rsid w:val="00963B8A"/>
    <w:rsid w:val="00975829"/>
    <w:rsid w:val="009766F5"/>
    <w:rsid w:val="0097740B"/>
    <w:rsid w:val="00984A3F"/>
    <w:rsid w:val="009915B0"/>
    <w:rsid w:val="00991F70"/>
    <w:rsid w:val="009A0485"/>
    <w:rsid w:val="009A3578"/>
    <w:rsid w:val="009A3A01"/>
    <w:rsid w:val="009A68D9"/>
    <w:rsid w:val="009A72CA"/>
    <w:rsid w:val="009B0737"/>
    <w:rsid w:val="009C3F8D"/>
    <w:rsid w:val="009D23AD"/>
    <w:rsid w:val="009D449C"/>
    <w:rsid w:val="009E0470"/>
    <w:rsid w:val="009E2D19"/>
    <w:rsid w:val="009F5B21"/>
    <w:rsid w:val="00A02E67"/>
    <w:rsid w:val="00A060C7"/>
    <w:rsid w:val="00A13798"/>
    <w:rsid w:val="00A17842"/>
    <w:rsid w:val="00A215CF"/>
    <w:rsid w:val="00A21E23"/>
    <w:rsid w:val="00A23744"/>
    <w:rsid w:val="00A24196"/>
    <w:rsid w:val="00A32194"/>
    <w:rsid w:val="00A56D63"/>
    <w:rsid w:val="00A57799"/>
    <w:rsid w:val="00A62116"/>
    <w:rsid w:val="00A625D7"/>
    <w:rsid w:val="00A7093D"/>
    <w:rsid w:val="00A70A89"/>
    <w:rsid w:val="00A72E14"/>
    <w:rsid w:val="00A8130A"/>
    <w:rsid w:val="00A853AE"/>
    <w:rsid w:val="00A90016"/>
    <w:rsid w:val="00A90627"/>
    <w:rsid w:val="00A9077F"/>
    <w:rsid w:val="00A92FC2"/>
    <w:rsid w:val="00A94AC9"/>
    <w:rsid w:val="00AA7452"/>
    <w:rsid w:val="00AB2269"/>
    <w:rsid w:val="00AB50BF"/>
    <w:rsid w:val="00AC1DB2"/>
    <w:rsid w:val="00AC5424"/>
    <w:rsid w:val="00AC74AB"/>
    <w:rsid w:val="00AD4ADC"/>
    <w:rsid w:val="00AD54E3"/>
    <w:rsid w:val="00AE1C63"/>
    <w:rsid w:val="00AF0CCE"/>
    <w:rsid w:val="00AF15EB"/>
    <w:rsid w:val="00AF47E1"/>
    <w:rsid w:val="00AF7CDE"/>
    <w:rsid w:val="00B00EBE"/>
    <w:rsid w:val="00B03809"/>
    <w:rsid w:val="00B055BE"/>
    <w:rsid w:val="00B05D5F"/>
    <w:rsid w:val="00B10AC6"/>
    <w:rsid w:val="00B1324E"/>
    <w:rsid w:val="00B172D8"/>
    <w:rsid w:val="00B23185"/>
    <w:rsid w:val="00B24338"/>
    <w:rsid w:val="00B253D9"/>
    <w:rsid w:val="00B270B1"/>
    <w:rsid w:val="00B31B72"/>
    <w:rsid w:val="00B3239E"/>
    <w:rsid w:val="00B32799"/>
    <w:rsid w:val="00B35566"/>
    <w:rsid w:val="00B41838"/>
    <w:rsid w:val="00B46E7B"/>
    <w:rsid w:val="00B47105"/>
    <w:rsid w:val="00B50A45"/>
    <w:rsid w:val="00B512F5"/>
    <w:rsid w:val="00B54AB2"/>
    <w:rsid w:val="00B54BF6"/>
    <w:rsid w:val="00B553AA"/>
    <w:rsid w:val="00B73C47"/>
    <w:rsid w:val="00B80353"/>
    <w:rsid w:val="00B82505"/>
    <w:rsid w:val="00B8263D"/>
    <w:rsid w:val="00B86D20"/>
    <w:rsid w:val="00B87E34"/>
    <w:rsid w:val="00B96FF8"/>
    <w:rsid w:val="00B9765B"/>
    <w:rsid w:val="00BA2F98"/>
    <w:rsid w:val="00BA4835"/>
    <w:rsid w:val="00BA5B7D"/>
    <w:rsid w:val="00BA6031"/>
    <w:rsid w:val="00BB0FA3"/>
    <w:rsid w:val="00BB4B12"/>
    <w:rsid w:val="00BB4EE0"/>
    <w:rsid w:val="00BD003F"/>
    <w:rsid w:val="00BD0C20"/>
    <w:rsid w:val="00BE0877"/>
    <w:rsid w:val="00BE6AC3"/>
    <w:rsid w:val="00BE6BA6"/>
    <w:rsid w:val="00BF2BDC"/>
    <w:rsid w:val="00BF55A3"/>
    <w:rsid w:val="00C04EB3"/>
    <w:rsid w:val="00C05E1E"/>
    <w:rsid w:val="00C127F9"/>
    <w:rsid w:val="00C20401"/>
    <w:rsid w:val="00C210B0"/>
    <w:rsid w:val="00C25129"/>
    <w:rsid w:val="00C305EE"/>
    <w:rsid w:val="00C309EB"/>
    <w:rsid w:val="00C32561"/>
    <w:rsid w:val="00C361F2"/>
    <w:rsid w:val="00C438EC"/>
    <w:rsid w:val="00C51DE3"/>
    <w:rsid w:val="00C57AD4"/>
    <w:rsid w:val="00C743CF"/>
    <w:rsid w:val="00C83A20"/>
    <w:rsid w:val="00C85056"/>
    <w:rsid w:val="00C85803"/>
    <w:rsid w:val="00C86B78"/>
    <w:rsid w:val="00CA377A"/>
    <w:rsid w:val="00CC0421"/>
    <w:rsid w:val="00CD6C9C"/>
    <w:rsid w:val="00CE0F8E"/>
    <w:rsid w:val="00CE453D"/>
    <w:rsid w:val="00CF1F87"/>
    <w:rsid w:val="00CF29AD"/>
    <w:rsid w:val="00CF4583"/>
    <w:rsid w:val="00D01E33"/>
    <w:rsid w:val="00D129D5"/>
    <w:rsid w:val="00D14D84"/>
    <w:rsid w:val="00D15359"/>
    <w:rsid w:val="00D15856"/>
    <w:rsid w:val="00D2022E"/>
    <w:rsid w:val="00D21CA1"/>
    <w:rsid w:val="00D2701C"/>
    <w:rsid w:val="00D3449A"/>
    <w:rsid w:val="00D34BEA"/>
    <w:rsid w:val="00D362CF"/>
    <w:rsid w:val="00D4238F"/>
    <w:rsid w:val="00D43736"/>
    <w:rsid w:val="00D47261"/>
    <w:rsid w:val="00D50A26"/>
    <w:rsid w:val="00D557B5"/>
    <w:rsid w:val="00D57CF5"/>
    <w:rsid w:val="00D638B9"/>
    <w:rsid w:val="00D67F66"/>
    <w:rsid w:val="00D75659"/>
    <w:rsid w:val="00D75D61"/>
    <w:rsid w:val="00D8774D"/>
    <w:rsid w:val="00D972A6"/>
    <w:rsid w:val="00DA0E48"/>
    <w:rsid w:val="00DA6687"/>
    <w:rsid w:val="00DB1416"/>
    <w:rsid w:val="00DB1437"/>
    <w:rsid w:val="00DC1014"/>
    <w:rsid w:val="00DC101F"/>
    <w:rsid w:val="00DC1199"/>
    <w:rsid w:val="00DC2EC1"/>
    <w:rsid w:val="00DD0FE2"/>
    <w:rsid w:val="00DD3BA8"/>
    <w:rsid w:val="00DD670F"/>
    <w:rsid w:val="00DE241F"/>
    <w:rsid w:val="00DF11CA"/>
    <w:rsid w:val="00DF2CDF"/>
    <w:rsid w:val="00DF63C5"/>
    <w:rsid w:val="00DF6451"/>
    <w:rsid w:val="00E04747"/>
    <w:rsid w:val="00E04F29"/>
    <w:rsid w:val="00E0573C"/>
    <w:rsid w:val="00E1484A"/>
    <w:rsid w:val="00E22720"/>
    <w:rsid w:val="00E23751"/>
    <w:rsid w:val="00E32EB8"/>
    <w:rsid w:val="00E41438"/>
    <w:rsid w:val="00E47B60"/>
    <w:rsid w:val="00E51C35"/>
    <w:rsid w:val="00E5642D"/>
    <w:rsid w:val="00E70A0F"/>
    <w:rsid w:val="00E7366C"/>
    <w:rsid w:val="00E7556E"/>
    <w:rsid w:val="00E93123"/>
    <w:rsid w:val="00E950D9"/>
    <w:rsid w:val="00E95C45"/>
    <w:rsid w:val="00E9671C"/>
    <w:rsid w:val="00EA3111"/>
    <w:rsid w:val="00EA495E"/>
    <w:rsid w:val="00EB22CE"/>
    <w:rsid w:val="00EB268D"/>
    <w:rsid w:val="00EB3736"/>
    <w:rsid w:val="00EC5FFE"/>
    <w:rsid w:val="00EC649B"/>
    <w:rsid w:val="00EC7087"/>
    <w:rsid w:val="00ED50A2"/>
    <w:rsid w:val="00EE0024"/>
    <w:rsid w:val="00EE344A"/>
    <w:rsid w:val="00EE3B8E"/>
    <w:rsid w:val="00EE4B3B"/>
    <w:rsid w:val="00EE755F"/>
    <w:rsid w:val="00EF01A2"/>
    <w:rsid w:val="00EF609B"/>
    <w:rsid w:val="00EF6875"/>
    <w:rsid w:val="00EF721E"/>
    <w:rsid w:val="00F05CD1"/>
    <w:rsid w:val="00F12F62"/>
    <w:rsid w:val="00F17093"/>
    <w:rsid w:val="00F20A5A"/>
    <w:rsid w:val="00F23268"/>
    <w:rsid w:val="00F23502"/>
    <w:rsid w:val="00F36E81"/>
    <w:rsid w:val="00F46728"/>
    <w:rsid w:val="00F60B9D"/>
    <w:rsid w:val="00F64732"/>
    <w:rsid w:val="00F74444"/>
    <w:rsid w:val="00F958EC"/>
    <w:rsid w:val="00FA3B7A"/>
    <w:rsid w:val="00FB5326"/>
    <w:rsid w:val="00FB6488"/>
    <w:rsid w:val="00FC2B4E"/>
    <w:rsid w:val="00FC7945"/>
    <w:rsid w:val="00FD140B"/>
    <w:rsid w:val="00FF1EF1"/>
    <w:rsid w:val="00FF2474"/>
    <w:rsid w:val="00FF38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E3C4F6"/>
  <w15:docId w15:val="{5C864997-822F-4B08-9777-2D3A8A77E4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72F38"/>
    <w:pPr>
      <w:spacing w:line="360" w:lineRule="auto"/>
    </w:pPr>
    <w:rPr>
      <w:rFonts w:ascii="Times New Roman" w:hAnsi="Times New Roman"/>
      <w:sz w:val="24"/>
    </w:rPr>
  </w:style>
  <w:style w:type="paragraph" w:styleId="Heading1">
    <w:name w:val="heading 1"/>
    <w:basedOn w:val="Normal"/>
    <w:next w:val="Normal"/>
    <w:link w:val="Heading1Char"/>
    <w:uiPriority w:val="9"/>
    <w:qFormat/>
    <w:rsid w:val="00A56D63"/>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6D63"/>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272F38"/>
    <w:pPr>
      <w:keepNext/>
      <w:keepLines/>
      <w:numPr>
        <w:ilvl w:val="2"/>
        <w:numId w:val="1"/>
      </w:numPr>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semiHidden/>
    <w:unhideWhenUsed/>
    <w:qFormat/>
    <w:rsid w:val="00272F38"/>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72F38"/>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72F38"/>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72F38"/>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72F3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72F3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link w:val="ListParagraphChar"/>
    <w:uiPriority w:val="34"/>
    <w:qFormat/>
    <w:rsid w:val="002E103A"/>
    <w:pPr>
      <w:numPr>
        <w:numId w:val="2"/>
      </w:numPr>
      <w:spacing w:line="240" w:lineRule="auto"/>
      <w:contextualSpacing/>
    </w:pPr>
  </w:style>
  <w:style w:type="paragraph" w:styleId="Header">
    <w:name w:val="header"/>
    <w:basedOn w:val="Normal"/>
    <w:link w:val="HeaderChar"/>
    <w:uiPriority w:val="99"/>
    <w:unhideWhenUsed/>
    <w:rsid w:val="008013C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3C2"/>
  </w:style>
  <w:style w:type="paragraph" w:styleId="Footer">
    <w:name w:val="footer"/>
    <w:basedOn w:val="Normal"/>
    <w:link w:val="FooterChar"/>
    <w:uiPriority w:val="99"/>
    <w:unhideWhenUsed/>
    <w:rsid w:val="008013C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3C2"/>
  </w:style>
  <w:style w:type="table" w:styleId="TableGrid">
    <w:name w:val="Table Grid"/>
    <w:basedOn w:val="TableNormal"/>
    <w:uiPriority w:val="39"/>
    <w:rsid w:val="00634B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600B94"/>
    <w:pPr>
      <w:spacing w:after="200" w:line="240" w:lineRule="auto"/>
    </w:pPr>
    <w:rPr>
      <w:i/>
      <w:iCs/>
      <w:color w:val="44546A" w:themeColor="text2"/>
      <w:sz w:val="18"/>
      <w:szCs w:val="18"/>
    </w:rPr>
  </w:style>
  <w:style w:type="paragraph" w:styleId="FootnoteText">
    <w:name w:val="footnote text"/>
    <w:basedOn w:val="Normal"/>
    <w:link w:val="FootnoteTextChar"/>
    <w:uiPriority w:val="99"/>
    <w:semiHidden/>
    <w:unhideWhenUsed/>
    <w:rsid w:val="00CE0F8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CE0F8E"/>
    <w:rPr>
      <w:sz w:val="20"/>
      <w:szCs w:val="20"/>
    </w:rPr>
  </w:style>
  <w:style w:type="character" w:styleId="FootnoteReference">
    <w:name w:val="footnote reference"/>
    <w:basedOn w:val="DefaultParagraphFont"/>
    <w:uiPriority w:val="99"/>
    <w:semiHidden/>
    <w:unhideWhenUsed/>
    <w:rsid w:val="00CE0F8E"/>
    <w:rPr>
      <w:vertAlign w:val="superscript"/>
    </w:rPr>
  </w:style>
  <w:style w:type="character" w:styleId="CommentReference">
    <w:name w:val="annotation reference"/>
    <w:basedOn w:val="DefaultParagraphFont"/>
    <w:uiPriority w:val="99"/>
    <w:semiHidden/>
    <w:unhideWhenUsed/>
    <w:rsid w:val="00553976"/>
    <w:rPr>
      <w:sz w:val="16"/>
      <w:szCs w:val="16"/>
    </w:rPr>
  </w:style>
  <w:style w:type="paragraph" w:styleId="CommentText">
    <w:name w:val="annotation text"/>
    <w:basedOn w:val="Normal"/>
    <w:link w:val="CommentTextChar"/>
    <w:uiPriority w:val="99"/>
    <w:semiHidden/>
    <w:unhideWhenUsed/>
    <w:rsid w:val="00553976"/>
    <w:pPr>
      <w:spacing w:line="240" w:lineRule="auto"/>
    </w:pPr>
    <w:rPr>
      <w:sz w:val="20"/>
      <w:szCs w:val="20"/>
    </w:rPr>
  </w:style>
  <w:style w:type="character" w:customStyle="1" w:styleId="CommentTextChar">
    <w:name w:val="Comment Text Char"/>
    <w:basedOn w:val="DefaultParagraphFont"/>
    <w:link w:val="CommentText"/>
    <w:uiPriority w:val="99"/>
    <w:semiHidden/>
    <w:rsid w:val="00553976"/>
    <w:rPr>
      <w:sz w:val="20"/>
      <w:szCs w:val="20"/>
    </w:rPr>
  </w:style>
  <w:style w:type="paragraph" w:styleId="CommentSubject">
    <w:name w:val="annotation subject"/>
    <w:basedOn w:val="CommentText"/>
    <w:next w:val="CommentText"/>
    <w:link w:val="CommentSubjectChar"/>
    <w:uiPriority w:val="99"/>
    <w:semiHidden/>
    <w:unhideWhenUsed/>
    <w:rsid w:val="00553976"/>
    <w:rPr>
      <w:b/>
      <w:bCs/>
    </w:rPr>
  </w:style>
  <w:style w:type="character" w:customStyle="1" w:styleId="CommentSubjectChar">
    <w:name w:val="Comment Subject Char"/>
    <w:basedOn w:val="CommentTextChar"/>
    <w:link w:val="CommentSubject"/>
    <w:uiPriority w:val="99"/>
    <w:semiHidden/>
    <w:rsid w:val="00553976"/>
    <w:rPr>
      <w:b/>
      <w:bCs/>
      <w:sz w:val="20"/>
      <w:szCs w:val="20"/>
    </w:rPr>
  </w:style>
  <w:style w:type="paragraph" w:styleId="BalloonText">
    <w:name w:val="Balloon Text"/>
    <w:basedOn w:val="Normal"/>
    <w:link w:val="BalloonTextChar"/>
    <w:uiPriority w:val="99"/>
    <w:semiHidden/>
    <w:unhideWhenUsed/>
    <w:rsid w:val="0055397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53976"/>
    <w:rPr>
      <w:rFonts w:ascii="Segoe UI" w:hAnsi="Segoe UI" w:cs="Segoe UI"/>
      <w:sz w:val="18"/>
      <w:szCs w:val="18"/>
    </w:rPr>
  </w:style>
  <w:style w:type="character" w:customStyle="1" w:styleId="Heading1Char">
    <w:name w:val="Heading 1 Char"/>
    <w:basedOn w:val="DefaultParagraphFont"/>
    <w:link w:val="Heading1"/>
    <w:uiPriority w:val="9"/>
    <w:rsid w:val="00A56D6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43D02"/>
    <w:pPr>
      <w:numPr>
        <w:numId w:val="0"/>
      </w:numPr>
      <w:spacing w:before="0" w:after="120"/>
      <w:outlineLvl w:val="9"/>
    </w:pPr>
    <w:rPr>
      <w:rFonts w:eastAsiaTheme="minorHAnsi" w:cstheme="minorBidi"/>
      <w:szCs w:val="22"/>
    </w:rPr>
  </w:style>
  <w:style w:type="character" w:customStyle="1" w:styleId="Heading2Char">
    <w:name w:val="Heading 2 Char"/>
    <w:basedOn w:val="DefaultParagraphFont"/>
    <w:link w:val="Heading2"/>
    <w:uiPriority w:val="9"/>
    <w:rsid w:val="00A56D63"/>
    <w:rPr>
      <w:rFonts w:asciiTheme="majorHAnsi" w:eastAsiaTheme="majorEastAsia" w:hAnsiTheme="majorHAnsi" w:cstheme="majorBidi"/>
      <w:color w:val="2E74B5" w:themeColor="accent1" w:themeShade="BF"/>
      <w:sz w:val="26"/>
      <w:szCs w:val="26"/>
    </w:rPr>
  </w:style>
  <w:style w:type="paragraph" w:styleId="TOC1">
    <w:name w:val="toc 1"/>
    <w:basedOn w:val="Normal"/>
    <w:next w:val="Normal"/>
    <w:autoRedefine/>
    <w:uiPriority w:val="39"/>
    <w:unhideWhenUsed/>
    <w:rsid w:val="00A56D63"/>
    <w:pPr>
      <w:spacing w:after="100"/>
    </w:pPr>
  </w:style>
  <w:style w:type="paragraph" w:styleId="TOC2">
    <w:name w:val="toc 2"/>
    <w:basedOn w:val="Normal"/>
    <w:next w:val="Normal"/>
    <w:autoRedefine/>
    <w:uiPriority w:val="39"/>
    <w:unhideWhenUsed/>
    <w:rsid w:val="00A56D63"/>
    <w:pPr>
      <w:spacing w:after="100"/>
      <w:ind w:left="220"/>
    </w:pPr>
  </w:style>
  <w:style w:type="character" w:styleId="Hyperlink">
    <w:name w:val="Hyperlink"/>
    <w:basedOn w:val="DefaultParagraphFont"/>
    <w:uiPriority w:val="99"/>
    <w:unhideWhenUsed/>
    <w:rsid w:val="00A56D63"/>
    <w:rPr>
      <w:color w:val="0563C1" w:themeColor="hyperlink"/>
      <w:u w:val="single"/>
    </w:rPr>
  </w:style>
  <w:style w:type="paragraph" w:styleId="NoSpacing">
    <w:name w:val="No Spacing"/>
    <w:link w:val="NoSpacingChar"/>
    <w:uiPriority w:val="1"/>
    <w:qFormat/>
    <w:rsid w:val="00100CBD"/>
    <w:pPr>
      <w:spacing w:after="0" w:line="240" w:lineRule="auto"/>
    </w:pPr>
    <w:rPr>
      <w:rFonts w:eastAsiaTheme="minorEastAsia"/>
    </w:rPr>
  </w:style>
  <w:style w:type="character" w:customStyle="1" w:styleId="NoSpacingChar">
    <w:name w:val="No Spacing Char"/>
    <w:basedOn w:val="DefaultParagraphFont"/>
    <w:link w:val="NoSpacing"/>
    <w:uiPriority w:val="1"/>
    <w:rsid w:val="00100CBD"/>
    <w:rPr>
      <w:rFonts w:eastAsiaTheme="minorEastAsia"/>
    </w:rPr>
  </w:style>
  <w:style w:type="character" w:customStyle="1" w:styleId="Heading3Char">
    <w:name w:val="Heading 3 Char"/>
    <w:basedOn w:val="DefaultParagraphFont"/>
    <w:link w:val="Heading3"/>
    <w:uiPriority w:val="9"/>
    <w:semiHidden/>
    <w:rsid w:val="00272F3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272F38"/>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272F38"/>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272F38"/>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272F38"/>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272F38"/>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272F38"/>
    <w:rPr>
      <w:rFonts w:asciiTheme="majorHAnsi" w:eastAsiaTheme="majorEastAsia" w:hAnsiTheme="majorHAnsi" w:cstheme="majorBidi"/>
      <w:i/>
      <w:iCs/>
      <w:color w:val="272727" w:themeColor="text1" w:themeTint="D8"/>
      <w:sz w:val="21"/>
      <w:szCs w:val="21"/>
    </w:rPr>
  </w:style>
  <w:style w:type="paragraph" w:customStyle="1" w:styleId="AppendixHeading">
    <w:name w:val="Appendix Heading"/>
    <w:basedOn w:val="Heading1"/>
    <w:link w:val="AppendixHeadingChar"/>
    <w:qFormat/>
    <w:rsid w:val="00A8130A"/>
    <w:pPr>
      <w:numPr>
        <w:numId w:val="0"/>
      </w:numPr>
      <w:ind w:left="432" w:hanging="432"/>
    </w:pPr>
  </w:style>
  <w:style w:type="paragraph" w:customStyle="1" w:styleId="NumberedList">
    <w:name w:val="Numbered List"/>
    <w:basedOn w:val="Normal"/>
    <w:link w:val="NumberedListChar"/>
    <w:qFormat/>
    <w:rsid w:val="002E103A"/>
    <w:pPr>
      <w:numPr>
        <w:numId w:val="10"/>
      </w:numPr>
      <w:spacing w:line="240" w:lineRule="auto"/>
    </w:pPr>
  </w:style>
  <w:style w:type="character" w:customStyle="1" w:styleId="AppendixHeadingChar">
    <w:name w:val="Appendix Heading Char"/>
    <w:basedOn w:val="Heading1Char"/>
    <w:link w:val="AppendixHeading"/>
    <w:rsid w:val="00A8130A"/>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basedOn w:val="DefaultParagraphFont"/>
    <w:link w:val="ListParagraph"/>
    <w:uiPriority w:val="34"/>
    <w:rsid w:val="002C2367"/>
    <w:rPr>
      <w:rFonts w:ascii="Times New Roman" w:hAnsi="Times New Roman"/>
      <w:sz w:val="24"/>
    </w:rPr>
  </w:style>
  <w:style w:type="character" w:customStyle="1" w:styleId="NumberedListChar">
    <w:name w:val="Numbered List Char"/>
    <w:basedOn w:val="ListParagraphChar"/>
    <w:link w:val="NumberedList"/>
    <w:rsid w:val="002E103A"/>
    <w:rPr>
      <w:rFonts w:ascii="Times New Roman" w:hAnsi="Times New Roman"/>
      <w:sz w:val="24"/>
    </w:rPr>
  </w:style>
  <w:style w:type="paragraph" w:styleId="Revision">
    <w:name w:val="Revision"/>
    <w:hidden/>
    <w:uiPriority w:val="99"/>
    <w:semiHidden/>
    <w:rsid w:val="00B8263D"/>
    <w:pPr>
      <w:spacing w:after="0" w:line="240" w:lineRule="auto"/>
    </w:pPr>
    <w:rPr>
      <w:rFonts w:ascii="Times New Roman" w:hAnsi="Times New Roman"/>
      <w:sz w:val="24"/>
    </w:rPr>
  </w:style>
  <w:style w:type="character" w:styleId="FollowedHyperlink">
    <w:name w:val="FollowedHyperlink"/>
    <w:basedOn w:val="DefaultParagraphFont"/>
    <w:uiPriority w:val="99"/>
    <w:semiHidden/>
    <w:unhideWhenUsed/>
    <w:rsid w:val="00C83A2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154547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4.emf"/><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image" Target="media/image6.emf"/><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701796-05E2-44BE-86B8-AE0FAF40EE1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Pages>
  <Words>3765</Words>
  <Characters>21467</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PricewaterhouseCoopers</Company>
  <LinksUpToDate>false</LinksUpToDate>
  <CharactersWithSpaces>25182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C Teague</dc:creator>
  <cp:lastModifiedBy>David C Teague</cp:lastModifiedBy>
  <cp:revision>3</cp:revision>
  <cp:lastPrinted>2016-04-06T18:02:00Z</cp:lastPrinted>
  <dcterms:created xsi:type="dcterms:W3CDTF">2017-01-03T17:37:00Z</dcterms:created>
  <dcterms:modified xsi:type="dcterms:W3CDTF">2017-01-03T19:08:00Z</dcterms:modified>
</cp:coreProperties>
</file>