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BB258" w14:textId="77777777" w:rsidR="00A82975" w:rsidRPr="00A37735" w:rsidRDefault="00A82975" w:rsidP="00A37735">
      <w:pPr>
        <w:jc w:val="center"/>
        <w:rPr>
          <w:rFonts w:ascii="Arial" w:hAnsi="Arial" w:cs="Arial"/>
          <w:b/>
          <w:sz w:val="40"/>
          <w:szCs w:val="40"/>
        </w:rPr>
      </w:pPr>
    </w:p>
    <w:p w14:paraId="55E58A4C" w14:textId="77777777" w:rsidR="005F4945" w:rsidRPr="00A37735" w:rsidRDefault="005F4945" w:rsidP="00A37735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Toc429737007"/>
      <w:bookmarkStart w:id="1" w:name="_Toc429743496"/>
      <w:bookmarkStart w:id="2" w:name="_Toc429743670"/>
      <w:bookmarkStart w:id="3" w:name="_Toc429746352"/>
      <w:r w:rsidRPr="00A37735">
        <w:rPr>
          <w:rFonts w:ascii="Arial" w:hAnsi="Arial" w:cs="Arial"/>
          <w:b/>
          <w:sz w:val="40"/>
          <w:szCs w:val="40"/>
        </w:rPr>
        <w:t>Perceptive Reach</w:t>
      </w:r>
      <w:bookmarkEnd w:id="0"/>
      <w:bookmarkEnd w:id="1"/>
      <w:bookmarkEnd w:id="2"/>
      <w:bookmarkEnd w:id="3"/>
    </w:p>
    <w:p w14:paraId="61F76584" w14:textId="77777777" w:rsidR="005F4945" w:rsidRPr="00A37735" w:rsidRDefault="005F4945" w:rsidP="00A37735">
      <w:pPr>
        <w:jc w:val="center"/>
        <w:rPr>
          <w:rFonts w:ascii="Arial" w:hAnsi="Arial" w:cs="Arial"/>
          <w:b/>
          <w:sz w:val="40"/>
          <w:szCs w:val="40"/>
        </w:rPr>
      </w:pPr>
      <w:bookmarkStart w:id="4" w:name="_Toc429737008"/>
      <w:bookmarkStart w:id="5" w:name="_Toc429743497"/>
      <w:bookmarkStart w:id="6" w:name="_Toc429743671"/>
      <w:bookmarkStart w:id="7" w:name="_Toc429746353"/>
      <w:r w:rsidRPr="00A37735">
        <w:rPr>
          <w:rFonts w:ascii="Arial" w:hAnsi="Arial" w:cs="Arial"/>
          <w:b/>
          <w:sz w:val="40"/>
          <w:szCs w:val="40"/>
        </w:rPr>
        <w:t>Integrated Reach Database System</w:t>
      </w:r>
      <w:bookmarkEnd w:id="4"/>
      <w:bookmarkEnd w:id="5"/>
      <w:bookmarkEnd w:id="6"/>
      <w:bookmarkEnd w:id="7"/>
    </w:p>
    <w:p w14:paraId="6AFE716F" w14:textId="77777777" w:rsidR="00D00695" w:rsidRPr="00A37735" w:rsidRDefault="005F4945" w:rsidP="00A37735">
      <w:pPr>
        <w:jc w:val="center"/>
        <w:rPr>
          <w:rFonts w:ascii="Arial" w:hAnsi="Arial" w:cs="Arial"/>
          <w:b/>
          <w:sz w:val="40"/>
          <w:szCs w:val="40"/>
        </w:rPr>
      </w:pPr>
      <w:bookmarkStart w:id="8" w:name="_Toc429737009"/>
      <w:bookmarkStart w:id="9" w:name="_Toc429743498"/>
      <w:bookmarkStart w:id="10" w:name="_Toc429743672"/>
      <w:bookmarkStart w:id="11" w:name="_Toc429746354"/>
      <w:r w:rsidRPr="00A37735">
        <w:rPr>
          <w:rFonts w:ascii="Arial" w:hAnsi="Arial" w:cs="Arial"/>
          <w:b/>
          <w:sz w:val="40"/>
          <w:szCs w:val="40"/>
        </w:rPr>
        <w:t>(IRDS)</w:t>
      </w:r>
      <w:bookmarkEnd w:id="8"/>
      <w:bookmarkEnd w:id="9"/>
      <w:bookmarkEnd w:id="10"/>
      <w:bookmarkEnd w:id="11"/>
    </w:p>
    <w:p w14:paraId="3E52B286" w14:textId="77777777" w:rsidR="005F4945" w:rsidRPr="00A37735" w:rsidRDefault="005F4945" w:rsidP="00A3773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5979A9F" w14:textId="77777777" w:rsidR="00D00695" w:rsidRPr="00A37735" w:rsidRDefault="00D00695" w:rsidP="00A37735">
      <w:pPr>
        <w:jc w:val="center"/>
        <w:rPr>
          <w:rFonts w:ascii="Arial" w:hAnsi="Arial" w:cs="Arial"/>
          <w:b/>
          <w:sz w:val="40"/>
          <w:szCs w:val="40"/>
        </w:rPr>
      </w:pPr>
      <w:bookmarkStart w:id="12" w:name="_Toc429737010"/>
      <w:bookmarkStart w:id="13" w:name="_Toc429743499"/>
      <w:bookmarkStart w:id="14" w:name="_Toc429743673"/>
      <w:bookmarkStart w:id="15" w:name="_Toc429746355"/>
      <w:r w:rsidRPr="00A37735">
        <w:rPr>
          <w:rFonts w:ascii="Arial" w:hAnsi="Arial" w:cs="Arial"/>
          <w:b/>
          <w:sz w:val="40"/>
          <w:szCs w:val="40"/>
        </w:rPr>
        <w:t>Release Notes</w:t>
      </w:r>
      <w:bookmarkEnd w:id="12"/>
      <w:bookmarkEnd w:id="13"/>
      <w:bookmarkEnd w:id="14"/>
      <w:bookmarkEnd w:id="15"/>
    </w:p>
    <w:p w14:paraId="2413745F" w14:textId="77777777" w:rsidR="00DF4400" w:rsidRPr="009236BC" w:rsidRDefault="00DF4400">
      <w:pPr>
        <w:pStyle w:val="TitlePage"/>
      </w:pPr>
    </w:p>
    <w:p w14:paraId="1964133E" w14:textId="77777777" w:rsidR="00DF4400" w:rsidRPr="00D915DC" w:rsidRDefault="00DF4400">
      <w:pPr>
        <w:pStyle w:val="TitlePage"/>
        <w:rPr>
          <w:sz w:val="32"/>
          <w:szCs w:val="32"/>
        </w:rPr>
      </w:pPr>
    </w:p>
    <w:p w14:paraId="2F42E3E0" w14:textId="77777777" w:rsidR="00DF4400" w:rsidRPr="009236BC" w:rsidRDefault="00DF4400">
      <w:pPr>
        <w:pStyle w:val="TitlePage"/>
      </w:pPr>
    </w:p>
    <w:p w14:paraId="342CE49D" w14:textId="77777777" w:rsidR="00DF4400" w:rsidRPr="009236BC" w:rsidRDefault="00DF4400">
      <w:pPr>
        <w:pStyle w:val="TitlePage"/>
      </w:pPr>
    </w:p>
    <w:p w14:paraId="394B2584" w14:textId="77777777" w:rsidR="00DF4400" w:rsidRPr="009236BC" w:rsidRDefault="00F702C9">
      <w:pPr>
        <w:pStyle w:val="TitlePage"/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26D5F4F9" wp14:editId="7923B8CA">
            <wp:extent cx="2139315" cy="2139315"/>
            <wp:effectExtent l="0" t="0" r="0" b="0"/>
            <wp:docPr id="1" name="Picture 1" descr="VA Seal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Seal 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0190" w14:textId="77777777" w:rsidR="00DF4400" w:rsidRPr="009236BC" w:rsidRDefault="00DF4400">
      <w:pPr>
        <w:pStyle w:val="TitlePage"/>
      </w:pPr>
    </w:p>
    <w:p w14:paraId="5CA7A529" w14:textId="77777777" w:rsidR="00DF4400" w:rsidRPr="009236BC" w:rsidRDefault="00DF4400">
      <w:pPr>
        <w:pStyle w:val="TitlePage"/>
      </w:pPr>
    </w:p>
    <w:p w14:paraId="26780A69" w14:textId="77777777" w:rsidR="00DF4400" w:rsidRPr="009236BC" w:rsidRDefault="00DF4400">
      <w:pPr>
        <w:pStyle w:val="TitlePage"/>
      </w:pPr>
    </w:p>
    <w:p w14:paraId="663422ED" w14:textId="77777777" w:rsidR="005F4945" w:rsidRPr="00A37735" w:rsidRDefault="005F4945" w:rsidP="00A37735">
      <w:pPr>
        <w:jc w:val="center"/>
        <w:rPr>
          <w:rFonts w:ascii="Arial" w:hAnsi="Arial" w:cs="Arial"/>
          <w:b/>
          <w:sz w:val="40"/>
          <w:szCs w:val="40"/>
        </w:rPr>
      </w:pPr>
      <w:bookmarkStart w:id="16" w:name="_Toc429737011"/>
      <w:bookmarkStart w:id="17" w:name="_Toc429743500"/>
      <w:bookmarkStart w:id="18" w:name="_Toc429746356"/>
      <w:r w:rsidRPr="00A37735">
        <w:rPr>
          <w:rFonts w:ascii="Arial" w:hAnsi="Arial" w:cs="Arial"/>
          <w:b/>
          <w:sz w:val="40"/>
          <w:szCs w:val="40"/>
        </w:rPr>
        <w:t>Department of Veterans Affairs</w:t>
      </w:r>
      <w:bookmarkEnd w:id="16"/>
      <w:bookmarkEnd w:id="17"/>
      <w:bookmarkEnd w:id="18"/>
    </w:p>
    <w:p w14:paraId="792CD48E" w14:textId="311B15D4" w:rsidR="005F4945" w:rsidRPr="009F4DE5" w:rsidRDefault="006B1EA8" w:rsidP="005F4945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32"/>
        </w:rPr>
      </w:pPr>
      <w:r>
        <w:rPr>
          <w:rFonts w:ascii="Arial" w:hAnsi="Arial" w:cs="Arial"/>
          <w:b/>
          <w:i w:val="0"/>
          <w:color w:val="auto"/>
          <w:sz w:val="28"/>
          <w:szCs w:val="32"/>
        </w:rPr>
        <w:t>February</w:t>
      </w:r>
      <w:r w:rsidR="008457D7">
        <w:rPr>
          <w:rFonts w:ascii="Arial" w:hAnsi="Arial" w:cs="Arial"/>
          <w:b/>
          <w:i w:val="0"/>
          <w:color w:val="auto"/>
          <w:sz w:val="28"/>
          <w:szCs w:val="32"/>
        </w:rPr>
        <w:t xml:space="preserve"> </w:t>
      </w:r>
      <w:r w:rsidR="005F4945">
        <w:rPr>
          <w:rFonts w:ascii="Arial" w:hAnsi="Arial" w:cs="Arial"/>
          <w:b/>
          <w:i w:val="0"/>
          <w:color w:val="auto"/>
          <w:sz w:val="28"/>
          <w:szCs w:val="32"/>
        </w:rPr>
        <w:t>201</w:t>
      </w:r>
      <w:r w:rsidR="008457D7">
        <w:rPr>
          <w:rFonts w:ascii="Arial" w:hAnsi="Arial" w:cs="Arial"/>
          <w:b/>
          <w:i w:val="0"/>
          <w:color w:val="auto"/>
          <w:sz w:val="28"/>
          <w:szCs w:val="32"/>
        </w:rPr>
        <w:t>6</w:t>
      </w:r>
    </w:p>
    <w:p w14:paraId="47E35275" w14:textId="77214193" w:rsidR="005F4945" w:rsidRDefault="005F4945" w:rsidP="005F4945">
      <w:pPr>
        <w:pStyle w:val="Title2"/>
      </w:pPr>
      <w:r>
        <w:t xml:space="preserve">Version </w:t>
      </w:r>
      <w:r w:rsidR="00703271">
        <w:t>1.</w:t>
      </w:r>
      <w:r w:rsidR="0031604A">
        <w:t>6</w:t>
      </w:r>
    </w:p>
    <w:p w14:paraId="76DF2A8B" w14:textId="77777777" w:rsidR="00A82975" w:rsidRPr="009236BC" w:rsidRDefault="00A82975" w:rsidP="00EF64BD">
      <w:pPr>
        <w:spacing w:line="216" w:lineRule="auto"/>
        <w:jc w:val="center"/>
        <w:rPr>
          <w:rStyle w:val="StyleAriel"/>
          <w:sz w:val="20"/>
          <w:szCs w:val="20"/>
        </w:rPr>
      </w:pPr>
    </w:p>
    <w:p w14:paraId="6A7000BE" w14:textId="77777777" w:rsidR="00DF4400" w:rsidRPr="009236BC" w:rsidRDefault="00DF4400">
      <w:pPr>
        <w:sectPr w:rsidR="00DF4400" w:rsidRPr="009236BC" w:rsidSect="00F6189B">
          <w:footerReference w:type="default" r:id="rId1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D968BD" w14:textId="77777777" w:rsidR="00974765" w:rsidRDefault="00974765" w:rsidP="00974765">
      <w:pPr>
        <w:pStyle w:val="Title2"/>
      </w:pPr>
      <w:r>
        <w:lastRenderedPageBreak/>
        <w:t>Revision History</w:t>
      </w:r>
    </w:p>
    <w:tbl>
      <w:tblPr>
        <w:tblW w:w="9529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974765" w:rsidRPr="004369B8" w14:paraId="44424848" w14:textId="77777777" w:rsidTr="008457D7">
        <w:trPr>
          <w:tblHeader/>
        </w:trPr>
        <w:tc>
          <w:tcPr>
            <w:tcW w:w="1728" w:type="dxa"/>
            <w:shd w:val="clear" w:color="auto" w:fill="F2F2F2"/>
          </w:tcPr>
          <w:p w14:paraId="60941431" w14:textId="77777777" w:rsidR="00974765" w:rsidRPr="004369B8" w:rsidRDefault="00974765" w:rsidP="00A16D4F">
            <w:pPr>
              <w:pStyle w:val="TableHeading1"/>
              <w:rPr>
                <w:rFonts w:ascii="Times New Roman" w:hAnsi="Times New Roman" w:cs="Times New Roman"/>
              </w:rPr>
            </w:pPr>
            <w:bookmarkStart w:id="19" w:name="ColumnTitle_01"/>
            <w:bookmarkEnd w:id="19"/>
            <w:r w:rsidRPr="004369B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0" w:type="dxa"/>
            <w:shd w:val="clear" w:color="auto" w:fill="F2F2F2"/>
          </w:tcPr>
          <w:p w14:paraId="2BD78D78" w14:textId="77777777" w:rsidR="00974765" w:rsidRPr="004369B8" w:rsidRDefault="00974765" w:rsidP="00A16D4F">
            <w:pPr>
              <w:pStyle w:val="TableHeading1"/>
              <w:rPr>
                <w:rFonts w:ascii="Times New Roman" w:hAnsi="Times New Roman" w:cs="Times New Roman"/>
              </w:rPr>
            </w:pPr>
            <w:r w:rsidRPr="004369B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392" w:type="dxa"/>
            <w:shd w:val="clear" w:color="auto" w:fill="F2F2F2"/>
          </w:tcPr>
          <w:p w14:paraId="075AFD21" w14:textId="77777777" w:rsidR="00974765" w:rsidRPr="004369B8" w:rsidRDefault="00974765" w:rsidP="00A16D4F">
            <w:pPr>
              <w:pStyle w:val="TableHeading1"/>
              <w:rPr>
                <w:rFonts w:ascii="Times New Roman" w:hAnsi="Times New Roman" w:cs="Times New Roman"/>
              </w:rPr>
            </w:pPr>
            <w:r w:rsidRPr="004369B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29" w:type="dxa"/>
            <w:shd w:val="clear" w:color="auto" w:fill="F2F2F2"/>
          </w:tcPr>
          <w:p w14:paraId="48AD87DF" w14:textId="77777777" w:rsidR="00974765" w:rsidRPr="004369B8" w:rsidRDefault="00974765" w:rsidP="00A16D4F">
            <w:pPr>
              <w:pStyle w:val="TableHeading1"/>
              <w:rPr>
                <w:rFonts w:ascii="Times New Roman" w:hAnsi="Times New Roman" w:cs="Times New Roman"/>
              </w:rPr>
            </w:pPr>
            <w:r w:rsidRPr="004369B8">
              <w:rPr>
                <w:rFonts w:ascii="Times New Roman" w:hAnsi="Times New Roman" w:cs="Times New Roman"/>
              </w:rPr>
              <w:t>Author</w:t>
            </w:r>
          </w:p>
        </w:tc>
      </w:tr>
      <w:tr w:rsidR="00311779" w:rsidRPr="004369B8" w14:paraId="54CCEB15" w14:textId="77777777" w:rsidTr="00EE4D73">
        <w:trPr>
          <w:cantSplit/>
        </w:trPr>
        <w:tc>
          <w:tcPr>
            <w:tcW w:w="1728" w:type="dxa"/>
          </w:tcPr>
          <w:p w14:paraId="03DC8F1E" w14:textId="3E1AC998" w:rsidR="00311779" w:rsidRDefault="0031604A" w:rsidP="00EE4D73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2/18/</w:t>
            </w:r>
            <w:r w:rsidR="004F0D24">
              <w:rPr>
                <w:rFonts w:ascii="Times New Roman" w:hAnsi="Times New Roman" w:cs="Times New Roman"/>
              </w:rPr>
              <w:t>20</w:t>
            </w:r>
            <w:bookmarkStart w:id="20" w:name="_GoBack"/>
            <w:bookmarkEnd w:id="20"/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80" w:type="dxa"/>
          </w:tcPr>
          <w:p w14:paraId="3F6B1557" w14:textId="795974CE" w:rsidR="00311779" w:rsidRDefault="0031604A" w:rsidP="00EE4D73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392" w:type="dxa"/>
          </w:tcPr>
          <w:p w14:paraId="0A1E813A" w14:textId="316F7000" w:rsidR="009A0C7C" w:rsidRDefault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section ‘2.3.1. Attempt Prediction Chart Widget’</w:t>
            </w:r>
          </w:p>
        </w:tc>
        <w:tc>
          <w:tcPr>
            <w:tcW w:w="2329" w:type="dxa"/>
          </w:tcPr>
          <w:p w14:paraId="4F5040A5" w14:textId="1B2880A0" w:rsidR="00311779" w:rsidRDefault="0031604A" w:rsidP="00EE4D73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776CAE62" w14:textId="77777777" w:rsidTr="00EE4D73">
        <w:trPr>
          <w:cantSplit/>
        </w:trPr>
        <w:tc>
          <w:tcPr>
            <w:tcW w:w="1728" w:type="dxa"/>
          </w:tcPr>
          <w:p w14:paraId="59AAD160" w14:textId="6752FD1E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2/16/2016</w:t>
            </w:r>
          </w:p>
        </w:tc>
        <w:tc>
          <w:tcPr>
            <w:tcW w:w="1080" w:type="dxa"/>
          </w:tcPr>
          <w:p w14:paraId="092F2D77" w14:textId="75C5609B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392" w:type="dxa"/>
          </w:tcPr>
          <w:p w14:paraId="30180C0D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title page to reflect correct version number </w:t>
            </w:r>
          </w:p>
          <w:p w14:paraId="71EFDCAF" w14:textId="25931E60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items in sections “2.1. Defects Fixed Since Last Release” and “2.2. Remaining Defects”</w:t>
            </w:r>
          </w:p>
        </w:tc>
        <w:tc>
          <w:tcPr>
            <w:tcW w:w="2329" w:type="dxa"/>
          </w:tcPr>
          <w:p w14:paraId="19F21718" w14:textId="1800FF93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17F145C5" w14:textId="77777777" w:rsidTr="00AB5E1E">
        <w:trPr>
          <w:cantSplit/>
        </w:trPr>
        <w:tc>
          <w:tcPr>
            <w:tcW w:w="1728" w:type="dxa"/>
          </w:tcPr>
          <w:p w14:paraId="71683BB0" w14:textId="04C420E8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1/25/2016</w:t>
            </w:r>
          </w:p>
        </w:tc>
        <w:tc>
          <w:tcPr>
            <w:tcW w:w="1080" w:type="dxa"/>
          </w:tcPr>
          <w:p w14:paraId="46C6B344" w14:textId="16B40143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392" w:type="dxa"/>
          </w:tcPr>
          <w:p w14:paraId="2E62AF79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section “Defects Fixed Since Last Release”</w:t>
            </w:r>
          </w:p>
          <w:p w14:paraId="4FD819EF" w14:textId="23E144B8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sections “2.4.3. 508 Compliance – Resizing Widgets”, “2.4.4. 508 Compliance – Moving Widgets” and “2.1 Remaining Tasks”</w:t>
            </w:r>
          </w:p>
        </w:tc>
        <w:tc>
          <w:tcPr>
            <w:tcW w:w="2329" w:type="dxa"/>
          </w:tcPr>
          <w:p w14:paraId="3067C4AF" w14:textId="421BE15F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34C22C99" w14:textId="77777777" w:rsidTr="00A16D4F">
        <w:trPr>
          <w:cantSplit/>
        </w:trPr>
        <w:tc>
          <w:tcPr>
            <w:tcW w:w="1728" w:type="dxa"/>
          </w:tcPr>
          <w:p w14:paraId="161CB0AD" w14:textId="5463691B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1/20/2016</w:t>
            </w:r>
          </w:p>
        </w:tc>
        <w:tc>
          <w:tcPr>
            <w:tcW w:w="1080" w:type="dxa"/>
          </w:tcPr>
          <w:p w14:paraId="65B2AAB2" w14:textId="5DAE84E9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392" w:type="dxa"/>
          </w:tcPr>
          <w:p w14:paraId="28379C2D" w14:textId="776A2928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sections “2.2 Defects Fixed Since Last Release” and “2.3 Remaining Defects”</w:t>
            </w:r>
          </w:p>
          <w:p w14:paraId="124B644E" w14:textId="6FED0E0E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sections “2.4.2. Data Entry Widget” and “2.4.4. 508 Compliance – Moving Widgets”</w:t>
            </w:r>
          </w:p>
        </w:tc>
        <w:tc>
          <w:tcPr>
            <w:tcW w:w="2329" w:type="dxa"/>
          </w:tcPr>
          <w:p w14:paraId="7153BE8D" w14:textId="7EC487E9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23BDDF21" w14:textId="77777777" w:rsidTr="00703271">
        <w:trPr>
          <w:cantSplit/>
        </w:trPr>
        <w:tc>
          <w:tcPr>
            <w:tcW w:w="1728" w:type="dxa"/>
          </w:tcPr>
          <w:p w14:paraId="226EE0CF" w14:textId="325FD97E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12/15/2015</w:t>
            </w:r>
          </w:p>
        </w:tc>
        <w:tc>
          <w:tcPr>
            <w:tcW w:w="1080" w:type="dxa"/>
          </w:tcPr>
          <w:p w14:paraId="12B3305B" w14:textId="2227822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392" w:type="dxa"/>
          </w:tcPr>
          <w:p w14:paraId="7F52CDA6" w14:textId="6F6D8ED9" w:rsidR="0031604A" w:rsidDel="00416D7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sections “2.4 New Features”, “2.4.1 Facility Surveillance Widget”, and “2.4.2 508 Compliance – Resizing Widgets”</w:t>
            </w:r>
          </w:p>
        </w:tc>
        <w:tc>
          <w:tcPr>
            <w:tcW w:w="2329" w:type="dxa"/>
          </w:tcPr>
          <w:p w14:paraId="26A85B28" w14:textId="4B485BB7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0FCAAFF3" w14:textId="77777777" w:rsidTr="008457D7">
        <w:trPr>
          <w:cantSplit/>
        </w:trPr>
        <w:tc>
          <w:tcPr>
            <w:tcW w:w="1728" w:type="dxa"/>
          </w:tcPr>
          <w:p w14:paraId="10E640AC" w14:textId="53849978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12/10/2015</w:t>
            </w:r>
          </w:p>
        </w:tc>
        <w:tc>
          <w:tcPr>
            <w:tcW w:w="1080" w:type="dxa"/>
          </w:tcPr>
          <w:p w14:paraId="6C4BAF2B" w14:textId="6DCCC92D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392" w:type="dxa"/>
          </w:tcPr>
          <w:p w14:paraId="2E8BF6AA" w14:textId="66F0941A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2015 update and review for new features</w:t>
            </w:r>
          </w:p>
        </w:tc>
        <w:tc>
          <w:tcPr>
            <w:tcW w:w="2329" w:type="dxa"/>
          </w:tcPr>
          <w:p w14:paraId="4A829CEB" w14:textId="3CB3A9C4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Kaitlin Reskovac</w:t>
            </w:r>
          </w:p>
        </w:tc>
      </w:tr>
      <w:tr w:rsidR="0031604A" w:rsidRPr="004369B8" w14:paraId="51379446" w14:textId="77777777" w:rsidTr="008457D7">
        <w:trPr>
          <w:cantSplit/>
        </w:trPr>
        <w:tc>
          <w:tcPr>
            <w:tcW w:w="1728" w:type="dxa"/>
          </w:tcPr>
          <w:p w14:paraId="3DDBDCEE" w14:textId="585A4758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9/15/2015</w:t>
            </w:r>
          </w:p>
        </w:tc>
        <w:tc>
          <w:tcPr>
            <w:tcW w:w="1080" w:type="dxa"/>
          </w:tcPr>
          <w:p w14:paraId="36B76A15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392" w:type="dxa"/>
          </w:tcPr>
          <w:p w14:paraId="356D7661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Review</w:t>
            </w:r>
          </w:p>
        </w:tc>
        <w:tc>
          <w:tcPr>
            <w:tcW w:w="2329" w:type="dxa"/>
          </w:tcPr>
          <w:p w14:paraId="43633D68" w14:textId="77777777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Bradley/Monica Mohler</w:t>
            </w:r>
          </w:p>
        </w:tc>
      </w:tr>
      <w:tr w:rsidR="0031604A" w:rsidRPr="004369B8" w14:paraId="4578FC34" w14:textId="77777777" w:rsidTr="008457D7">
        <w:trPr>
          <w:cantSplit/>
        </w:trPr>
        <w:tc>
          <w:tcPr>
            <w:tcW w:w="1728" w:type="dxa"/>
          </w:tcPr>
          <w:p w14:paraId="24C03701" w14:textId="4D7041F6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9/13/2015</w:t>
            </w:r>
          </w:p>
        </w:tc>
        <w:tc>
          <w:tcPr>
            <w:tcW w:w="1080" w:type="dxa"/>
          </w:tcPr>
          <w:p w14:paraId="7D0AD4FC" w14:textId="669F69DC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392" w:type="dxa"/>
          </w:tcPr>
          <w:p w14:paraId="2399CD85" w14:textId="3379AADA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issue added</w:t>
            </w:r>
          </w:p>
        </w:tc>
        <w:tc>
          <w:tcPr>
            <w:tcW w:w="2329" w:type="dxa"/>
          </w:tcPr>
          <w:p w14:paraId="5E6E3876" w14:textId="642155E3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Matthew Robinson</w:t>
            </w:r>
          </w:p>
        </w:tc>
      </w:tr>
      <w:tr w:rsidR="0031604A" w:rsidRPr="004369B8" w14:paraId="15CFDBA2" w14:textId="77777777" w:rsidTr="008457D7">
        <w:trPr>
          <w:cantSplit/>
        </w:trPr>
        <w:tc>
          <w:tcPr>
            <w:tcW w:w="1728" w:type="dxa"/>
          </w:tcPr>
          <w:p w14:paraId="5C4024EF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9/11/2015</w:t>
            </w:r>
          </w:p>
        </w:tc>
        <w:tc>
          <w:tcPr>
            <w:tcW w:w="1080" w:type="dxa"/>
          </w:tcPr>
          <w:p w14:paraId="23D5C70F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392" w:type="dxa"/>
          </w:tcPr>
          <w:p w14:paraId="5B4242F2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Formatting update and peer review</w:t>
            </w:r>
          </w:p>
        </w:tc>
        <w:tc>
          <w:tcPr>
            <w:tcW w:w="2329" w:type="dxa"/>
          </w:tcPr>
          <w:p w14:paraId="180F161C" w14:textId="77777777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Matthew Robinson / Kaitlin Reskovac</w:t>
            </w:r>
          </w:p>
        </w:tc>
      </w:tr>
      <w:tr w:rsidR="0031604A" w:rsidRPr="004369B8" w14:paraId="58188691" w14:textId="77777777" w:rsidTr="008457D7">
        <w:trPr>
          <w:cantSplit/>
        </w:trPr>
        <w:tc>
          <w:tcPr>
            <w:tcW w:w="1728" w:type="dxa"/>
          </w:tcPr>
          <w:p w14:paraId="622996D0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9/11/2015</w:t>
            </w:r>
          </w:p>
        </w:tc>
        <w:tc>
          <w:tcPr>
            <w:tcW w:w="1080" w:type="dxa"/>
          </w:tcPr>
          <w:p w14:paraId="708B95E8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392" w:type="dxa"/>
          </w:tcPr>
          <w:p w14:paraId="3602D826" w14:textId="77777777" w:rsidR="0031604A" w:rsidRDefault="0031604A" w:rsidP="0031604A">
            <w:pPr>
              <w:pStyle w:val="TableText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2329" w:type="dxa"/>
          </w:tcPr>
          <w:p w14:paraId="262AEED1" w14:textId="77777777" w:rsidR="0031604A" w:rsidRDefault="0031604A" w:rsidP="0031604A">
            <w:pPr>
              <w:pStyle w:val="TableText1"/>
              <w:tabs>
                <w:tab w:val="right" w:pos="21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Jaya Rao</w:t>
            </w:r>
          </w:p>
        </w:tc>
      </w:tr>
    </w:tbl>
    <w:p w14:paraId="3FEF3CD2" w14:textId="77777777" w:rsidR="002D6E64" w:rsidRDefault="00352B19" w:rsidP="00C014DB">
      <w:pPr>
        <w:pStyle w:val="TableofContents"/>
      </w:pPr>
      <w:r w:rsidRPr="008D6A10">
        <w:br w:type="page"/>
      </w:r>
    </w:p>
    <w:sdt>
      <w:sdtPr>
        <w:rPr>
          <w:rFonts w:ascii="Times New Roman" w:hAnsi="Times New Roman"/>
          <w:b/>
          <w:bCs/>
          <w:sz w:val="24"/>
        </w:rPr>
        <w:id w:val="-85309813"/>
        <w:docPartObj>
          <w:docPartGallery w:val="Table of Contents"/>
          <w:docPartUnique/>
        </w:docPartObj>
      </w:sdtPr>
      <w:sdtEndPr>
        <w:rPr>
          <w:rFonts w:ascii="Arial" w:hAnsi="Arial" w:cs="Arial"/>
          <w:bCs w:val="0"/>
          <w:noProof/>
          <w:sz w:val="28"/>
        </w:rPr>
      </w:sdtEndPr>
      <w:sdtContent>
        <w:p w14:paraId="0BEFC827" w14:textId="77777777" w:rsidR="00200F1C" w:rsidRPr="00276C6C" w:rsidRDefault="00AB0E96" w:rsidP="005F7D97">
          <w:pPr>
            <w:pStyle w:val="TOC2"/>
            <w:tabs>
              <w:tab w:val="right" w:leader="dot" w:pos="9350"/>
            </w:tabs>
            <w:jc w:val="center"/>
            <w:rPr>
              <w:rFonts w:cs="Arial"/>
              <w:b/>
              <w:sz w:val="24"/>
            </w:rPr>
          </w:pPr>
          <w:r w:rsidRPr="00276C6C">
            <w:rPr>
              <w:rFonts w:cs="Arial"/>
              <w:b/>
              <w:sz w:val="24"/>
            </w:rPr>
            <w:t>Table of Contents</w:t>
          </w:r>
        </w:p>
        <w:p w14:paraId="3726FF32" w14:textId="77777777" w:rsidR="00276C6C" w:rsidRPr="00276C6C" w:rsidRDefault="00AB0E96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r w:rsidRPr="00276C6C">
            <w:rPr>
              <w:rFonts w:eastAsiaTheme="majorEastAsia" w:cs="Arial"/>
              <w:b/>
              <w:color w:val="000000" w:themeColor="text1"/>
              <w:sz w:val="24"/>
              <w:lang w:eastAsia="ja-JP"/>
            </w:rPr>
            <w:fldChar w:fldCharType="begin"/>
          </w:r>
          <w:r w:rsidRPr="00276C6C">
            <w:rPr>
              <w:rFonts w:cs="Arial"/>
              <w:b/>
              <w:color w:val="000000" w:themeColor="text1"/>
              <w:sz w:val="24"/>
            </w:rPr>
            <w:instrText xml:space="preserve"> TOC \o "1-3" \h \z \u </w:instrText>
          </w:r>
          <w:r w:rsidRPr="00276C6C">
            <w:rPr>
              <w:rFonts w:eastAsiaTheme="majorEastAsia" w:cs="Arial"/>
              <w:b/>
              <w:color w:val="000000" w:themeColor="text1"/>
              <w:sz w:val="24"/>
              <w:lang w:eastAsia="ja-JP"/>
            </w:rPr>
            <w:fldChar w:fldCharType="separate"/>
          </w:r>
          <w:hyperlink w:anchor="_Toc443644416" w:history="1">
            <w:r w:rsidR="00276C6C" w:rsidRPr="00276C6C">
              <w:rPr>
                <w:rStyle w:val="Hyperlink"/>
                <w:rFonts w:cs="Arial"/>
                <w:b/>
                <w:noProof/>
                <w:sz w:val="24"/>
              </w:rPr>
              <w:t>1. Introduction</w:t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_Toc443644416 \h </w:instrText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t>3</w:t>
            </w:r>
            <w:r w:rsidR="00276C6C"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6E190497" w14:textId="77777777" w:rsidR="00276C6C" w:rsidRPr="00276C6C" w:rsidRDefault="00276C6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17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1.1</w:t>
            </w:r>
            <w:r w:rsidRPr="00276C6C">
              <w:rPr>
                <w:rFonts w:eastAsiaTheme="minorEastAsia" w:cs="Arial"/>
                <w:b/>
                <w:noProof/>
                <w:sz w:val="24"/>
              </w:rPr>
              <w:tab/>
            </w:r>
            <w:r w:rsidRPr="00276C6C">
              <w:rPr>
                <w:rStyle w:val="Hyperlink"/>
                <w:rFonts w:cs="Arial"/>
                <w:b/>
                <w:noProof/>
                <w:sz w:val="24"/>
              </w:rPr>
              <w:t>Purpose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_Toc443644417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3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50D2167B" w14:textId="77777777" w:rsidR="00276C6C" w:rsidRPr="00276C6C" w:rsidRDefault="00276C6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18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1.2</w:t>
            </w:r>
            <w:r w:rsidRPr="00276C6C">
              <w:rPr>
                <w:rFonts w:eastAsiaTheme="minorEastAsia" w:cs="Arial"/>
                <w:b/>
                <w:noProof/>
                <w:sz w:val="24"/>
              </w:rPr>
              <w:tab/>
            </w:r>
            <w:r w:rsidRPr="00276C6C">
              <w:rPr>
                <w:rStyle w:val="Hyperlink"/>
                <w:rFonts w:cs="Arial"/>
                <w:b/>
                <w:noProof/>
                <w:sz w:val="24"/>
              </w:rPr>
              <w:t>Scope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_Toc443644418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3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26B54FD1" w14:textId="77777777" w:rsidR="00276C6C" w:rsidRPr="00276C6C" w:rsidRDefault="00276C6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19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1.3</w:t>
            </w:r>
            <w:r w:rsidRPr="00276C6C">
              <w:rPr>
                <w:rFonts w:eastAsiaTheme="minorEastAsia" w:cs="Arial"/>
                <w:b/>
                <w:noProof/>
                <w:sz w:val="24"/>
              </w:rPr>
              <w:tab/>
            </w:r>
            <w:r w:rsidRPr="00276C6C">
              <w:rPr>
                <w:rStyle w:val="Hyperlink"/>
                <w:rFonts w:cs="Arial"/>
                <w:b/>
                <w:noProof/>
                <w:sz w:val="24"/>
              </w:rPr>
              <w:t>Related Documents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_Toc443644419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3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14C3C451" w14:textId="77777777" w:rsidR="00276C6C" w:rsidRPr="00276C6C" w:rsidRDefault="00276C6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0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1.4</w:t>
            </w:r>
            <w:r w:rsidRPr="00276C6C">
              <w:rPr>
                <w:rFonts w:eastAsiaTheme="minorEastAsia" w:cs="Arial"/>
                <w:b/>
                <w:noProof/>
                <w:sz w:val="24"/>
              </w:rPr>
              <w:tab/>
            </w:r>
            <w:r w:rsidRPr="00276C6C">
              <w:rPr>
                <w:rStyle w:val="Hyperlink"/>
                <w:rFonts w:cs="Arial"/>
                <w:b/>
                <w:noProof/>
                <w:sz w:val="24"/>
              </w:rPr>
              <w:t>Acronyms and Definitions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_Toc443644420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3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354F2487" w14:textId="77777777" w:rsidR="00276C6C" w:rsidRPr="00276C6C" w:rsidRDefault="00276C6C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1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2. Technical Release Notes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_Toc443644421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4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3839255C" w14:textId="77777777" w:rsidR="00276C6C" w:rsidRPr="00276C6C" w:rsidRDefault="00276C6C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2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2.1 Defects Fixed Since Last Release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_Toc443644422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4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035B1DDB" w14:textId="77777777" w:rsidR="00276C6C" w:rsidRPr="00276C6C" w:rsidRDefault="00276C6C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3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2.2 Remaining Defects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_Toc443644423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7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59950F75" w14:textId="77777777" w:rsidR="00276C6C" w:rsidRPr="00276C6C" w:rsidRDefault="00276C6C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4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2.3 New Features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_Toc443644424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8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467EDE7C" w14:textId="77777777" w:rsidR="00276C6C" w:rsidRPr="00276C6C" w:rsidRDefault="00276C6C">
          <w:pPr>
            <w:pStyle w:val="TOC3"/>
            <w:tabs>
              <w:tab w:val="right" w:leader="dot" w:pos="9350"/>
            </w:tabs>
            <w:rPr>
              <w:rFonts w:eastAsiaTheme="minorEastAsia" w:cs="Arial"/>
              <w:b/>
              <w:i w:val="0"/>
              <w:iCs w:val="0"/>
              <w:noProof/>
              <w:sz w:val="24"/>
            </w:rPr>
          </w:pPr>
          <w:hyperlink w:anchor="_Toc443644425" w:history="1">
            <w:r w:rsidRPr="00C36E43">
              <w:rPr>
                <w:rStyle w:val="Hyperlink"/>
                <w:rFonts w:cs="Arial"/>
                <w:b/>
                <w:i w:val="0"/>
                <w:noProof/>
                <w:sz w:val="24"/>
              </w:rPr>
              <w:t>2.3.1. Attempt Prediction Chart Widget</w: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tab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begin"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instrText xml:space="preserve"> PAGEREF _Toc443644425 \h </w:instrTex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separate"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t>8</w: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end"/>
            </w:r>
          </w:hyperlink>
        </w:p>
        <w:p w14:paraId="0C2A12DE" w14:textId="77777777" w:rsidR="00276C6C" w:rsidRPr="00276C6C" w:rsidRDefault="00276C6C">
          <w:pPr>
            <w:pStyle w:val="TOC3"/>
            <w:tabs>
              <w:tab w:val="right" w:leader="dot" w:pos="9350"/>
            </w:tabs>
            <w:rPr>
              <w:rFonts w:eastAsiaTheme="minorEastAsia" w:cs="Arial"/>
              <w:b/>
              <w:i w:val="0"/>
              <w:iCs w:val="0"/>
              <w:noProof/>
              <w:sz w:val="24"/>
            </w:rPr>
          </w:pPr>
          <w:hyperlink w:anchor="_Toc443644426" w:history="1">
            <w:r w:rsidRPr="00C36E43">
              <w:rPr>
                <w:rStyle w:val="Hyperlink"/>
                <w:rFonts w:cs="Arial"/>
                <w:b/>
                <w:i w:val="0"/>
                <w:noProof/>
                <w:sz w:val="24"/>
              </w:rPr>
              <w:t>2.3.2. Data Entry Widget</w: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tab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begin"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instrText xml:space="preserve"> PAGEREF _Toc443644426 \h </w:instrTex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separate"/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t>9</w:t>
            </w:r>
            <w:r w:rsidRPr="00C36E43">
              <w:rPr>
                <w:rFonts w:cs="Arial"/>
                <w:b/>
                <w:i w:val="0"/>
                <w:noProof/>
                <w:webHidden/>
                <w:sz w:val="24"/>
              </w:rPr>
              <w:fldChar w:fldCharType="end"/>
            </w:r>
          </w:hyperlink>
        </w:p>
        <w:p w14:paraId="45227DA1" w14:textId="77777777" w:rsidR="00276C6C" w:rsidRPr="00276C6C" w:rsidRDefault="00276C6C">
          <w:pPr>
            <w:pStyle w:val="TOC2"/>
            <w:tabs>
              <w:tab w:val="right" w:leader="dot" w:pos="9350"/>
            </w:tabs>
            <w:rPr>
              <w:rFonts w:eastAsiaTheme="minorEastAsia" w:cs="Arial"/>
              <w:b/>
              <w:noProof/>
              <w:sz w:val="24"/>
            </w:rPr>
          </w:pPr>
          <w:hyperlink w:anchor="_Toc443644427" w:history="1">
            <w:r w:rsidRPr="00276C6C">
              <w:rPr>
                <w:rStyle w:val="Hyperlink"/>
                <w:rFonts w:cs="Arial"/>
                <w:b/>
                <w:noProof/>
                <w:sz w:val="24"/>
              </w:rPr>
              <w:t>Appendix A. Priority Definitions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ab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begin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instrText xml:space="preserve"> PAGEREF _Toc443644427 \h </w:instrText>
            </w:r>
            <w:r w:rsidRPr="00276C6C">
              <w:rPr>
                <w:rFonts w:cs="Arial"/>
                <w:b/>
                <w:noProof/>
                <w:webHidden/>
                <w:sz w:val="24"/>
              </w:rPr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separate"/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t>10</w:t>
            </w:r>
            <w:r w:rsidRPr="00276C6C">
              <w:rPr>
                <w:rFonts w:cs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6C56C2B6" w14:textId="77777777" w:rsidR="00AB0E96" w:rsidRPr="00C36E43" w:rsidRDefault="00AB0E96" w:rsidP="00276C6C">
          <w:pPr>
            <w:spacing w:after="40" w:line="276" w:lineRule="auto"/>
            <w:rPr>
              <w:rFonts w:ascii="Arial" w:hAnsi="Arial" w:cs="Arial"/>
              <w:b/>
              <w:sz w:val="28"/>
            </w:rPr>
          </w:pPr>
          <w:r w:rsidRPr="00276C6C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778AFAF" w14:textId="77777777" w:rsidR="00A37735" w:rsidRDefault="00A37735"/>
    <w:p w14:paraId="4BF8B83F" w14:textId="77777777" w:rsidR="00A37735" w:rsidRPr="00A37735" w:rsidRDefault="00A37735" w:rsidP="00A37735"/>
    <w:p w14:paraId="1FC12367" w14:textId="77777777" w:rsidR="00A37735" w:rsidRPr="00A37735" w:rsidRDefault="00A37735" w:rsidP="00A37735"/>
    <w:p w14:paraId="4F77EA14" w14:textId="77777777" w:rsidR="00A37735" w:rsidRPr="00A37735" w:rsidRDefault="00A37735" w:rsidP="00A37735"/>
    <w:p w14:paraId="465BDBEE" w14:textId="77777777" w:rsidR="00A37735" w:rsidRPr="00A37735" w:rsidRDefault="00A37735" w:rsidP="00A37735"/>
    <w:p w14:paraId="4D110B0F" w14:textId="77777777" w:rsidR="00A37735" w:rsidRPr="00A37735" w:rsidRDefault="00A37735" w:rsidP="00A37735"/>
    <w:p w14:paraId="21E210DF" w14:textId="77777777" w:rsidR="00A37735" w:rsidRPr="00A37735" w:rsidRDefault="00A37735" w:rsidP="00A37735"/>
    <w:p w14:paraId="78AE0D5B" w14:textId="77777777" w:rsidR="00A37735" w:rsidRPr="00A37735" w:rsidRDefault="00A37735" w:rsidP="00A37735"/>
    <w:p w14:paraId="48434DCD" w14:textId="77777777" w:rsidR="00A37735" w:rsidRPr="00A37735" w:rsidRDefault="00A37735" w:rsidP="00A37735"/>
    <w:p w14:paraId="590C811F" w14:textId="77777777" w:rsidR="00A37735" w:rsidRPr="00A37735" w:rsidRDefault="00A37735" w:rsidP="00A37735"/>
    <w:p w14:paraId="4FC25F52" w14:textId="77777777" w:rsidR="00A37735" w:rsidRDefault="00A37735" w:rsidP="00A37735">
      <w:pPr>
        <w:tabs>
          <w:tab w:val="left" w:pos="5391"/>
        </w:tabs>
      </w:pPr>
      <w:r>
        <w:tab/>
      </w:r>
    </w:p>
    <w:p w14:paraId="6ECFBD8E" w14:textId="77777777" w:rsidR="00DF4400" w:rsidRPr="00A37735" w:rsidRDefault="00A37735" w:rsidP="00A37735">
      <w:pPr>
        <w:tabs>
          <w:tab w:val="left" w:pos="5391"/>
        </w:tabs>
        <w:sectPr w:rsidR="00DF4400" w:rsidRPr="00A37735" w:rsidSect="00397ACC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</w:p>
    <w:p w14:paraId="32A7D896" w14:textId="77777777" w:rsidR="001E1306" w:rsidRPr="00C77F40" w:rsidRDefault="00B1503C" w:rsidP="00DC0FFB">
      <w:pPr>
        <w:pStyle w:val="Heading2"/>
        <w:rPr>
          <w:sz w:val="36"/>
          <w:szCs w:val="36"/>
        </w:rPr>
      </w:pPr>
      <w:bookmarkStart w:id="21" w:name="_Toc384326719"/>
      <w:bookmarkStart w:id="22" w:name="_Toc429743501"/>
      <w:bookmarkStart w:id="23" w:name="_Toc429743675"/>
      <w:bookmarkStart w:id="24" w:name="_Toc443644416"/>
      <w:r w:rsidRPr="00C77F40">
        <w:rPr>
          <w:i w:val="0"/>
          <w:sz w:val="36"/>
          <w:szCs w:val="36"/>
        </w:rPr>
        <w:lastRenderedPageBreak/>
        <w:t>1</w:t>
      </w:r>
      <w:r w:rsidR="00A37735">
        <w:rPr>
          <w:i w:val="0"/>
          <w:sz w:val="36"/>
          <w:szCs w:val="36"/>
        </w:rPr>
        <w:t>.</w:t>
      </w:r>
      <w:r w:rsidRPr="00C77F40">
        <w:rPr>
          <w:i w:val="0"/>
          <w:sz w:val="36"/>
          <w:szCs w:val="36"/>
        </w:rPr>
        <w:t xml:space="preserve"> </w:t>
      </w:r>
      <w:r w:rsidR="001E1306" w:rsidRPr="00C77F40">
        <w:rPr>
          <w:i w:val="0"/>
          <w:sz w:val="36"/>
          <w:szCs w:val="36"/>
        </w:rPr>
        <w:t>Introduction</w:t>
      </w:r>
      <w:bookmarkEnd w:id="21"/>
      <w:bookmarkEnd w:id="22"/>
      <w:bookmarkEnd w:id="23"/>
      <w:bookmarkEnd w:id="24"/>
    </w:p>
    <w:p w14:paraId="6C2CD0D3" w14:textId="77777777" w:rsidR="009D6F99" w:rsidRDefault="00DC0FFB" w:rsidP="00783AFF">
      <w:pPr>
        <w:pStyle w:val="NoSpacing"/>
        <w:rPr>
          <w:rFonts w:ascii="Times New Roman" w:hAnsi="Times New Roman"/>
          <w:sz w:val="24"/>
          <w:szCs w:val="24"/>
        </w:rPr>
      </w:pPr>
      <w:r w:rsidRPr="00DC0FFB">
        <w:rPr>
          <w:rFonts w:ascii="Times New Roman" w:hAnsi="Times New Roman"/>
          <w:sz w:val="24"/>
          <w:szCs w:val="24"/>
        </w:rPr>
        <w:t xml:space="preserve">The Perceptive Reach </w:t>
      </w:r>
      <w:r w:rsidR="00A37735">
        <w:rPr>
          <w:rFonts w:ascii="Times New Roman" w:hAnsi="Times New Roman"/>
          <w:sz w:val="24"/>
          <w:szCs w:val="24"/>
        </w:rPr>
        <w:t>Integrated Reach Database System (IRDS)</w:t>
      </w:r>
      <w:r w:rsidRPr="00DC0FFB">
        <w:rPr>
          <w:rFonts w:ascii="Times New Roman" w:hAnsi="Times New Roman"/>
          <w:sz w:val="24"/>
          <w:szCs w:val="24"/>
        </w:rPr>
        <w:t xml:space="preserve"> innovation project proposes to combine technology, outreach, and clinical support to realize a clinically based data-driven early intervention and treatment solution aimed at Veteran suicide prevention.</w:t>
      </w:r>
    </w:p>
    <w:p w14:paraId="0E5422CB" w14:textId="77777777" w:rsidR="00783AFF" w:rsidRDefault="00783AFF" w:rsidP="00783AFF">
      <w:pPr>
        <w:pStyle w:val="NoSpacing"/>
        <w:rPr>
          <w:rFonts w:ascii="Times New Roman" w:hAnsi="Times New Roman"/>
          <w:sz w:val="24"/>
          <w:szCs w:val="24"/>
        </w:rPr>
      </w:pPr>
    </w:p>
    <w:p w14:paraId="4CC78E34" w14:textId="5DE54199" w:rsidR="000A5AC0" w:rsidRPr="000A5AC0" w:rsidRDefault="00DC0FFB" w:rsidP="00783AF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release corresponds to</w:t>
      </w:r>
      <w:r w:rsidR="000A5AC0" w:rsidRPr="000A5A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644F8D">
        <w:rPr>
          <w:rFonts w:ascii="Times New Roman" w:hAnsi="Times New Roman"/>
          <w:sz w:val="24"/>
          <w:szCs w:val="24"/>
        </w:rPr>
        <w:t xml:space="preserve">first </w:t>
      </w:r>
      <w:r>
        <w:rPr>
          <w:rFonts w:ascii="Times New Roman" w:hAnsi="Times New Roman"/>
          <w:sz w:val="24"/>
          <w:szCs w:val="24"/>
        </w:rPr>
        <w:t>release of the Perceptive Reach Integrated Reach Database</w:t>
      </w:r>
      <w:r w:rsidR="00A37735">
        <w:rPr>
          <w:rFonts w:ascii="Times New Roman" w:hAnsi="Times New Roman"/>
          <w:sz w:val="24"/>
          <w:szCs w:val="24"/>
        </w:rPr>
        <w:t xml:space="preserve"> System </w:t>
      </w:r>
      <w:r w:rsidR="00446DDA">
        <w:rPr>
          <w:rFonts w:ascii="Times New Roman" w:hAnsi="Times New Roman"/>
          <w:sz w:val="24"/>
          <w:szCs w:val="24"/>
        </w:rPr>
        <w:t xml:space="preserve">option year </w:t>
      </w:r>
      <w:r w:rsidR="00A37735">
        <w:rPr>
          <w:rFonts w:ascii="Times New Roman" w:hAnsi="Times New Roman"/>
          <w:sz w:val="24"/>
          <w:szCs w:val="24"/>
        </w:rPr>
        <w:t xml:space="preserve">and associated </w:t>
      </w:r>
      <w:r>
        <w:rPr>
          <w:rFonts w:ascii="Times New Roman" w:hAnsi="Times New Roman"/>
          <w:sz w:val="24"/>
          <w:szCs w:val="24"/>
        </w:rPr>
        <w:t>functionalities.</w:t>
      </w:r>
    </w:p>
    <w:p w14:paraId="1EA72D2C" w14:textId="77777777" w:rsidR="001E1306" w:rsidRPr="00DC0FFB" w:rsidRDefault="001E1306" w:rsidP="00DC0FFB">
      <w:pPr>
        <w:pStyle w:val="Heading2"/>
        <w:numPr>
          <w:ilvl w:val="1"/>
          <w:numId w:val="7"/>
        </w:numPr>
        <w:ind w:left="600" w:hanging="600"/>
        <w:rPr>
          <w:i w:val="0"/>
        </w:rPr>
      </w:pPr>
      <w:bookmarkStart w:id="25" w:name="_Toc384326720"/>
      <w:bookmarkStart w:id="26" w:name="_Toc443644417"/>
      <w:r w:rsidRPr="00DC0FFB">
        <w:rPr>
          <w:i w:val="0"/>
        </w:rPr>
        <w:t>Purpose</w:t>
      </w:r>
      <w:bookmarkEnd w:id="25"/>
      <w:bookmarkEnd w:id="26"/>
    </w:p>
    <w:p w14:paraId="0E7CA104" w14:textId="0B0856D6" w:rsidR="008357E2" w:rsidRDefault="001E1306" w:rsidP="001E1306">
      <w:pPr>
        <w:pStyle w:val="BodyText"/>
      </w:pPr>
      <w:r w:rsidRPr="001E1306">
        <w:rPr>
          <w:color w:val="auto"/>
          <w:sz w:val="24"/>
          <w:szCs w:val="24"/>
        </w:rPr>
        <w:t xml:space="preserve">The purpose of this </w:t>
      </w:r>
      <w:r w:rsidR="009B3E48">
        <w:rPr>
          <w:color w:val="auto"/>
          <w:sz w:val="24"/>
          <w:szCs w:val="24"/>
        </w:rPr>
        <w:t>d</w:t>
      </w:r>
      <w:r w:rsidRPr="001E1306">
        <w:rPr>
          <w:color w:val="auto"/>
          <w:sz w:val="24"/>
          <w:szCs w:val="24"/>
        </w:rPr>
        <w:t xml:space="preserve">ocument is to identify and describe the </w:t>
      </w:r>
      <w:r w:rsidR="00A94807">
        <w:rPr>
          <w:color w:val="auto"/>
          <w:sz w:val="24"/>
          <w:szCs w:val="24"/>
        </w:rPr>
        <w:t xml:space="preserve">remaining bugs or known behaviors </w:t>
      </w:r>
      <w:r w:rsidR="009B3E48">
        <w:rPr>
          <w:color w:val="auto"/>
          <w:sz w:val="24"/>
          <w:szCs w:val="24"/>
        </w:rPr>
        <w:t>in</w:t>
      </w:r>
      <w:r w:rsidRPr="001E1306">
        <w:rPr>
          <w:color w:val="auto"/>
          <w:sz w:val="24"/>
          <w:szCs w:val="24"/>
        </w:rPr>
        <w:t xml:space="preserve"> </w:t>
      </w:r>
      <w:r w:rsidR="00A94807">
        <w:rPr>
          <w:color w:val="auto"/>
          <w:sz w:val="24"/>
          <w:szCs w:val="24"/>
        </w:rPr>
        <w:t>the Perceptive Reach IRDS</w:t>
      </w:r>
      <w:r w:rsidR="009B3E48">
        <w:rPr>
          <w:color w:val="auto"/>
          <w:sz w:val="24"/>
          <w:szCs w:val="24"/>
        </w:rPr>
        <w:t xml:space="preserve"> </w:t>
      </w:r>
      <w:r w:rsidRPr="001E1306">
        <w:rPr>
          <w:color w:val="auto"/>
          <w:sz w:val="24"/>
          <w:szCs w:val="24"/>
        </w:rPr>
        <w:t>software</w:t>
      </w:r>
      <w:r w:rsidR="00A37735">
        <w:rPr>
          <w:color w:val="auto"/>
          <w:sz w:val="24"/>
          <w:szCs w:val="24"/>
        </w:rPr>
        <w:t xml:space="preserve">. </w:t>
      </w:r>
      <w:r w:rsidR="00A94807">
        <w:rPr>
          <w:color w:val="auto"/>
          <w:sz w:val="24"/>
          <w:szCs w:val="24"/>
        </w:rPr>
        <w:t xml:space="preserve">It summarizes the defects remaining as of </w:t>
      </w:r>
      <w:r w:rsidR="00B62C5F">
        <w:rPr>
          <w:color w:val="auto"/>
          <w:sz w:val="24"/>
          <w:szCs w:val="24"/>
        </w:rPr>
        <w:t>December</w:t>
      </w:r>
      <w:r w:rsidR="00A94807">
        <w:rPr>
          <w:color w:val="auto"/>
          <w:sz w:val="24"/>
          <w:szCs w:val="24"/>
        </w:rPr>
        <w:t xml:space="preserve"> 2015</w:t>
      </w:r>
      <w:r w:rsidR="00A37735">
        <w:rPr>
          <w:color w:val="auto"/>
          <w:sz w:val="24"/>
          <w:szCs w:val="24"/>
        </w:rPr>
        <w:t xml:space="preserve">. Reference the documents listed in </w:t>
      </w:r>
      <w:hyperlink w:anchor="_Related_Documents" w:history="1">
        <w:r w:rsidR="00A37735" w:rsidRPr="00A37735">
          <w:rPr>
            <w:rStyle w:val="Hyperlink"/>
            <w:sz w:val="24"/>
            <w:szCs w:val="24"/>
          </w:rPr>
          <w:t>Section 1.3</w:t>
        </w:r>
      </w:hyperlink>
      <w:r w:rsidR="00A37735">
        <w:rPr>
          <w:color w:val="auto"/>
          <w:sz w:val="24"/>
          <w:szCs w:val="24"/>
        </w:rPr>
        <w:t xml:space="preserve"> for a full summary of the features and functionality included in this release. </w:t>
      </w:r>
    </w:p>
    <w:p w14:paraId="5E39DA7D" w14:textId="77777777" w:rsidR="001E1306" w:rsidRPr="00DC0FFB" w:rsidRDefault="001E1306" w:rsidP="00DC0FFB">
      <w:pPr>
        <w:pStyle w:val="Heading2"/>
        <w:numPr>
          <w:ilvl w:val="1"/>
          <w:numId w:val="7"/>
        </w:numPr>
        <w:ind w:left="600" w:hanging="600"/>
        <w:rPr>
          <w:i w:val="0"/>
        </w:rPr>
      </w:pPr>
      <w:bookmarkStart w:id="27" w:name="_Toc384326721"/>
      <w:bookmarkStart w:id="28" w:name="_Toc443644418"/>
      <w:r w:rsidRPr="00DC0FFB">
        <w:rPr>
          <w:i w:val="0"/>
        </w:rPr>
        <w:t>Scope</w:t>
      </w:r>
      <w:bookmarkEnd w:id="27"/>
      <w:bookmarkEnd w:id="28"/>
    </w:p>
    <w:p w14:paraId="6C7FC48D" w14:textId="590C24C5" w:rsidR="00C14EAD" w:rsidRDefault="00EB53C9" w:rsidP="007D5017">
      <w:r>
        <w:t xml:space="preserve">The scope of this release </w:t>
      </w:r>
      <w:r>
        <w:rPr>
          <w:rFonts w:eastAsia="Calibri"/>
        </w:rPr>
        <w:t>includes</w:t>
      </w:r>
      <w:r w:rsidR="00117842">
        <w:t xml:space="preserve"> </w:t>
      </w:r>
      <w:r w:rsidR="00E25B6C">
        <w:t>the initial development effort</w:t>
      </w:r>
      <w:r w:rsidR="00446DDA">
        <w:t xml:space="preserve"> of the Perceptive Reach option year</w:t>
      </w:r>
      <w:r w:rsidR="00E25B6C">
        <w:t xml:space="preserve">, which spans Atlassian JIRA tickets from requirements and conceptualizing through </w:t>
      </w:r>
      <w:r w:rsidR="00446DDA">
        <w:t xml:space="preserve">508 compliance remediation </w:t>
      </w:r>
      <w:r w:rsidR="00E25B6C">
        <w:t xml:space="preserve">and release.  </w:t>
      </w:r>
    </w:p>
    <w:p w14:paraId="7CA43893" w14:textId="6F3D113D" w:rsidR="00DF4400" w:rsidRPr="000A27F9" w:rsidRDefault="00DF4400" w:rsidP="0047378B">
      <w:pPr>
        <w:pStyle w:val="Heading2"/>
        <w:numPr>
          <w:ilvl w:val="1"/>
          <w:numId w:val="7"/>
        </w:numPr>
        <w:ind w:left="600" w:hanging="600"/>
        <w:rPr>
          <w:i w:val="0"/>
        </w:rPr>
      </w:pPr>
      <w:bookmarkStart w:id="29" w:name="_Related_Documents"/>
      <w:bookmarkStart w:id="30" w:name="_Toc272918736"/>
      <w:bookmarkStart w:id="31" w:name="_Toc272408579"/>
      <w:bookmarkStart w:id="32" w:name="_Toc387220233"/>
      <w:bookmarkStart w:id="33" w:name="_Toc443644419"/>
      <w:bookmarkEnd w:id="29"/>
      <w:r w:rsidRPr="000A27F9">
        <w:rPr>
          <w:i w:val="0"/>
        </w:rPr>
        <w:t>Related Documents</w:t>
      </w:r>
      <w:bookmarkEnd w:id="30"/>
      <w:bookmarkEnd w:id="31"/>
      <w:bookmarkEnd w:id="32"/>
      <w:bookmarkEnd w:id="33"/>
    </w:p>
    <w:p w14:paraId="431B5A36" w14:textId="77777777" w:rsidR="00E25B6C" w:rsidRPr="00E25B6C" w:rsidRDefault="00E25B6C" w:rsidP="00E25B6C">
      <w:pPr>
        <w:spacing w:before="120" w:after="120"/>
        <w:rPr>
          <w:szCs w:val="20"/>
        </w:rPr>
      </w:pPr>
      <w:r w:rsidRPr="00E25B6C">
        <w:rPr>
          <w:szCs w:val="20"/>
        </w:rPr>
        <w:t xml:space="preserve">The documentation for the </w:t>
      </w:r>
      <w:r w:rsidR="006410F5">
        <w:rPr>
          <w:szCs w:val="20"/>
        </w:rPr>
        <w:t>Department of Veterans Affairs (</w:t>
      </w:r>
      <w:r w:rsidRPr="00E25B6C">
        <w:rPr>
          <w:szCs w:val="20"/>
        </w:rPr>
        <w:t>VA</w:t>
      </w:r>
      <w:r w:rsidR="006410F5">
        <w:rPr>
          <w:szCs w:val="20"/>
        </w:rPr>
        <w:t>)</w:t>
      </w:r>
      <w:r w:rsidRPr="00E25B6C">
        <w:rPr>
          <w:szCs w:val="20"/>
        </w:rPr>
        <w:t xml:space="preserve"> Perceptive Reach Integrated Reach Database System includes:</w:t>
      </w:r>
    </w:p>
    <w:p w14:paraId="0B60985F" w14:textId="77777777" w:rsidR="00E25B6C" w:rsidRPr="00E25B6C" w:rsidRDefault="00E25B6C" w:rsidP="00E25B6C">
      <w:pPr>
        <w:numPr>
          <w:ilvl w:val="0"/>
          <w:numId w:val="15"/>
        </w:numPr>
        <w:spacing w:before="120" w:after="120" w:line="276" w:lineRule="auto"/>
        <w:rPr>
          <w:szCs w:val="20"/>
        </w:rPr>
      </w:pPr>
      <w:r w:rsidRPr="00E25B6C">
        <w:rPr>
          <w:b/>
          <w:szCs w:val="20"/>
        </w:rPr>
        <w:t>Perceptive Reach Installation Guide</w:t>
      </w:r>
      <w:r w:rsidR="00A37735">
        <w:rPr>
          <w:szCs w:val="20"/>
        </w:rPr>
        <w:t xml:space="preserve">: </w:t>
      </w:r>
      <w:r w:rsidRPr="00E25B6C">
        <w:rPr>
          <w:szCs w:val="20"/>
        </w:rPr>
        <w:t>Provides detailed instructions for setting up, installing, and configuring Perceptive Reach on VA servers. Its intended audience includes ser</w:t>
      </w:r>
      <w:r w:rsidR="00B110D4">
        <w:rPr>
          <w:szCs w:val="20"/>
        </w:rPr>
        <w:t>ver administrators</w:t>
      </w:r>
      <w:r w:rsidRPr="00E25B6C">
        <w:rPr>
          <w:szCs w:val="20"/>
        </w:rPr>
        <w:t xml:space="preserve"> and AngularJS application developers.</w:t>
      </w:r>
    </w:p>
    <w:p w14:paraId="13C22452" w14:textId="77777777" w:rsidR="00E25B6C" w:rsidRPr="00E25B6C" w:rsidRDefault="00A37735" w:rsidP="00E25B6C">
      <w:pPr>
        <w:numPr>
          <w:ilvl w:val="0"/>
          <w:numId w:val="15"/>
        </w:numPr>
        <w:spacing w:before="120" w:after="120" w:line="276" w:lineRule="auto"/>
        <w:rPr>
          <w:szCs w:val="20"/>
        </w:rPr>
      </w:pPr>
      <w:r>
        <w:rPr>
          <w:b/>
          <w:szCs w:val="20"/>
        </w:rPr>
        <w:t xml:space="preserve">Perceptive Reach </w:t>
      </w:r>
      <w:r w:rsidR="00E25B6C" w:rsidRPr="00E25B6C">
        <w:rPr>
          <w:b/>
          <w:szCs w:val="20"/>
        </w:rPr>
        <w:t>System Design Document</w:t>
      </w:r>
      <w:r w:rsidR="00E25B6C" w:rsidRPr="00E25B6C">
        <w:rPr>
          <w:szCs w:val="20"/>
        </w:rPr>
        <w:t>: Contains detailed information on the design considerations as well as architecture for VA Perceptive Reach</w:t>
      </w:r>
      <w:r>
        <w:rPr>
          <w:szCs w:val="20"/>
        </w:rPr>
        <w:t xml:space="preserve"> and related applications</w:t>
      </w:r>
      <w:r w:rsidR="00E25B6C" w:rsidRPr="00E25B6C">
        <w:rPr>
          <w:szCs w:val="20"/>
        </w:rPr>
        <w:t xml:space="preserve">. </w:t>
      </w:r>
    </w:p>
    <w:p w14:paraId="19F80CEC" w14:textId="77777777" w:rsidR="00E25B6C" w:rsidRDefault="00E25B6C" w:rsidP="00E25B6C">
      <w:pPr>
        <w:numPr>
          <w:ilvl w:val="0"/>
          <w:numId w:val="14"/>
        </w:numPr>
        <w:spacing w:before="120" w:after="120" w:line="276" w:lineRule="auto"/>
        <w:rPr>
          <w:szCs w:val="20"/>
        </w:rPr>
      </w:pPr>
      <w:r w:rsidRPr="00E25B6C">
        <w:rPr>
          <w:b/>
          <w:szCs w:val="20"/>
        </w:rPr>
        <w:t>Perce</w:t>
      </w:r>
      <w:r w:rsidR="00A37735">
        <w:rPr>
          <w:b/>
          <w:szCs w:val="20"/>
        </w:rPr>
        <w:t xml:space="preserve">ptive Reach </w:t>
      </w:r>
      <w:r w:rsidRPr="00E25B6C">
        <w:rPr>
          <w:b/>
          <w:szCs w:val="20"/>
        </w:rPr>
        <w:t>Developer Guide</w:t>
      </w:r>
      <w:r w:rsidR="000A27F9">
        <w:rPr>
          <w:szCs w:val="20"/>
        </w:rPr>
        <w:t xml:space="preserve">: </w:t>
      </w:r>
      <w:r w:rsidRPr="00E25B6C">
        <w:rPr>
          <w:szCs w:val="20"/>
        </w:rPr>
        <w:t>Contains detailed information about workstation setup, authentication, continuous integration,</w:t>
      </w:r>
      <w:r w:rsidR="0047378B">
        <w:rPr>
          <w:szCs w:val="20"/>
        </w:rPr>
        <w:t xml:space="preserve"> </w:t>
      </w:r>
      <w:r w:rsidRPr="00E25B6C">
        <w:rPr>
          <w:szCs w:val="20"/>
        </w:rPr>
        <w:t xml:space="preserve">JIRA, </w:t>
      </w:r>
      <w:r w:rsidR="00B110D4">
        <w:rPr>
          <w:szCs w:val="20"/>
        </w:rPr>
        <w:t>Structured Query Language (</w:t>
      </w:r>
      <w:r w:rsidRPr="00E25B6C">
        <w:rPr>
          <w:szCs w:val="20"/>
        </w:rPr>
        <w:t>SQL</w:t>
      </w:r>
      <w:r w:rsidR="00B110D4">
        <w:rPr>
          <w:szCs w:val="20"/>
        </w:rPr>
        <w:t>)</w:t>
      </w:r>
      <w:r w:rsidRPr="00E25B6C">
        <w:rPr>
          <w:szCs w:val="20"/>
        </w:rPr>
        <w:t xml:space="preserve"> Server, and code base details. </w:t>
      </w:r>
    </w:p>
    <w:p w14:paraId="5C1476E0" w14:textId="77777777" w:rsidR="00A37735" w:rsidRDefault="00A37735" w:rsidP="00E25B6C">
      <w:pPr>
        <w:numPr>
          <w:ilvl w:val="0"/>
          <w:numId w:val="14"/>
        </w:numPr>
        <w:spacing w:before="120" w:after="120" w:line="276" w:lineRule="auto"/>
        <w:rPr>
          <w:szCs w:val="20"/>
        </w:rPr>
      </w:pPr>
      <w:r>
        <w:rPr>
          <w:b/>
          <w:szCs w:val="20"/>
        </w:rPr>
        <w:t xml:space="preserve">Perceptive Reach </w:t>
      </w:r>
      <w:r w:rsidR="00B110D4">
        <w:rPr>
          <w:b/>
          <w:szCs w:val="20"/>
        </w:rPr>
        <w:t>User Manual</w:t>
      </w:r>
      <w:r w:rsidR="00B110D4">
        <w:t xml:space="preserve">: Describes all end user-facing features of the application and underlying functionality. </w:t>
      </w:r>
    </w:p>
    <w:p w14:paraId="1821519C" w14:textId="77777777" w:rsidR="000A27F9" w:rsidRPr="00B110D4" w:rsidRDefault="00B110D4" w:rsidP="00E25B6C">
      <w:pPr>
        <w:numPr>
          <w:ilvl w:val="0"/>
          <w:numId w:val="14"/>
        </w:numPr>
        <w:spacing w:before="120" w:after="120" w:line="276" w:lineRule="auto"/>
        <w:rPr>
          <w:szCs w:val="20"/>
        </w:rPr>
      </w:pPr>
      <w:r>
        <w:rPr>
          <w:b/>
          <w:szCs w:val="20"/>
        </w:rPr>
        <w:t xml:space="preserve">Perceptive Reach </w:t>
      </w:r>
      <w:r w:rsidR="000A27F9" w:rsidRPr="0058008D">
        <w:rPr>
          <w:b/>
          <w:szCs w:val="20"/>
        </w:rPr>
        <w:t>Release Notes</w:t>
      </w:r>
      <w:r>
        <w:rPr>
          <w:b/>
          <w:szCs w:val="20"/>
        </w:rPr>
        <w:t xml:space="preserve"> </w:t>
      </w:r>
      <w:r>
        <w:t>(this document)</w:t>
      </w:r>
      <w:r w:rsidR="000A27F9" w:rsidRPr="00B110D4">
        <w:rPr>
          <w:szCs w:val="20"/>
        </w:rPr>
        <w:t>:</w:t>
      </w:r>
      <w:r w:rsidR="000A27F9">
        <w:rPr>
          <w:i/>
          <w:szCs w:val="20"/>
        </w:rPr>
        <w:t xml:space="preserve"> </w:t>
      </w:r>
      <w:r w:rsidR="000A27F9" w:rsidRPr="00B110D4">
        <w:rPr>
          <w:szCs w:val="20"/>
        </w:rPr>
        <w:t>Contains detailed information about the scope of this release and remaining defects slated for resolution in the next release.</w:t>
      </w:r>
    </w:p>
    <w:p w14:paraId="5144862B" w14:textId="77777777" w:rsidR="0090623F" w:rsidRPr="003901C7" w:rsidRDefault="0090623F" w:rsidP="003901C7">
      <w:pPr>
        <w:pStyle w:val="Heading2"/>
        <w:numPr>
          <w:ilvl w:val="1"/>
          <w:numId w:val="7"/>
        </w:numPr>
        <w:ind w:left="600" w:hanging="600"/>
        <w:rPr>
          <w:i w:val="0"/>
        </w:rPr>
      </w:pPr>
      <w:bookmarkStart w:id="34" w:name="_Toc443644420"/>
      <w:r w:rsidRPr="00B1503C">
        <w:rPr>
          <w:rStyle w:val="Heading2Char"/>
          <w:b/>
        </w:rPr>
        <w:t>Acronyms and Definitions</w:t>
      </w:r>
      <w:bookmarkEnd w:id="34"/>
    </w:p>
    <w:p w14:paraId="4CDBF7D0" w14:textId="77777777" w:rsidR="00DF4400" w:rsidRPr="003901C7" w:rsidRDefault="00DF4400">
      <w:pPr>
        <w:rPr>
          <w:b/>
        </w:rPr>
      </w:pPr>
    </w:p>
    <w:p w14:paraId="515981F5" w14:textId="18E54DF8" w:rsidR="00A6303E" w:rsidRPr="003274BC" w:rsidRDefault="00A6303E" w:rsidP="003274BC">
      <w:pPr>
        <w:pStyle w:val="Caption"/>
        <w:keepNext/>
        <w:jc w:val="center"/>
        <w:rPr>
          <w:rFonts w:ascii="Arial" w:hAnsi="Arial" w:cs="Arial"/>
          <w:b/>
          <w:i w:val="0"/>
          <w:color w:val="auto"/>
          <w:sz w:val="22"/>
        </w:rPr>
      </w:pPr>
      <w:r w:rsidRPr="003274BC">
        <w:rPr>
          <w:rFonts w:ascii="Arial" w:hAnsi="Arial" w:cs="Arial"/>
          <w:b/>
          <w:i w:val="0"/>
          <w:color w:val="auto"/>
          <w:sz w:val="22"/>
        </w:rPr>
        <w:lastRenderedPageBreak/>
        <w:t xml:space="preserve">Table </w:t>
      </w:r>
      <w:r w:rsidRPr="003274BC">
        <w:rPr>
          <w:rFonts w:ascii="Arial" w:hAnsi="Arial" w:cs="Arial"/>
          <w:b/>
          <w:i w:val="0"/>
          <w:color w:val="auto"/>
          <w:sz w:val="22"/>
        </w:rPr>
        <w:fldChar w:fldCharType="begin"/>
      </w:r>
      <w:r w:rsidRPr="003274BC">
        <w:rPr>
          <w:rFonts w:ascii="Arial" w:hAnsi="Arial" w:cs="Arial"/>
          <w:b/>
          <w:i w:val="0"/>
          <w:color w:val="auto"/>
          <w:sz w:val="22"/>
        </w:rPr>
        <w:instrText xml:space="preserve"> SEQ Table \* ARABIC </w:instrText>
      </w:r>
      <w:r w:rsidRPr="003274BC">
        <w:rPr>
          <w:rFonts w:ascii="Arial" w:hAnsi="Arial" w:cs="Arial"/>
          <w:b/>
          <w:i w:val="0"/>
          <w:color w:val="auto"/>
          <w:sz w:val="22"/>
        </w:rPr>
        <w:fldChar w:fldCharType="separate"/>
      </w:r>
      <w:r w:rsidR="00AB05B8">
        <w:rPr>
          <w:rFonts w:ascii="Arial" w:hAnsi="Arial" w:cs="Arial"/>
          <w:b/>
          <w:i w:val="0"/>
          <w:noProof/>
          <w:color w:val="auto"/>
          <w:sz w:val="22"/>
        </w:rPr>
        <w:t>1</w:t>
      </w:r>
      <w:r w:rsidRPr="003274BC">
        <w:rPr>
          <w:rFonts w:ascii="Arial" w:hAnsi="Arial" w:cs="Arial"/>
          <w:b/>
          <w:i w:val="0"/>
          <w:color w:val="auto"/>
          <w:sz w:val="22"/>
        </w:rPr>
        <w:fldChar w:fldCharType="end"/>
      </w:r>
      <w:r w:rsidRPr="003274BC">
        <w:rPr>
          <w:rFonts w:ascii="Arial" w:hAnsi="Arial" w:cs="Arial"/>
          <w:b/>
          <w:i w:val="0"/>
          <w:color w:val="auto"/>
          <w:sz w:val="22"/>
        </w:rPr>
        <w:t>: Acronyms and Definitions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7465"/>
      </w:tblGrid>
      <w:tr w:rsidR="00DF4400" w:rsidRPr="00E16E37" w14:paraId="0D106673" w14:textId="77777777" w:rsidTr="00081659">
        <w:tc>
          <w:tcPr>
            <w:tcW w:w="1908" w:type="dxa"/>
            <w:shd w:val="pct5" w:color="auto" w:fill="auto"/>
          </w:tcPr>
          <w:p w14:paraId="2DBEB863" w14:textId="77777777" w:rsidR="00DF4400" w:rsidRPr="00E16E37" w:rsidRDefault="00352B19">
            <w:pPr>
              <w:rPr>
                <w:rStyle w:val="TABLEHEADING"/>
                <w:rFonts w:ascii="Times New Roman" w:hAnsi="Times New Roman"/>
                <w:sz w:val="24"/>
              </w:rPr>
            </w:pPr>
            <w:r w:rsidRPr="00E16E37">
              <w:rPr>
                <w:rStyle w:val="TABLEHEADING"/>
                <w:rFonts w:ascii="Times New Roman" w:hAnsi="Times New Roman"/>
                <w:sz w:val="24"/>
              </w:rPr>
              <w:t>Acronym</w:t>
            </w:r>
          </w:p>
        </w:tc>
        <w:tc>
          <w:tcPr>
            <w:tcW w:w="7650" w:type="dxa"/>
            <w:shd w:val="pct5" w:color="auto" w:fill="auto"/>
          </w:tcPr>
          <w:p w14:paraId="08B46EEE" w14:textId="77777777" w:rsidR="00DF4400" w:rsidRPr="00E16E37" w:rsidRDefault="00352B19">
            <w:pPr>
              <w:rPr>
                <w:rStyle w:val="TABLEHEADING"/>
                <w:rFonts w:ascii="Times New Roman" w:hAnsi="Times New Roman"/>
                <w:sz w:val="24"/>
              </w:rPr>
            </w:pPr>
            <w:r w:rsidRPr="00E16E37">
              <w:rPr>
                <w:rStyle w:val="TABLEHEADING"/>
                <w:rFonts w:ascii="Times New Roman" w:hAnsi="Times New Roman"/>
                <w:sz w:val="24"/>
              </w:rPr>
              <w:t>Description</w:t>
            </w:r>
          </w:p>
        </w:tc>
      </w:tr>
      <w:tr w:rsidR="006410F5" w:rsidRPr="00E16E37" w14:paraId="7683C15E" w14:textId="77777777">
        <w:tc>
          <w:tcPr>
            <w:tcW w:w="1908" w:type="dxa"/>
          </w:tcPr>
          <w:p w14:paraId="4936EFEA" w14:textId="77777777" w:rsidR="006410F5" w:rsidRDefault="006410F5">
            <w:pPr>
              <w:pStyle w:val="TABLEROW"/>
              <w:rPr>
                <w:bCs/>
                <w:sz w:val="24"/>
              </w:rPr>
            </w:pPr>
            <w:r>
              <w:rPr>
                <w:bCs/>
                <w:sz w:val="24"/>
              </w:rPr>
              <w:t>CDW</w:t>
            </w:r>
          </w:p>
        </w:tc>
        <w:tc>
          <w:tcPr>
            <w:tcW w:w="7650" w:type="dxa"/>
          </w:tcPr>
          <w:p w14:paraId="5B9ECF4E" w14:textId="77777777" w:rsidR="006410F5" w:rsidRDefault="006410F5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Corporate Data Warehouse</w:t>
            </w:r>
          </w:p>
        </w:tc>
      </w:tr>
      <w:tr w:rsidR="00D0788D" w:rsidRPr="00E16E37" w14:paraId="62C6560C" w14:textId="77777777">
        <w:tc>
          <w:tcPr>
            <w:tcW w:w="1908" w:type="dxa"/>
          </w:tcPr>
          <w:p w14:paraId="124F6936" w14:textId="669B8466" w:rsidR="00D0788D" w:rsidRDefault="00D0788D">
            <w:pPr>
              <w:pStyle w:val="TABLEROW"/>
              <w:rPr>
                <w:bCs/>
                <w:sz w:val="24"/>
              </w:rPr>
            </w:pPr>
            <w:r>
              <w:rPr>
                <w:bCs/>
                <w:sz w:val="24"/>
              </w:rPr>
              <w:t>EUT</w:t>
            </w:r>
          </w:p>
        </w:tc>
        <w:tc>
          <w:tcPr>
            <w:tcW w:w="7650" w:type="dxa"/>
          </w:tcPr>
          <w:p w14:paraId="0B840527" w14:textId="04464E7C" w:rsidR="00D0788D" w:rsidRDefault="00D0788D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End User Testing</w:t>
            </w:r>
          </w:p>
        </w:tc>
      </w:tr>
      <w:tr w:rsidR="00B110D4" w:rsidRPr="00E16E37" w14:paraId="53596093" w14:textId="77777777">
        <w:tc>
          <w:tcPr>
            <w:tcW w:w="1908" w:type="dxa"/>
          </w:tcPr>
          <w:p w14:paraId="379E31C7" w14:textId="77777777" w:rsidR="00B110D4" w:rsidRPr="00AA1216" w:rsidRDefault="00B110D4">
            <w:pPr>
              <w:pStyle w:val="TABLEROW"/>
              <w:rPr>
                <w:bCs/>
                <w:sz w:val="24"/>
              </w:rPr>
            </w:pPr>
            <w:r>
              <w:rPr>
                <w:bCs/>
                <w:sz w:val="24"/>
              </w:rPr>
              <w:t>IRDS</w:t>
            </w:r>
          </w:p>
        </w:tc>
        <w:tc>
          <w:tcPr>
            <w:tcW w:w="7650" w:type="dxa"/>
          </w:tcPr>
          <w:p w14:paraId="4AE8783C" w14:textId="77777777" w:rsidR="00B110D4" w:rsidRPr="00AA1216" w:rsidRDefault="00B110D4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Integrated Reach Database System</w:t>
            </w:r>
          </w:p>
        </w:tc>
      </w:tr>
      <w:tr w:rsidR="006410F5" w:rsidRPr="00E16E37" w14:paraId="6691C907" w14:textId="77777777">
        <w:tc>
          <w:tcPr>
            <w:tcW w:w="1908" w:type="dxa"/>
          </w:tcPr>
          <w:p w14:paraId="26DACBE2" w14:textId="77777777" w:rsidR="006410F5" w:rsidRDefault="006410F5">
            <w:pPr>
              <w:pStyle w:val="TABLEROW"/>
              <w:rPr>
                <w:bCs/>
                <w:sz w:val="24"/>
              </w:rPr>
            </w:pPr>
            <w:r>
              <w:rPr>
                <w:bCs/>
                <w:sz w:val="24"/>
              </w:rPr>
              <w:t>SPC</w:t>
            </w:r>
          </w:p>
        </w:tc>
        <w:tc>
          <w:tcPr>
            <w:tcW w:w="7650" w:type="dxa"/>
          </w:tcPr>
          <w:p w14:paraId="32CC66D5" w14:textId="77777777" w:rsidR="006410F5" w:rsidRDefault="006410F5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Suicide Prevention Coordinator</w:t>
            </w:r>
          </w:p>
        </w:tc>
      </w:tr>
      <w:tr w:rsidR="00B110D4" w:rsidRPr="00E16E37" w14:paraId="3AA7801F" w14:textId="77777777">
        <w:tc>
          <w:tcPr>
            <w:tcW w:w="1908" w:type="dxa"/>
          </w:tcPr>
          <w:p w14:paraId="01D9EE9C" w14:textId="77777777" w:rsidR="00B110D4" w:rsidRDefault="00B110D4">
            <w:pPr>
              <w:pStyle w:val="TABLEROW"/>
              <w:rPr>
                <w:bCs/>
                <w:sz w:val="24"/>
              </w:rPr>
            </w:pPr>
            <w:r>
              <w:rPr>
                <w:bCs/>
                <w:sz w:val="24"/>
              </w:rPr>
              <w:t>SQL</w:t>
            </w:r>
          </w:p>
        </w:tc>
        <w:tc>
          <w:tcPr>
            <w:tcW w:w="7650" w:type="dxa"/>
          </w:tcPr>
          <w:p w14:paraId="20A37AB7" w14:textId="77777777" w:rsidR="00B110D4" w:rsidRDefault="00B110D4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 xml:space="preserve">Structured Query Language </w:t>
            </w:r>
          </w:p>
        </w:tc>
      </w:tr>
      <w:tr w:rsidR="0090623F" w:rsidRPr="00E16E37" w14:paraId="140152CB" w14:textId="77777777">
        <w:tc>
          <w:tcPr>
            <w:tcW w:w="1908" w:type="dxa"/>
          </w:tcPr>
          <w:p w14:paraId="6C4519B4" w14:textId="77777777" w:rsidR="0090623F" w:rsidRPr="00E16E37" w:rsidRDefault="0090623F">
            <w:pPr>
              <w:pStyle w:val="TABLEROW"/>
              <w:rPr>
                <w:sz w:val="24"/>
              </w:rPr>
            </w:pPr>
            <w:r w:rsidRPr="00E16E37">
              <w:rPr>
                <w:sz w:val="24"/>
              </w:rPr>
              <w:t>VA</w:t>
            </w:r>
          </w:p>
        </w:tc>
        <w:tc>
          <w:tcPr>
            <w:tcW w:w="7650" w:type="dxa"/>
          </w:tcPr>
          <w:p w14:paraId="31F80C6C" w14:textId="77777777" w:rsidR="0090623F" w:rsidRPr="00E16E37" w:rsidRDefault="006410F5" w:rsidP="008450D7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 xml:space="preserve">Department of </w:t>
            </w:r>
            <w:r w:rsidR="0090623F" w:rsidRPr="00E16E37">
              <w:rPr>
                <w:sz w:val="24"/>
              </w:rPr>
              <w:t>Veterans Affairs</w:t>
            </w:r>
          </w:p>
        </w:tc>
      </w:tr>
      <w:tr w:rsidR="000E2173" w:rsidRPr="00E16E37" w14:paraId="73F95CBD" w14:textId="77777777">
        <w:tc>
          <w:tcPr>
            <w:tcW w:w="1908" w:type="dxa"/>
          </w:tcPr>
          <w:p w14:paraId="7421CFB3" w14:textId="4067A204" w:rsidR="000E2173" w:rsidRPr="00E16E37" w:rsidRDefault="000E2173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VAMC</w:t>
            </w:r>
          </w:p>
        </w:tc>
        <w:tc>
          <w:tcPr>
            <w:tcW w:w="7650" w:type="dxa"/>
          </w:tcPr>
          <w:p w14:paraId="5029F06D" w14:textId="62BF47E5" w:rsidR="000E2173" w:rsidRDefault="000E2173" w:rsidP="008450D7">
            <w:pPr>
              <w:pStyle w:val="TABLEROW"/>
              <w:rPr>
                <w:sz w:val="24"/>
              </w:rPr>
            </w:pPr>
            <w:r>
              <w:rPr>
                <w:sz w:val="24"/>
              </w:rPr>
              <w:t>VA Medical Center</w:t>
            </w:r>
          </w:p>
        </w:tc>
      </w:tr>
      <w:tr w:rsidR="0090623F" w:rsidRPr="00E16E37" w14:paraId="5F179B7F" w14:textId="77777777">
        <w:tc>
          <w:tcPr>
            <w:tcW w:w="1908" w:type="dxa"/>
          </w:tcPr>
          <w:p w14:paraId="11D1FB22" w14:textId="77777777" w:rsidR="0090623F" w:rsidRPr="00AA1216" w:rsidRDefault="0090623F">
            <w:pPr>
              <w:pStyle w:val="TABLEROW"/>
              <w:rPr>
                <w:sz w:val="24"/>
              </w:rPr>
            </w:pPr>
            <w:r w:rsidRPr="00AA1216">
              <w:rPr>
                <w:sz w:val="24"/>
              </w:rPr>
              <w:t>VHA</w:t>
            </w:r>
          </w:p>
        </w:tc>
        <w:tc>
          <w:tcPr>
            <w:tcW w:w="7650" w:type="dxa"/>
          </w:tcPr>
          <w:p w14:paraId="3F9C0278" w14:textId="77777777" w:rsidR="0090623F" w:rsidRPr="00AA1216" w:rsidRDefault="0090623F">
            <w:pPr>
              <w:pStyle w:val="TABLEROW"/>
              <w:rPr>
                <w:sz w:val="24"/>
              </w:rPr>
            </w:pPr>
            <w:r w:rsidRPr="00AA1216">
              <w:rPr>
                <w:sz w:val="24"/>
              </w:rPr>
              <w:t>Veterans Health Administration</w:t>
            </w:r>
          </w:p>
        </w:tc>
      </w:tr>
      <w:tr w:rsidR="0090623F" w:rsidRPr="00E16E37" w14:paraId="192D316B" w14:textId="77777777">
        <w:tc>
          <w:tcPr>
            <w:tcW w:w="1908" w:type="dxa"/>
          </w:tcPr>
          <w:p w14:paraId="27B5322D" w14:textId="77777777" w:rsidR="0090623F" w:rsidRPr="00E16E37" w:rsidRDefault="0090623F">
            <w:pPr>
              <w:pStyle w:val="TABLEROW"/>
              <w:rPr>
                <w:sz w:val="24"/>
              </w:rPr>
            </w:pPr>
            <w:r w:rsidRPr="00E16E37">
              <w:rPr>
                <w:sz w:val="24"/>
              </w:rPr>
              <w:t>VistA</w:t>
            </w:r>
          </w:p>
        </w:tc>
        <w:tc>
          <w:tcPr>
            <w:tcW w:w="7650" w:type="dxa"/>
          </w:tcPr>
          <w:p w14:paraId="6D52B66C" w14:textId="77777777" w:rsidR="0090623F" w:rsidRPr="00E16E37" w:rsidRDefault="0090623F">
            <w:pPr>
              <w:pStyle w:val="TABLEROW"/>
              <w:rPr>
                <w:sz w:val="24"/>
              </w:rPr>
            </w:pPr>
            <w:r w:rsidRPr="00E16E37">
              <w:rPr>
                <w:sz w:val="24"/>
              </w:rPr>
              <w:t>Veterans Health Information Systems and Technology Architecture</w:t>
            </w:r>
          </w:p>
        </w:tc>
      </w:tr>
    </w:tbl>
    <w:p w14:paraId="75CD83CD" w14:textId="77777777" w:rsidR="00DF4400" w:rsidRPr="00E16E37" w:rsidRDefault="00DF4400"/>
    <w:p w14:paraId="68463692" w14:textId="77777777" w:rsidR="00DF4400" w:rsidRDefault="00C77F40" w:rsidP="00C77F40">
      <w:pPr>
        <w:pStyle w:val="Heading2"/>
        <w:rPr>
          <w:i w:val="0"/>
          <w:sz w:val="36"/>
          <w:szCs w:val="36"/>
        </w:rPr>
      </w:pPr>
      <w:bookmarkStart w:id="35" w:name="_Toc272918747"/>
      <w:bookmarkStart w:id="36" w:name="_Toc272408589"/>
      <w:bookmarkStart w:id="37" w:name="_Toc387220239"/>
      <w:bookmarkStart w:id="38" w:name="_Toc443644421"/>
      <w:r w:rsidRPr="00C77F40">
        <w:rPr>
          <w:i w:val="0"/>
          <w:sz w:val="36"/>
          <w:szCs w:val="36"/>
        </w:rPr>
        <w:t>2</w:t>
      </w:r>
      <w:r w:rsidR="00A37735">
        <w:rPr>
          <w:i w:val="0"/>
          <w:sz w:val="36"/>
          <w:szCs w:val="36"/>
        </w:rPr>
        <w:t>.</w:t>
      </w:r>
      <w:r w:rsidRPr="00C77F40">
        <w:rPr>
          <w:i w:val="0"/>
          <w:sz w:val="36"/>
          <w:szCs w:val="36"/>
        </w:rPr>
        <w:t xml:space="preserve"> </w:t>
      </w:r>
      <w:r w:rsidR="00DF4400" w:rsidRPr="00C77F40">
        <w:rPr>
          <w:i w:val="0"/>
          <w:sz w:val="36"/>
          <w:szCs w:val="36"/>
        </w:rPr>
        <w:t>Technical Release Notes</w:t>
      </w:r>
      <w:bookmarkEnd w:id="35"/>
      <w:bookmarkEnd w:id="36"/>
      <w:bookmarkEnd w:id="37"/>
      <w:bookmarkEnd w:id="38"/>
    </w:p>
    <w:p w14:paraId="68A87CD7" w14:textId="008370C9" w:rsidR="00C77F40" w:rsidRDefault="00C77F40" w:rsidP="00C77F40">
      <w:r>
        <w:t>At the close of the Perceptive Reach IRDS software development, select tasks w</w:t>
      </w:r>
      <w:r w:rsidR="00B110D4">
        <w:t xml:space="preserve">ere left for the next release. </w:t>
      </w:r>
      <w:r>
        <w:t xml:space="preserve">While there were no </w:t>
      </w:r>
      <w:r w:rsidR="00B110D4">
        <w:t xml:space="preserve">defects considered “critical” to functioning of the system </w:t>
      </w:r>
      <w:r>
        <w:t>left at the close of development, defects discovered after the close of the code freeze during testing</w:t>
      </w:r>
      <w:r w:rsidR="00B110D4">
        <w:t xml:space="preserve"> or those considered “non-critical”</w:t>
      </w:r>
      <w:r>
        <w:t xml:space="preserve"> are</w:t>
      </w:r>
      <w:r w:rsidR="00B110D4">
        <w:t xml:space="preserve"> </w:t>
      </w:r>
      <w:r>
        <w:t>documented</w:t>
      </w:r>
      <w:r w:rsidR="00B110D4">
        <w:t xml:space="preserve"> below</w:t>
      </w:r>
      <w:r>
        <w:t xml:space="preserve"> as known defects.</w:t>
      </w:r>
    </w:p>
    <w:p w14:paraId="1536F77F" w14:textId="65986C9E" w:rsidR="00821A4C" w:rsidRDefault="00C77F40" w:rsidP="00821A4C">
      <w:pPr>
        <w:pStyle w:val="Heading2"/>
        <w:ind w:left="480" w:hanging="480"/>
        <w:rPr>
          <w:i w:val="0"/>
        </w:rPr>
      </w:pPr>
      <w:bookmarkStart w:id="39" w:name="_Toc443644422"/>
      <w:r>
        <w:rPr>
          <w:i w:val="0"/>
        </w:rPr>
        <w:t>2.</w:t>
      </w:r>
      <w:r w:rsidR="000D2804">
        <w:rPr>
          <w:i w:val="0"/>
        </w:rPr>
        <w:t>1</w:t>
      </w:r>
      <w:bookmarkStart w:id="40" w:name="_Toc430005563"/>
      <w:r w:rsidR="00821A4C">
        <w:rPr>
          <w:i w:val="0"/>
        </w:rPr>
        <w:t xml:space="preserve"> Defects Fixed Since Last Release</w:t>
      </w:r>
      <w:bookmarkEnd w:id="40"/>
      <w:bookmarkEnd w:id="39"/>
    </w:p>
    <w:p w14:paraId="78C186CB" w14:textId="1E43C73B" w:rsidR="00821A4C" w:rsidRPr="00190818" w:rsidRDefault="00403479" w:rsidP="00821A4C">
      <w:r>
        <w:t>This table is</w:t>
      </w:r>
      <w:r w:rsidR="00821A4C">
        <w:t xml:space="preserve"> updated to describe defects resolved as part of the release. </w:t>
      </w:r>
    </w:p>
    <w:p w14:paraId="335D1AC6" w14:textId="77777777" w:rsidR="00821A4C" w:rsidRPr="003274BC" w:rsidRDefault="00821A4C" w:rsidP="00821A4C">
      <w:pPr>
        <w:jc w:val="center"/>
        <w:rPr>
          <w:sz w:val="22"/>
        </w:rPr>
      </w:pPr>
    </w:p>
    <w:p w14:paraId="15D8EFAE" w14:textId="77777777" w:rsidR="00821A4C" w:rsidRPr="00AE2888" w:rsidRDefault="00821A4C" w:rsidP="00821A4C">
      <w:pPr>
        <w:pStyle w:val="Caption"/>
        <w:keepNext/>
        <w:jc w:val="center"/>
        <w:rPr>
          <w:rFonts w:ascii="Arial" w:hAnsi="Arial" w:cs="Arial"/>
          <w:b/>
          <w:sz w:val="22"/>
          <w:szCs w:val="22"/>
        </w:rPr>
      </w:pP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AB05B8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t>: Defects Fixed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278"/>
        <w:gridCol w:w="2970"/>
        <w:gridCol w:w="4860"/>
      </w:tblGrid>
      <w:tr w:rsidR="006A7FF7" w14:paraId="496BFDAE" w14:textId="02FB2541" w:rsidTr="005F5839">
        <w:trPr>
          <w:tblHeader/>
        </w:trPr>
        <w:tc>
          <w:tcPr>
            <w:tcW w:w="1278" w:type="dxa"/>
            <w:shd w:val="clear" w:color="auto" w:fill="EEECE1" w:themeFill="background2"/>
          </w:tcPr>
          <w:p w14:paraId="3E6FA035" w14:textId="0AAAA83B" w:rsidR="006A7FF7" w:rsidRPr="003274BC" w:rsidRDefault="006A7FF7" w:rsidP="00A16D4F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Key</w:t>
            </w:r>
          </w:p>
        </w:tc>
        <w:tc>
          <w:tcPr>
            <w:tcW w:w="2970" w:type="dxa"/>
            <w:shd w:val="clear" w:color="auto" w:fill="EEECE1" w:themeFill="background2"/>
          </w:tcPr>
          <w:p w14:paraId="5B61DB5B" w14:textId="77777777" w:rsidR="006A7FF7" w:rsidRPr="003274BC" w:rsidRDefault="006A7FF7" w:rsidP="00A16D4F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Summary</w:t>
            </w:r>
          </w:p>
        </w:tc>
        <w:tc>
          <w:tcPr>
            <w:tcW w:w="4860" w:type="dxa"/>
            <w:shd w:val="clear" w:color="auto" w:fill="EEECE1" w:themeFill="background2"/>
          </w:tcPr>
          <w:p w14:paraId="5429248C" w14:textId="77777777" w:rsidR="006A7FF7" w:rsidRPr="003274BC" w:rsidRDefault="006A7FF7" w:rsidP="00A16D4F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Description</w:t>
            </w:r>
          </w:p>
        </w:tc>
      </w:tr>
      <w:tr w:rsidR="006A7FF7" w:rsidRPr="00CC06DB" w14:paraId="3B87EDE0" w14:textId="5E84B810" w:rsidTr="005F5839">
        <w:trPr>
          <w:trHeight w:val="492"/>
        </w:trPr>
        <w:tc>
          <w:tcPr>
            <w:tcW w:w="1278" w:type="dxa"/>
            <w:hideMark/>
          </w:tcPr>
          <w:p w14:paraId="256354B7" w14:textId="77777777" w:rsidR="006A7FF7" w:rsidRPr="00CC06DB" w:rsidRDefault="006A7FF7" w:rsidP="00CC06DB">
            <w:pPr>
              <w:spacing w:line="276" w:lineRule="auto"/>
            </w:pPr>
            <w:r w:rsidRPr="008457D7">
              <w:rPr>
                <w:bCs/>
              </w:rPr>
              <w:t>PR-3099</w:t>
            </w:r>
          </w:p>
        </w:tc>
        <w:tc>
          <w:tcPr>
            <w:tcW w:w="2970" w:type="dxa"/>
            <w:hideMark/>
          </w:tcPr>
          <w:p w14:paraId="6EB5C05A" w14:textId="77777777" w:rsidR="006A7FF7" w:rsidRPr="00CC06DB" w:rsidRDefault="006A7FF7" w:rsidP="00CC06DB">
            <w:pPr>
              <w:spacing w:line="276" w:lineRule="auto"/>
            </w:pPr>
            <w:r w:rsidRPr="008457D7">
              <w:rPr>
                <w:bCs/>
              </w:rPr>
              <w:t>Appointment Type Does Not Appear in Appointment Widget</w:t>
            </w:r>
          </w:p>
        </w:tc>
        <w:tc>
          <w:tcPr>
            <w:tcW w:w="4860" w:type="dxa"/>
            <w:hideMark/>
          </w:tcPr>
          <w:p w14:paraId="103E0BFC" w14:textId="4354E8C2" w:rsidR="002010B4" w:rsidRDefault="002010B4" w:rsidP="00CC06DB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Previously, the appointment type was not displayed in the appointment widget. </w:t>
            </w:r>
          </w:p>
          <w:p w14:paraId="2B724134" w14:textId="77777777" w:rsidR="002010B4" w:rsidRDefault="002010B4" w:rsidP="00CC06DB">
            <w:pPr>
              <w:spacing w:line="276" w:lineRule="auto"/>
              <w:rPr>
                <w:bCs/>
              </w:rPr>
            </w:pPr>
          </w:p>
          <w:p w14:paraId="4DA12EA9" w14:textId="26545190" w:rsidR="006A7FF7" w:rsidRPr="008457D7" w:rsidRDefault="002010B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appointment type now appears in the widget. It will also indicate the reason for the appointment. For example, the widget will display if the Veteran’s appointment is related to: primary care, psychological care, surgery, specialty care, etc.</w:t>
            </w:r>
            <w:r w:rsidR="006A7FF7" w:rsidRPr="008457D7">
              <w:rPr>
                <w:bCs/>
              </w:rPr>
              <w:t xml:space="preserve"> </w:t>
            </w:r>
          </w:p>
        </w:tc>
      </w:tr>
      <w:tr w:rsidR="006A7FF7" w:rsidRPr="00CC06DB" w14:paraId="2E73F5A5" w14:textId="55429E6D" w:rsidTr="005F5839">
        <w:trPr>
          <w:trHeight w:val="492"/>
        </w:trPr>
        <w:tc>
          <w:tcPr>
            <w:tcW w:w="1278" w:type="dxa"/>
            <w:hideMark/>
          </w:tcPr>
          <w:p w14:paraId="337A0E06" w14:textId="77777777" w:rsidR="006A7FF7" w:rsidRPr="00CC06DB" w:rsidRDefault="006A7FF7" w:rsidP="00CC06DB">
            <w:pPr>
              <w:spacing w:line="276" w:lineRule="auto"/>
            </w:pPr>
            <w:r w:rsidRPr="00CC06DB">
              <w:t>PR-3086</w:t>
            </w:r>
          </w:p>
        </w:tc>
        <w:tc>
          <w:tcPr>
            <w:tcW w:w="2970" w:type="dxa"/>
            <w:hideMark/>
          </w:tcPr>
          <w:p w14:paraId="6C78D21F" w14:textId="77777777" w:rsidR="006A7FF7" w:rsidRPr="00CC06DB" w:rsidRDefault="006A7FF7" w:rsidP="00CC06DB">
            <w:pPr>
              <w:spacing w:line="276" w:lineRule="auto"/>
            </w:pPr>
            <w:r w:rsidRPr="00CC06DB">
              <w:t>Unable to sort the Outreach Status column on the Patient Roster by VAMC widget</w:t>
            </w:r>
          </w:p>
        </w:tc>
        <w:tc>
          <w:tcPr>
            <w:tcW w:w="4860" w:type="dxa"/>
            <w:hideMark/>
          </w:tcPr>
          <w:p w14:paraId="7221D636" w14:textId="075E030B" w:rsidR="006A7FF7" w:rsidRPr="00CC06DB" w:rsidRDefault="00F03337" w:rsidP="00CC06DB">
            <w:pPr>
              <w:spacing w:line="276" w:lineRule="auto"/>
            </w:pPr>
            <w:r>
              <w:t>Previously, t</w:t>
            </w:r>
            <w:r w:rsidR="006A7FF7" w:rsidRPr="00CC06DB">
              <w:t xml:space="preserve">he user </w:t>
            </w:r>
            <w:r>
              <w:t>was</w:t>
            </w:r>
            <w:r w:rsidR="006A7FF7" w:rsidRPr="00CC06DB">
              <w:t xml:space="preserve"> unable to sort the "Outreach Status" column on the Patient Roster by VAMC widget</w:t>
            </w:r>
            <w:r>
              <w:t xml:space="preserve">. </w:t>
            </w:r>
          </w:p>
          <w:p w14:paraId="15629A71" w14:textId="77777777" w:rsidR="00F03337" w:rsidRDefault="00F03337" w:rsidP="00CC06DB">
            <w:pPr>
              <w:spacing w:line="276" w:lineRule="auto"/>
            </w:pPr>
          </w:p>
          <w:p w14:paraId="02E536CD" w14:textId="6E7268CF" w:rsidR="006A7FF7" w:rsidRPr="00CC06DB" w:rsidRDefault="00F03337" w:rsidP="008457D7">
            <w:pPr>
              <w:spacing w:line="276" w:lineRule="auto"/>
            </w:pPr>
            <w:r>
              <w:t xml:space="preserve">The “Outreach Status” column in this widget can now be sorted by selecting the “Outreach </w:t>
            </w:r>
            <w:r>
              <w:lastRenderedPageBreak/>
              <w:t>Status” title in the Patient Roster by VAMC widget.</w:t>
            </w:r>
          </w:p>
        </w:tc>
      </w:tr>
      <w:tr w:rsidR="006A7FF7" w:rsidRPr="00403479" w14:paraId="2CF16184" w14:textId="4D236068" w:rsidTr="005F5839">
        <w:trPr>
          <w:trHeight w:val="1797"/>
        </w:trPr>
        <w:tc>
          <w:tcPr>
            <w:tcW w:w="1278" w:type="dxa"/>
          </w:tcPr>
          <w:p w14:paraId="5AF5F95F" w14:textId="5121FEB8" w:rsidR="006A7FF7" w:rsidRPr="00403479" w:rsidRDefault="006A7FF7" w:rsidP="00CC06DB">
            <w:pPr>
              <w:spacing w:line="276" w:lineRule="auto"/>
            </w:pPr>
            <w:r w:rsidRPr="007A3840">
              <w:lastRenderedPageBreak/>
              <w:t>PR-3318</w:t>
            </w:r>
          </w:p>
        </w:tc>
        <w:tc>
          <w:tcPr>
            <w:tcW w:w="2970" w:type="dxa"/>
          </w:tcPr>
          <w:p w14:paraId="296C9864" w14:textId="2035B469" w:rsidR="006A7FF7" w:rsidRPr="00403479" w:rsidRDefault="006A7FF7" w:rsidP="00CC06DB">
            <w:pPr>
              <w:spacing w:line="276" w:lineRule="auto"/>
            </w:pPr>
            <w:r w:rsidRPr="007A3840">
              <w:t>Outreach Status Null Value</w:t>
            </w:r>
          </w:p>
        </w:tc>
        <w:tc>
          <w:tcPr>
            <w:tcW w:w="4860" w:type="dxa"/>
          </w:tcPr>
          <w:p w14:paraId="6279C653" w14:textId="1038D274" w:rsidR="00CC2856" w:rsidRDefault="00F03337">
            <w:pPr>
              <w:spacing w:line="276" w:lineRule="auto"/>
            </w:pPr>
            <w:r>
              <w:t>Previously w</w:t>
            </w:r>
            <w:r w:rsidR="006A7FF7" w:rsidRPr="007A3840">
              <w:t xml:space="preserve">hen the outreach status </w:t>
            </w:r>
            <w:r>
              <w:t>field loaded, statuses with no selections would load as “null” and a</w:t>
            </w:r>
            <w:r w:rsidR="006A7FF7" w:rsidRPr="007A3840">
              <w:t xml:space="preserve">n error </w:t>
            </w:r>
            <w:r>
              <w:t>was</w:t>
            </w:r>
            <w:r w:rsidR="006A7FF7" w:rsidRPr="007A3840">
              <w:t xml:space="preserve"> thrown to the background. </w:t>
            </w:r>
            <w:r>
              <w:t>T</w:t>
            </w:r>
            <w:r w:rsidR="006A7FF7" w:rsidRPr="007A3840">
              <w:t xml:space="preserve">his error </w:t>
            </w:r>
            <w:r>
              <w:t xml:space="preserve">prevented the “Outreach Status” column from sorting correctly. </w:t>
            </w:r>
          </w:p>
          <w:p w14:paraId="2B1EED9D" w14:textId="77777777" w:rsidR="00CC2856" w:rsidRDefault="00CC2856">
            <w:pPr>
              <w:spacing w:line="276" w:lineRule="auto"/>
            </w:pPr>
          </w:p>
          <w:p w14:paraId="461EF6DD" w14:textId="6EEE5580" w:rsidR="006A7FF7" w:rsidRPr="00403479" w:rsidRDefault="009A310F">
            <w:pPr>
              <w:spacing w:line="276" w:lineRule="auto"/>
            </w:pPr>
            <w:r>
              <w:t>Now, o</w:t>
            </w:r>
            <w:r w:rsidR="00CC2856">
              <w:t>utreach</w:t>
            </w:r>
            <w:r>
              <w:t xml:space="preserve"> statuses with no selection do not appear as a “null” value and </w:t>
            </w:r>
            <w:r w:rsidR="005041D7">
              <w:t>the “Outreach Status” column can sort correctly.</w:t>
            </w:r>
          </w:p>
        </w:tc>
      </w:tr>
      <w:tr w:rsidR="0048413B" w:rsidRPr="00403479" w14:paraId="6FCFDB9B" w14:textId="77777777" w:rsidTr="005F5839">
        <w:trPr>
          <w:trHeight w:val="1455"/>
        </w:trPr>
        <w:tc>
          <w:tcPr>
            <w:tcW w:w="1278" w:type="dxa"/>
          </w:tcPr>
          <w:p w14:paraId="7C83CBCC" w14:textId="3B7FECCD" w:rsidR="0048413B" w:rsidRPr="00E93A8A" w:rsidRDefault="0048413B" w:rsidP="0048413B">
            <w:r w:rsidRPr="0048413B">
              <w:t>PR-3010</w:t>
            </w:r>
          </w:p>
        </w:tc>
        <w:tc>
          <w:tcPr>
            <w:tcW w:w="2970" w:type="dxa"/>
          </w:tcPr>
          <w:p w14:paraId="672E3C08" w14:textId="52A316C3" w:rsidR="0048413B" w:rsidRPr="00E93A8A" w:rsidRDefault="0048413B" w:rsidP="00CC06DB">
            <w:r w:rsidRPr="0048413B">
              <w:t>Refreshing Page deletes Recent Changes made</w:t>
            </w:r>
          </w:p>
        </w:tc>
        <w:tc>
          <w:tcPr>
            <w:tcW w:w="4860" w:type="dxa"/>
          </w:tcPr>
          <w:p w14:paraId="336F51AE" w14:textId="446A6DE9" w:rsidR="0048413B" w:rsidRDefault="0048413B" w:rsidP="00CC06DB">
            <w:r>
              <w:t>Previously when the user</w:t>
            </w:r>
            <w:r w:rsidRPr="0048413B">
              <w:t xml:space="preserve"> add</w:t>
            </w:r>
            <w:r>
              <w:t>ed new widgets to a dashboard, s</w:t>
            </w:r>
            <w:r w:rsidRPr="0048413B">
              <w:t>ave</w:t>
            </w:r>
            <w:r>
              <w:t xml:space="preserve">d their changes, </w:t>
            </w:r>
            <w:r w:rsidRPr="0048413B">
              <w:t>and then refresh</w:t>
            </w:r>
            <w:r>
              <w:t>ed</w:t>
            </w:r>
            <w:r w:rsidRPr="0048413B">
              <w:t xml:space="preserve"> the page</w:t>
            </w:r>
            <w:r>
              <w:t>, the recently saved</w:t>
            </w:r>
            <w:r w:rsidRPr="0048413B">
              <w:t xml:space="preserve"> changes</w:t>
            </w:r>
            <w:r w:rsidR="00A16207">
              <w:t xml:space="preserve"> were deleted.</w:t>
            </w:r>
          </w:p>
          <w:p w14:paraId="34D9E4E2" w14:textId="77777777" w:rsidR="00A16207" w:rsidRDefault="00A16207" w:rsidP="00CC06DB"/>
          <w:p w14:paraId="73C1E089" w14:textId="619516A0" w:rsidR="0048413B" w:rsidRDefault="00A16207" w:rsidP="00A26C32">
            <w:r>
              <w:t xml:space="preserve">Now when the user </w:t>
            </w:r>
            <w:r w:rsidR="00A26C32">
              <w:t>saves their dashboard</w:t>
            </w:r>
            <w:r>
              <w:t xml:space="preserve"> changes, these changes remain after the </w:t>
            </w:r>
            <w:r w:rsidR="00A26C32">
              <w:t>page</w:t>
            </w:r>
            <w:r>
              <w:t xml:space="preserve"> is refreshed. </w:t>
            </w:r>
          </w:p>
        </w:tc>
      </w:tr>
      <w:tr w:rsidR="006A7FF7" w:rsidRPr="00403479" w14:paraId="4E66C0ED" w14:textId="46B1F446" w:rsidTr="005F5839">
        <w:trPr>
          <w:trHeight w:val="1455"/>
        </w:trPr>
        <w:tc>
          <w:tcPr>
            <w:tcW w:w="1278" w:type="dxa"/>
          </w:tcPr>
          <w:p w14:paraId="06EB7D34" w14:textId="262E8E1E" w:rsidR="006A7FF7" w:rsidRPr="00403479" w:rsidRDefault="006A7FF7" w:rsidP="00CC06DB">
            <w:pPr>
              <w:rPr>
                <w:bCs/>
                <w:iCs/>
              </w:rPr>
            </w:pPr>
            <w:r w:rsidRPr="00E93A8A">
              <w:t>PR-3333</w:t>
            </w:r>
          </w:p>
        </w:tc>
        <w:tc>
          <w:tcPr>
            <w:tcW w:w="2970" w:type="dxa"/>
          </w:tcPr>
          <w:p w14:paraId="132EE3C6" w14:textId="559498DC" w:rsidR="006A7FF7" w:rsidRPr="00403479" w:rsidRDefault="006A7FF7" w:rsidP="00CC06DB">
            <w:pPr>
              <w:rPr>
                <w:bCs/>
                <w:iCs/>
              </w:rPr>
            </w:pPr>
            <w:r w:rsidRPr="00E93A8A">
              <w:t>508 Compliance- Widget Resize: Handle keyboard arrow events for widget resizing.</w:t>
            </w:r>
          </w:p>
        </w:tc>
        <w:tc>
          <w:tcPr>
            <w:tcW w:w="4860" w:type="dxa"/>
          </w:tcPr>
          <w:p w14:paraId="207A3629" w14:textId="0C728462" w:rsidR="00F03337" w:rsidRDefault="00F03337" w:rsidP="00CC06DB">
            <w:r>
              <w:t>Previously, the user was not able to resize widgets in the Dashboard using only their keyboard.</w:t>
            </w:r>
          </w:p>
          <w:p w14:paraId="4542793B" w14:textId="77777777" w:rsidR="00F03337" w:rsidRDefault="00F03337" w:rsidP="00CC06DB"/>
          <w:p w14:paraId="08E4D908" w14:textId="4852F387" w:rsidR="006A7FF7" w:rsidRPr="00403479" w:rsidRDefault="00F03337">
            <w:pPr>
              <w:rPr>
                <w:bCs/>
                <w:iCs/>
              </w:rPr>
            </w:pPr>
            <w:r>
              <w:t xml:space="preserve">Users now have the ability to resize all widgets solely by using the tab and arrow keys on the keyboard. </w:t>
            </w:r>
          </w:p>
        </w:tc>
      </w:tr>
      <w:tr w:rsidR="00510195" w:rsidRPr="00403479" w14:paraId="015B3A53" w14:textId="77777777" w:rsidTr="005F5839">
        <w:trPr>
          <w:trHeight w:val="1455"/>
        </w:trPr>
        <w:tc>
          <w:tcPr>
            <w:tcW w:w="1278" w:type="dxa"/>
          </w:tcPr>
          <w:p w14:paraId="015AF78E" w14:textId="0F53EE89" w:rsidR="00510195" w:rsidRPr="00510195" w:rsidRDefault="00510195" w:rsidP="00510195">
            <w:r w:rsidRPr="00510195">
              <w:t>PR-3337</w:t>
            </w:r>
          </w:p>
        </w:tc>
        <w:tc>
          <w:tcPr>
            <w:tcW w:w="2970" w:type="dxa"/>
          </w:tcPr>
          <w:p w14:paraId="19D7C174" w14:textId="70F2026C" w:rsidR="00510195" w:rsidRPr="000F2396" w:rsidRDefault="00510195" w:rsidP="002D157E">
            <w:r w:rsidRPr="00510195">
              <w:t>508 Compliance- Moving Widgets - Use keyboard to move widgets.</w:t>
            </w:r>
          </w:p>
        </w:tc>
        <w:tc>
          <w:tcPr>
            <w:tcW w:w="4860" w:type="dxa"/>
          </w:tcPr>
          <w:p w14:paraId="3DD12AE4" w14:textId="7092AFA6" w:rsidR="00510195" w:rsidRDefault="00510195" w:rsidP="00510195">
            <w:pPr>
              <w:rPr>
                <w:color w:val="000000"/>
              </w:rPr>
            </w:pPr>
            <w:r>
              <w:rPr>
                <w:color w:val="000000"/>
              </w:rPr>
              <w:t>Previously, the user was not able to move widgets in the Dashboard using only their keyboard.</w:t>
            </w:r>
          </w:p>
          <w:p w14:paraId="46696618" w14:textId="77777777" w:rsidR="00510195" w:rsidRDefault="00510195" w:rsidP="00510195">
            <w:pPr>
              <w:rPr>
                <w:color w:val="000000"/>
              </w:rPr>
            </w:pPr>
          </w:p>
          <w:p w14:paraId="052541D5" w14:textId="62AA941A" w:rsidR="00510195" w:rsidRPr="00510195" w:rsidRDefault="00510195" w:rsidP="00510195">
            <w:r>
              <w:rPr>
                <w:color w:val="000000"/>
              </w:rPr>
              <w:t>Users now have the ability to move all widgets solely by using the tab and other keys on the keyboard.</w:t>
            </w:r>
          </w:p>
        </w:tc>
      </w:tr>
      <w:tr w:rsidR="002D157E" w:rsidRPr="00403479" w14:paraId="01D19711" w14:textId="77777777" w:rsidTr="005F5839">
        <w:trPr>
          <w:trHeight w:val="1455"/>
        </w:trPr>
        <w:tc>
          <w:tcPr>
            <w:tcW w:w="1278" w:type="dxa"/>
          </w:tcPr>
          <w:p w14:paraId="18E097FC" w14:textId="547E8B0C" w:rsidR="002D157E" w:rsidRPr="00E93A8A" w:rsidRDefault="002D157E" w:rsidP="002D157E">
            <w:r w:rsidRPr="00CC06DB">
              <w:t>PR-2176</w:t>
            </w:r>
          </w:p>
        </w:tc>
        <w:tc>
          <w:tcPr>
            <w:tcW w:w="2970" w:type="dxa"/>
          </w:tcPr>
          <w:p w14:paraId="7B336174" w14:textId="0310D498" w:rsidR="002D157E" w:rsidRPr="00E93A8A" w:rsidRDefault="002D157E" w:rsidP="002D157E">
            <w:r>
              <w:t>Resizing table widgets creates unused white space in the widget a</w:t>
            </w:r>
            <w:r w:rsidRPr="00CC06DB">
              <w:t>rea</w:t>
            </w:r>
            <w:r>
              <w:t>.</w:t>
            </w:r>
          </w:p>
        </w:tc>
        <w:tc>
          <w:tcPr>
            <w:tcW w:w="4860" w:type="dxa"/>
          </w:tcPr>
          <w:p w14:paraId="772A9B4C" w14:textId="17548562" w:rsidR="002D157E" w:rsidRDefault="001A1963" w:rsidP="00C36E43">
            <w:pPr>
              <w:spacing w:line="276" w:lineRule="auto"/>
            </w:pPr>
            <w:r>
              <w:t>Previously, the data inside a widget would not expand or resize when a user resized the height and/or width of a widget. This resulted in unused white space in the widget area.</w:t>
            </w:r>
          </w:p>
          <w:p w14:paraId="50DAB8EB" w14:textId="77777777" w:rsidR="001A1963" w:rsidRDefault="001A1963" w:rsidP="00C36E43">
            <w:pPr>
              <w:spacing w:line="276" w:lineRule="auto"/>
            </w:pPr>
          </w:p>
          <w:p w14:paraId="7D2EA735" w14:textId="70D4B4CC" w:rsidR="001A1963" w:rsidRDefault="001A1963" w:rsidP="00C36E43">
            <w:pPr>
              <w:spacing w:line="276" w:lineRule="auto"/>
            </w:pPr>
            <w:r>
              <w:t xml:space="preserve">Now, when a user resizes a widget, the data inside the widget also resizes and expands. This </w:t>
            </w:r>
            <w:r>
              <w:lastRenderedPageBreak/>
              <w:t>resizing minimizes unused white space in the widget area.</w:t>
            </w:r>
          </w:p>
        </w:tc>
      </w:tr>
      <w:tr w:rsidR="0048413B" w:rsidRPr="00403479" w14:paraId="2CF765D4" w14:textId="77777777" w:rsidTr="005F5839">
        <w:trPr>
          <w:trHeight w:val="1637"/>
        </w:trPr>
        <w:tc>
          <w:tcPr>
            <w:tcW w:w="1278" w:type="dxa"/>
          </w:tcPr>
          <w:p w14:paraId="30A28DBE" w14:textId="71F4E550" w:rsidR="0048413B" w:rsidRPr="00CC06DB" w:rsidRDefault="0048413B" w:rsidP="0048413B">
            <w:r w:rsidRPr="0048413B">
              <w:lastRenderedPageBreak/>
              <w:t>PR-3461</w:t>
            </w:r>
          </w:p>
        </w:tc>
        <w:tc>
          <w:tcPr>
            <w:tcW w:w="2970" w:type="dxa"/>
          </w:tcPr>
          <w:p w14:paraId="672486C4" w14:textId="2D311983" w:rsidR="0048413B" w:rsidRDefault="0048413B" w:rsidP="002D157E">
            <w:r w:rsidRPr="0048413B">
              <w:t>Column Content and Header Alignmen</w:t>
            </w:r>
            <w:r>
              <w:t>t</w:t>
            </w:r>
          </w:p>
        </w:tc>
        <w:tc>
          <w:tcPr>
            <w:tcW w:w="4860" w:type="dxa"/>
          </w:tcPr>
          <w:p w14:paraId="29F947C5" w14:textId="77777777" w:rsidR="0048413B" w:rsidRDefault="0048413B" w:rsidP="0048413B">
            <w:pPr>
              <w:spacing w:line="276" w:lineRule="auto"/>
            </w:pPr>
            <w:r>
              <w:t>Previously w</w:t>
            </w:r>
            <w:r w:rsidRPr="0048413B">
              <w:t>hen a user expand</w:t>
            </w:r>
            <w:r>
              <w:t>ed</w:t>
            </w:r>
            <w:r w:rsidRPr="0048413B">
              <w:t xml:space="preserve"> the width of a widget, the column headers spread out faster than the data in the column itself, causing the headers and the data to appear misaligned visually.</w:t>
            </w:r>
          </w:p>
          <w:p w14:paraId="19941D40" w14:textId="77777777" w:rsidR="0048413B" w:rsidRDefault="0048413B" w:rsidP="0048413B">
            <w:pPr>
              <w:spacing w:line="276" w:lineRule="auto"/>
            </w:pPr>
          </w:p>
          <w:p w14:paraId="7F52F7BF" w14:textId="744D51F6" w:rsidR="0048413B" w:rsidRPr="00CC06DB" w:rsidRDefault="0048413B" w:rsidP="0048413B">
            <w:pPr>
              <w:spacing w:line="276" w:lineRule="auto"/>
            </w:pPr>
            <w:r>
              <w:t xml:space="preserve">Now the column headers are aligned to the column content when widgets are resized. </w:t>
            </w:r>
          </w:p>
        </w:tc>
      </w:tr>
      <w:tr w:rsidR="00C21E08" w:rsidRPr="00403479" w14:paraId="5DFFC887" w14:textId="77777777" w:rsidTr="005F5839">
        <w:trPr>
          <w:trHeight w:val="1637"/>
        </w:trPr>
        <w:tc>
          <w:tcPr>
            <w:tcW w:w="1278" w:type="dxa"/>
          </w:tcPr>
          <w:p w14:paraId="5C52F739" w14:textId="6AFC049F" w:rsidR="00C21E08" w:rsidRPr="0048413B" w:rsidRDefault="00C21E08" w:rsidP="00C21E08">
            <w:r w:rsidRPr="00C21E08">
              <w:t>PR-3002</w:t>
            </w:r>
          </w:p>
        </w:tc>
        <w:tc>
          <w:tcPr>
            <w:tcW w:w="2970" w:type="dxa"/>
          </w:tcPr>
          <w:p w14:paraId="75E33FFD" w14:textId="51AC48CB" w:rsidR="00C21E08" w:rsidRPr="0048413B" w:rsidRDefault="00C21E08" w:rsidP="002D157E">
            <w:r w:rsidRPr="00C21E08">
              <w:t>Adding the Same Widget Multiple Times</w:t>
            </w:r>
          </w:p>
        </w:tc>
        <w:tc>
          <w:tcPr>
            <w:tcW w:w="4860" w:type="dxa"/>
          </w:tcPr>
          <w:p w14:paraId="36C6E883" w14:textId="181B50E1" w:rsidR="00C21E08" w:rsidRDefault="0097004C" w:rsidP="00C21E08">
            <w:pPr>
              <w:spacing w:line="276" w:lineRule="auto"/>
            </w:pPr>
            <w:r>
              <w:t xml:space="preserve">Users were previously able to add multiple instances of the same widget, which could be confusing from a user experience perspective. </w:t>
            </w:r>
          </w:p>
          <w:p w14:paraId="0E69779A" w14:textId="77777777" w:rsidR="00C21E08" w:rsidRDefault="00C21E08" w:rsidP="00C21E08">
            <w:pPr>
              <w:spacing w:line="276" w:lineRule="auto"/>
            </w:pPr>
          </w:p>
          <w:p w14:paraId="2A1AB789" w14:textId="0D91E94D" w:rsidR="00C21E08" w:rsidRDefault="00E311F3" w:rsidP="00E311F3">
            <w:pPr>
              <w:spacing w:line="276" w:lineRule="auto"/>
            </w:pPr>
            <w:r>
              <w:t>This functionality has now been removed and the user is not able to add the same widget multiple times to the Dashboard</w:t>
            </w:r>
            <w:r w:rsidR="00C21E08">
              <w:t>.</w:t>
            </w:r>
            <w:r>
              <w:t xml:space="preserve"> </w:t>
            </w:r>
            <w:r w:rsidR="00C21E08">
              <w:t xml:space="preserve"> </w:t>
            </w:r>
          </w:p>
        </w:tc>
      </w:tr>
      <w:tr w:rsidR="005F5839" w:rsidRPr="005F5839" w14:paraId="7E924587" w14:textId="77777777" w:rsidTr="00C36E43">
        <w:trPr>
          <w:trHeight w:val="2060"/>
        </w:trPr>
        <w:tc>
          <w:tcPr>
            <w:tcW w:w="1278" w:type="dxa"/>
            <w:hideMark/>
          </w:tcPr>
          <w:p w14:paraId="6B7B58AF" w14:textId="0E2E68F9" w:rsidR="005F5839" w:rsidRPr="00C36E43" w:rsidRDefault="005F5839" w:rsidP="005F5839">
            <w:pPr>
              <w:rPr>
                <w:color w:val="0563C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PR-3531</w:t>
            </w:r>
          </w:p>
        </w:tc>
        <w:tc>
          <w:tcPr>
            <w:tcW w:w="2970" w:type="dxa"/>
            <w:hideMark/>
          </w:tcPr>
          <w:p w14:paraId="7606293B" w14:textId="77777777" w:rsidR="005F5839" w:rsidRPr="00C36E43" w:rsidRDefault="005F5839" w:rsidP="005F5839">
            <w:pPr>
              <w:rPr>
                <w:color w:val="000000"/>
                <w:szCs w:val="22"/>
              </w:rPr>
            </w:pPr>
            <w:r w:rsidRPr="00C36E43">
              <w:rPr>
                <w:color w:val="000000"/>
                <w:szCs w:val="22"/>
              </w:rPr>
              <w:t>Add VAMC Name (Instead of Number)</w:t>
            </w:r>
          </w:p>
        </w:tc>
        <w:tc>
          <w:tcPr>
            <w:tcW w:w="4860" w:type="dxa"/>
            <w:hideMark/>
          </w:tcPr>
          <w:p w14:paraId="6568BFC8" w14:textId="033E78BD" w:rsidR="005F5839" w:rsidRPr="00C36E43" w:rsidRDefault="005F5839">
            <w:pPr>
              <w:rPr>
                <w:color w:val="000000"/>
                <w:szCs w:val="22"/>
              </w:rPr>
            </w:pPr>
            <w:r w:rsidRPr="00C36E43">
              <w:rPr>
                <w:color w:val="000000"/>
                <w:szCs w:val="22"/>
              </w:rPr>
              <w:t xml:space="preserve">Currently, the Dashboard shows the VAMC "number" when a user puts a VAMC into view, instead of the VAMC name. </w:t>
            </w:r>
            <w:r w:rsidRPr="00C36E43">
              <w:rPr>
                <w:color w:val="000000"/>
                <w:szCs w:val="22"/>
              </w:rPr>
              <w:br/>
            </w:r>
            <w:r w:rsidRPr="00C36E43">
              <w:rPr>
                <w:color w:val="000000"/>
                <w:szCs w:val="22"/>
              </w:rPr>
              <w:br/>
              <w:t xml:space="preserve">The </w:t>
            </w:r>
            <w:r w:rsidR="00827E8F">
              <w:rPr>
                <w:color w:val="000000"/>
                <w:szCs w:val="22"/>
              </w:rPr>
              <w:t xml:space="preserve">VAMC </w:t>
            </w:r>
            <w:r w:rsidRPr="00C36E43">
              <w:rPr>
                <w:color w:val="000000"/>
                <w:szCs w:val="22"/>
              </w:rPr>
              <w:t xml:space="preserve">name </w:t>
            </w:r>
            <w:r w:rsidR="00827E8F">
              <w:rPr>
                <w:color w:val="000000"/>
                <w:szCs w:val="22"/>
              </w:rPr>
              <w:t xml:space="preserve">and number </w:t>
            </w:r>
            <w:r w:rsidRPr="00C36E43">
              <w:rPr>
                <w:color w:val="000000"/>
                <w:szCs w:val="22"/>
              </w:rPr>
              <w:t>now display</w:t>
            </w:r>
            <w:r w:rsidR="00827E8F">
              <w:rPr>
                <w:color w:val="000000"/>
                <w:szCs w:val="22"/>
              </w:rPr>
              <w:t xml:space="preserve"> on the IRDS Dashboard</w:t>
            </w:r>
            <w:r w:rsidRPr="00C36E43">
              <w:rPr>
                <w:color w:val="000000"/>
                <w:szCs w:val="22"/>
              </w:rPr>
              <w:t xml:space="preserve"> when a VAMC is selecte</w:t>
            </w:r>
            <w:r w:rsidR="00827E8F">
              <w:rPr>
                <w:color w:val="000000"/>
                <w:szCs w:val="22"/>
              </w:rPr>
              <w:t xml:space="preserve">d. This change has been applied </w:t>
            </w:r>
            <w:r w:rsidR="001A1963">
              <w:rPr>
                <w:color w:val="000000"/>
                <w:szCs w:val="22"/>
              </w:rPr>
              <w:t>to</w:t>
            </w:r>
            <w:r w:rsidR="00827E8F">
              <w:rPr>
                <w:color w:val="000000"/>
                <w:szCs w:val="22"/>
              </w:rPr>
              <w:t xml:space="preserve"> all relevant Dashboard views (Individual view and Surveillance view)</w:t>
            </w:r>
            <w:r w:rsidRPr="00C36E43">
              <w:rPr>
                <w:color w:val="000000"/>
                <w:szCs w:val="22"/>
              </w:rPr>
              <w:t>.</w:t>
            </w:r>
          </w:p>
        </w:tc>
      </w:tr>
      <w:tr w:rsidR="005F5839" w:rsidRPr="005F5839" w14:paraId="7B3D5F39" w14:textId="77777777" w:rsidTr="00C36E43">
        <w:trPr>
          <w:trHeight w:val="2177"/>
        </w:trPr>
        <w:tc>
          <w:tcPr>
            <w:tcW w:w="1278" w:type="dxa"/>
            <w:hideMark/>
          </w:tcPr>
          <w:p w14:paraId="5878B79A" w14:textId="642D7E30" w:rsidR="005F5839" w:rsidRPr="00C36E43" w:rsidRDefault="005F5839" w:rsidP="005F5839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PR-3530</w:t>
            </w:r>
          </w:p>
        </w:tc>
        <w:tc>
          <w:tcPr>
            <w:tcW w:w="2970" w:type="dxa"/>
            <w:hideMark/>
          </w:tcPr>
          <w:p w14:paraId="2A287154" w14:textId="77777777" w:rsidR="005F5839" w:rsidRPr="00C36E43" w:rsidRDefault="005F5839" w:rsidP="005F5839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No "X" In the Top Right of Widgets</w:t>
            </w:r>
          </w:p>
        </w:tc>
        <w:tc>
          <w:tcPr>
            <w:tcW w:w="4860" w:type="dxa"/>
            <w:hideMark/>
          </w:tcPr>
          <w:p w14:paraId="7D2A2C4D" w14:textId="017B6DA9" w:rsidR="005F5839" w:rsidRDefault="005F5839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Currently, widgets do not display an "X" in the upper right</w:t>
            </w:r>
            <w:r w:rsidR="001A1963">
              <w:rPr>
                <w:color w:val="000000" w:themeColor="text1"/>
                <w:szCs w:val="22"/>
              </w:rPr>
              <w:t xml:space="preserve"> corner</w:t>
            </w:r>
            <w:r w:rsidRPr="00C36E43">
              <w:rPr>
                <w:color w:val="000000" w:themeColor="text1"/>
                <w:szCs w:val="22"/>
              </w:rPr>
              <w:t xml:space="preserve"> of each widget. </w:t>
            </w:r>
          </w:p>
          <w:p w14:paraId="55F2746A" w14:textId="77777777" w:rsidR="001A1963" w:rsidRDefault="001A1963">
            <w:pPr>
              <w:rPr>
                <w:color w:val="000000" w:themeColor="text1"/>
                <w:szCs w:val="22"/>
              </w:rPr>
            </w:pPr>
          </w:p>
          <w:p w14:paraId="6C9069F2" w14:textId="42FD10D4" w:rsidR="001A1963" w:rsidRPr="00C36E43" w:rsidRDefault="001A1963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The “X” icons are now displayed in the upper right corner of each widget.</w:t>
            </w:r>
          </w:p>
        </w:tc>
      </w:tr>
      <w:tr w:rsidR="005F5839" w:rsidRPr="005F5839" w14:paraId="20E529D3" w14:textId="77777777" w:rsidTr="005F5839">
        <w:trPr>
          <w:trHeight w:val="2208"/>
        </w:trPr>
        <w:tc>
          <w:tcPr>
            <w:tcW w:w="1278" w:type="dxa"/>
          </w:tcPr>
          <w:p w14:paraId="766CF029" w14:textId="514F58F4" w:rsidR="005F5839" w:rsidRPr="005F5839" w:rsidRDefault="005F5839" w:rsidP="005F5839">
            <w:pPr>
              <w:rPr>
                <w:color w:val="000000" w:themeColor="text1"/>
                <w:szCs w:val="22"/>
              </w:rPr>
            </w:pPr>
            <w:r w:rsidRPr="008457D7">
              <w:rPr>
                <w:color w:val="000000" w:themeColor="text1"/>
              </w:rPr>
              <w:lastRenderedPageBreak/>
              <w:t>PR-3095</w:t>
            </w:r>
          </w:p>
        </w:tc>
        <w:tc>
          <w:tcPr>
            <w:tcW w:w="2970" w:type="dxa"/>
          </w:tcPr>
          <w:p w14:paraId="4C46467C" w14:textId="13F644CF" w:rsidR="005F5839" w:rsidRPr="005F5839" w:rsidRDefault="005F5839">
            <w:pPr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The user is u</w:t>
            </w:r>
            <w:r w:rsidRPr="008457D7">
              <w:rPr>
                <w:color w:val="000000"/>
              </w:rPr>
              <w:t xml:space="preserve">nable to select the VAMC and VISN under </w:t>
            </w:r>
            <w:r>
              <w:rPr>
                <w:color w:val="000000"/>
              </w:rPr>
              <w:t xml:space="preserve">the </w:t>
            </w:r>
            <w:r w:rsidRPr="008457D7">
              <w:rPr>
                <w:color w:val="000000"/>
              </w:rPr>
              <w:t xml:space="preserve">Surveillance View on the VISN roster as well as Facility roster widget with tab </w:t>
            </w:r>
            <w:r w:rsidR="001A1963">
              <w:rPr>
                <w:color w:val="000000"/>
              </w:rPr>
              <w:t xml:space="preserve">key </w:t>
            </w:r>
            <w:r w:rsidRPr="008457D7">
              <w:rPr>
                <w:color w:val="000000"/>
              </w:rPr>
              <w:t>(IE11)</w:t>
            </w:r>
            <w:r>
              <w:rPr>
                <w:color w:val="000000"/>
              </w:rPr>
              <w:t>.</w:t>
            </w:r>
          </w:p>
        </w:tc>
        <w:tc>
          <w:tcPr>
            <w:tcW w:w="4860" w:type="dxa"/>
          </w:tcPr>
          <w:p w14:paraId="661B4E75" w14:textId="6F02E4C8" w:rsidR="005F5839" w:rsidRPr="00F37D7C" w:rsidRDefault="00827E8F" w:rsidP="005F5839">
            <w:pPr>
              <w:spacing w:line="276" w:lineRule="auto"/>
            </w:pPr>
            <w:r>
              <w:t>Previously, t</w:t>
            </w:r>
            <w:r w:rsidR="005F5839">
              <w:t xml:space="preserve">he user </w:t>
            </w:r>
            <w:r>
              <w:t>was unable</w:t>
            </w:r>
            <w:r w:rsidR="005F5839" w:rsidRPr="00F37D7C">
              <w:t xml:space="preserve"> to select </w:t>
            </w:r>
            <w:r w:rsidR="005F5839">
              <w:t>a VAMC and VISN in the S</w:t>
            </w:r>
            <w:r w:rsidR="005F5839" w:rsidRPr="00F37D7C">
              <w:t xml:space="preserve">urveillance </w:t>
            </w:r>
            <w:r w:rsidR="005F5839">
              <w:t>v</w:t>
            </w:r>
            <w:r w:rsidR="005F5839" w:rsidRPr="00F37D7C">
              <w:t xml:space="preserve">iew </w:t>
            </w:r>
            <w:r w:rsidR="005F5839">
              <w:t>using the</w:t>
            </w:r>
            <w:r w:rsidR="005F5839" w:rsidRPr="00F37D7C">
              <w:t xml:space="preserve"> tab</w:t>
            </w:r>
            <w:r w:rsidR="005F5839">
              <w:t xml:space="preserve"> key on the keyboard</w:t>
            </w:r>
            <w:r w:rsidR="005F5839" w:rsidRPr="00F37D7C">
              <w:t>.</w:t>
            </w:r>
          </w:p>
          <w:p w14:paraId="5D0FB88D" w14:textId="77777777" w:rsidR="005F5839" w:rsidRDefault="005F5839" w:rsidP="005F5839">
            <w:pPr>
              <w:rPr>
                <w:color w:val="000000" w:themeColor="text1"/>
                <w:szCs w:val="22"/>
              </w:rPr>
            </w:pPr>
          </w:p>
          <w:p w14:paraId="3F0AEAF9" w14:textId="0C8AB9C5" w:rsidR="00827E8F" w:rsidRPr="005F5839" w:rsidRDefault="00827E8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This function</w:t>
            </w:r>
            <w:r w:rsidR="001A1963">
              <w:rPr>
                <w:color w:val="000000" w:themeColor="text1"/>
                <w:szCs w:val="22"/>
              </w:rPr>
              <w:t>ality is now available to users. Users</w:t>
            </w:r>
            <w:r>
              <w:rPr>
                <w:color w:val="000000" w:themeColor="text1"/>
                <w:szCs w:val="22"/>
              </w:rPr>
              <w:t xml:space="preserve"> can select a VAMC or VISN in the </w:t>
            </w:r>
            <w:r w:rsidR="001A1963">
              <w:rPr>
                <w:color w:val="000000" w:themeColor="text1"/>
                <w:szCs w:val="22"/>
              </w:rPr>
              <w:t>Surveillance</w:t>
            </w:r>
            <w:r>
              <w:rPr>
                <w:color w:val="000000" w:themeColor="text1"/>
                <w:szCs w:val="22"/>
              </w:rPr>
              <w:t xml:space="preserve"> view using the tab key.</w:t>
            </w:r>
          </w:p>
        </w:tc>
      </w:tr>
      <w:tr w:rsidR="005F5839" w:rsidRPr="005F5839" w14:paraId="0238770B" w14:textId="77777777" w:rsidTr="00C36E43">
        <w:trPr>
          <w:trHeight w:val="1988"/>
        </w:trPr>
        <w:tc>
          <w:tcPr>
            <w:tcW w:w="1278" w:type="dxa"/>
            <w:hideMark/>
          </w:tcPr>
          <w:p w14:paraId="773020E1" w14:textId="0C05F33C" w:rsidR="005F5839" w:rsidRPr="00C36E43" w:rsidRDefault="005F5839" w:rsidP="005F5839">
            <w:pPr>
              <w:rPr>
                <w:color w:val="0563C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PR-3092</w:t>
            </w:r>
          </w:p>
        </w:tc>
        <w:tc>
          <w:tcPr>
            <w:tcW w:w="2970" w:type="dxa"/>
            <w:hideMark/>
          </w:tcPr>
          <w:p w14:paraId="0C6A42BD" w14:textId="77777777" w:rsidR="005F5839" w:rsidRPr="00C36E43" w:rsidRDefault="005F5839" w:rsidP="005F5839">
            <w:pPr>
              <w:rPr>
                <w:color w:val="000000"/>
                <w:szCs w:val="22"/>
              </w:rPr>
            </w:pPr>
            <w:r w:rsidRPr="00C36E43">
              <w:rPr>
                <w:color w:val="000000"/>
                <w:szCs w:val="22"/>
              </w:rPr>
              <w:t>On Initial Load, the "Outreach Status" column loads data for the entire data set and not just the SPC user</w:t>
            </w:r>
          </w:p>
        </w:tc>
        <w:tc>
          <w:tcPr>
            <w:tcW w:w="4860" w:type="dxa"/>
            <w:hideMark/>
          </w:tcPr>
          <w:p w14:paraId="0CDA979A" w14:textId="76F9457B" w:rsidR="005F5839" w:rsidRDefault="001A1963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Previously w</w:t>
            </w:r>
            <w:r w:rsidR="005F5839" w:rsidRPr="00C36E43">
              <w:rPr>
                <w:color w:val="000000"/>
                <w:szCs w:val="22"/>
              </w:rPr>
              <w:t xml:space="preserve">hen </w:t>
            </w:r>
            <w:r>
              <w:rPr>
                <w:color w:val="000000"/>
                <w:szCs w:val="22"/>
              </w:rPr>
              <w:t xml:space="preserve">a user </w:t>
            </w:r>
            <w:r w:rsidR="005F5839" w:rsidRPr="00C36E43">
              <w:rPr>
                <w:color w:val="000000"/>
                <w:szCs w:val="22"/>
              </w:rPr>
              <w:t xml:space="preserve">logged in </w:t>
            </w:r>
            <w:r>
              <w:rPr>
                <w:color w:val="000000"/>
                <w:szCs w:val="22"/>
              </w:rPr>
              <w:t>to the system, the Outreach Status w</w:t>
            </w:r>
            <w:r w:rsidR="005F5839" w:rsidRPr="00C36E43">
              <w:rPr>
                <w:color w:val="000000"/>
                <w:szCs w:val="22"/>
              </w:rPr>
              <w:t xml:space="preserve">idget </w:t>
            </w:r>
            <w:r>
              <w:rPr>
                <w:color w:val="000000"/>
                <w:szCs w:val="22"/>
              </w:rPr>
              <w:t xml:space="preserve">would display data for the entire dataset, </w:t>
            </w:r>
            <w:r w:rsidR="005F5839" w:rsidRPr="00C36E43">
              <w:rPr>
                <w:color w:val="000000"/>
                <w:szCs w:val="22"/>
              </w:rPr>
              <w:t>not just for the facility t</w:t>
            </w:r>
            <w:r>
              <w:rPr>
                <w:color w:val="000000"/>
                <w:szCs w:val="22"/>
              </w:rPr>
              <w:t>he user was</w:t>
            </w:r>
            <w:r w:rsidR="005F5839" w:rsidRPr="00C36E43">
              <w:rPr>
                <w:color w:val="000000"/>
                <w:szCs w:val="22"/>
              </w:rPr>
              <w:t xml:space="preserve"> assigned to. </w:t>
            </w:r>
          </w:p>
          <w:p w14:paraId="38F6B348" w14:textId="77777777" w:rsidR="001A1963" w:rsidRDefault="001A1963">
            <w:pPr>
              <w:rPr>
                <w:color w:val="000000"/>
                <w:szCs w:val="22"/>
              </w:rPr>
            </w:pPr>
          </w:p>
          <w:p w14:paraId="638F0ED2" w14:textId="5BBF9540" w:rsidR="001A1963" w:rsidRPr="00C36E43" w:rsidRDefault="001A1963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Now when a user logs in to the system, the Outreach Status widget only displays data for the facility that user is assigned to.</w:t>
            </w:r>
          </w:p>
        </w:tc>
      </w:tr>
    </w:tbl>
    <w:p w14:paraId="63702152" w14:textId="6AFA761E" w:rsidR="00C77F40" w:rsidRPr="008457D7" w:rsidRDefault="00821A4C" w:rsidP="008457D7">
      <w:pPr>
        <w:pStyle w:val="Heading2"/>
        <w:rPr>
          <w:i w:val="0"/>
        </w:rPr>
      </w:pPr>
      <w:bookmarkStart w:id="41" w:name="_Toc443644423"/>
      <w:r w:rsidRPr="008457D7">
        <w:rPr>
          <w:i w:val="0"/>
        </w:rPr>
        <w:t>2.</w:t>
      </w:r>
      <w:r w:rsidR="000D2804">
        <w:rPr>
          <w:i w:val="0"/>
        </w:rPr>
        <w:t>2</w:t>
      </w:r>
      <w:r>
        <w:t xml:space="preserve"> </w:t>
      </w:r>
      <w:r w:rsidR="00C77F40" w:rsidRPr="008457D7">
        <w:rPr>
          <w:i w:val="0"/>
        </w:rPr>
        <w:t>Remaining Defects</w:t>
      </w:r>
      <w:bookmarkEnd w:id="41"/>
    </w:p>
    <w:p w14:paraId="57686C84" w14:textId="77777777" w:rsidR="00D84BB6" w:rsidRDefault="00D84BB6" w:rsidP="003274BC">
      <w:pPr>
        <w:jc w:val="center"/>
      </w:pPr>
    </w:p>
    <w:p w14:paraId="5FBB3681" w14:textId="54A7C83D" w:rsidR="00001E5D" w:rsidRPr="003274BC" w:rsidRDefault="00001E5D" w:rsidP="008457D7">
      <w:pPr>
        <w:spacing w:after="240"/>
        <w:jc w:val="center"/>
        <w:rPr>
          <w:sz w:val="22"/>
        </w:rPr>
      </w:pPr>
      <w:r w:rsidRPr="003274BC">
        <w:rPr>
          <w:rFonts w:ascii="Arial" w:hAnsi="Arial" w:cs="Arial"/>
          <w:b/>
          <w:sz w:val="22"/>
        </w:rPr>
        <w:t xml:space="preserve">Table </w:t>
      </w:r>
      <w:r w:rsidR="00EA76B6">
        <w:rPr>
          <w:rFonts w:ascii="Arial" w:hAnsi="Arial" w:cs="Arial"/>
          <w:b/>
          <w:sz w:val="22"/>
        </w:rPr>
        <w:t>3</w:t>
      </w:r>
      <w:r w:rsidRPr="003274BC">
        <w:rPr>
          <w:rFonts w:ascii="Arial" w:hAnsi="Arial" w:cs="Arial"/>
          <w:b/>
          <w:sz w:val="22"/>
        </w:rPr>
        <w:t>: Remaining Defects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215"/>
        <w:gridCol w:w="2920"/>
        <w:gridCol w:w="3443"/>
        <w:gridCol w:w="1998"/>
      </w:tblGrid>
      <w:tr w:rsidR="006A7FF7" w14:paraId="0CA1B6BD" w14:textId="281F78FD" w:rsidTr="00C36E43">
        <w:trPr>
          <w:trHeight w:val="359"/>
          <w:tblHeader/>
        </w:trPr>
        <w:tc>
          <w:tcPr>
            <w:tcW w:w="1215" w:type="dxa"/>
            <w:shd w:val="clear" w:color="auto" w:fill="EEECE1" w:themeFill="background2"/>
          </w:tcPr>
          <w:p w14:paraId="6C47D05B" w14:textId="77777777" w:rsidR="006A7FF7" w:rsidRPr="003274BC" w:rsidRDefault="006A7FF7" w:rsidP="003274BC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Key</w:t>
            </w:r>
          </w:p>
        </w:tc>
        <w:tc>
          <w:tcPr>
            <w:tcW w:w="2920" w:type="dxa"/>
            <w:shd w:val="clear" w:color="auto" w:fill="EEECE1" w:themeFill="background2"/>
          </w:tcPr>
          <w:p w14:paraId="1A1121F5" w14:textId="77777777" w:rsidR="006A7FF7" w:rsidRPr="003274BC" w:rsidRDefault="006A7FF7" w:rsidP="003274BC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Summary</w:t>
            </w:r>
          </w:p>
        </w:tc>
        <w:tc>
          <w:tcPr>
            <w:tcW w:w="3443" w:type="dxa"/>
            <w:shd w:val="clear" w:color="auto" w:fill="EEECE1" w:themeFill="background2"/>
          </w:tcPr>
          <w:p w14:paraId="1E5060E3" w14:textId="77777777" w:rsidR="006A7FF7" w:rsidRPr="003274BC" w:rsidRDefault="006A7FF7" w:rsidP="003274BC">
            <w:pPr>
              <w:spacing w:line="276" w:lineRule="auto"/>
              <w:jc w:val="center"/>
              <w:rPr>
                <w:b/>
              </w:rPr>
            </w:pPr>
            <w:r w:rsidRPr="003274BC">
              <w:rPr>
                <w:b/>
              </w:rPr>
              <w:t>Description</w:t>
            </w:r>
          </w:p>
        </w:tc>
        <w:tc>
          <w:tcPr>
            <w:tcW w:w="1998" w:type="dxa"/>
            <w:shd w:val="clear" w:color="auto" w:fill="EEECE1" w:themeFill="background2"/>
          </w:tcPr>
          <w:p w14:paraId="5A713EC0" w14:textId="668A4A95" w:rsidR="006A7FF7" w:rsidRPr="003274BC" w:rsidRDefault="006A7FF7" w:rsidP="003274B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434F7B" w14:paraId="697DFCFD" w14:textId="77777777" w:rsidTr="00C36E43">
        <w:tc>
          <w:tcPr>
            <w:tcW w:w="1215" w:type="dxa"/>
          </w:tcPr>
          <w:p w14:paraId="71944B7C" w14:textId="6721BA88" w:rsidR="00434F7B" w:rsidRPr="00F37D7C" w:rsidRDefault="00F8060E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PR-3049</w:t>
            </w:r>
          </w:p>
        </w:tc>
        <w:tc>
          <w:tcPr>
            <w:tcW w:w="2920" w:type="dxa"/>
          </w:tcPr>
          <w:p w14:paraId="6120DAFE" w14:textId="1EE86CC5" w:rsidR="00434F7B" w:rsidRPr="00F37D7C" w:rsidRDefault="00F8060E">
            <w:pPr>
              <w:spacing w:line="276" w:lineRule="auto"/>
              <w:rPr>
                <w:color w:val="000000"/>
              </w:rPr>
            </w:pPr>
            <w:r w:rsidRPr="00F8060E">
              <w:rPr>
                <w:color w:val="000000"/>
              </w:rPr>
              <w:t xml:space="preserve">Focused </w:t>
            </w:r>
            <w:r w:rsidR="00172587">
              <w:rPr>
                <w:color w:val="000000"/>
              </w:rPr>
              <w:t>f</w:t>
            </w:r>
            <w:r w:rsidRPr="00F8060E">
              <w:rPr>
                <w:color w:val="000000"/>
              </w:rPr>
              <w:t>ields have a blue box around them</w:t>
            </w:r>
            <w:r w:rsidR="00172587">
              <w:rPr>
                <w:color w:val="000000"/>
              </w:rPr>
              <w:t>.</w:t>
            </w:r>
          </w:p>
        </w:tc>
        <w:tc>
          <w:tcPr>
            <w:tcW w:w="3443" w:type="dxa"/>
          </w:tcPr>
          <w:p w14:paraId="447E215C" w14:textId="1AD8471C" w:rsidR="00434F7B" w:rsidRPr="00F37D7C" w:rsidRDefault="00F8060E">
            <w:pPr>
              <w:spacing w:line="276" w:lineRule="auto"/>
            </w:pPr>
            <w:r w:rsidRPr="00F8060E">
              <w:t xml:space="preserve">When a user clicks on a </w:t>
            </w:r>
            <w:r w:rsidR="0097004C">
              <w:t>container on certain pages</w:t>
            </w:r>
            <w:r w:rsidRPr="00F8060E">
              <w:t xml:space="preserve">, a blue box </w:t>
            </w:r>
            <w:r w:rsidR="00172587">
              <w:t>appears</w:t>
            </w:r>
            <w:r w:rsidRPr="00F8060E">
              <w:t xml:space="preserve"> around it. Only specific fields need to have blue boxes around them.</w:t>
            </w:r>
          </w:p>
        </w:tc>
        <w:tc>
          <w:tcPr>
            <w:tcW w:w="1998" w:type="dxa"/>
            <w:vAlign w:val="center"/>
          </w:tcPr>
          <w:p w14:paraId="35D28D28" w14:textId="603001BB" w:rsidR="00434F7B" w:rsidRPr="00F37D7C" w:rsidRDefault="00F8060E" w:rsidP="006A7FF7">
            <w:pPr>
              <w:spacing w:line="276" w:lineRule="auto"/>
              <w:jc w:val="center"/>
            </w:pPr>
            <w:r>
              <w:t>Trivial</w:t>
            </w:r>
          </w:p>
        </w:tc>
      </w:tr>
      <w:tr w:rsidR="00434F7B" w14:paraId="5EC8F6C0" w14:textId="77777777" w:rsidTr="00C36E43">
        <w:tc>
          <w:tcPr>
            <w:tcW w:w="1215" w:type="dxa"/>
          </w:tcPr>
          <w:p w14:paraId="1CBEB768" w14:textId="1251C6C8" w:rsidR="00434F7B" w:rsidRPr="00F37D7C" w:rsidRDefault="00F2343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PR-2973</w:t>
            </w:r>
          </w:p>
        </w:tc>
        <w:tc>
          <w:tcPr>
            <w:tcW w:w="2920" w:type="dxa"/>
          </w:tcPr>
          <w:p w14:paraId="5B8EC082" w14:textId="01542498" w:rsidR="00434F7B" w:rsidRPr="00F37D7C" w:rsidRDefault="00F2343F">
            <w:pPr>
              <w:spacing w:line="276" w:lineRule="auto"/>
              <w:rPr>
                <w:color w:val="000000"/>
              </w:rPr>
            </w:pPr>
            <w:r w:rsidRPr="00F2343F">
              <w:rPr>
                <w:color w:val="000000"/>
              </w:rPr>
              <w:t>Clinical Decis</w:t>
            </w:r>
            <w:r w:rsidR="00172587">
              <w:rPr>
                <w:color w:val="000000"/>
              </w:rPr>
              <w:t>i</w:t>
            </w:r>
            <w:r w:rsidRPr="00F2343F">
              <w:rPr>
                <w:color w:val="000000"/>
              </w:rPr>
              <w:t xml:space="preserve">on Support Widget shows </w:t>
            </w:r>
            <w:r w:rsidR="00172587">
              <w:rPr>
                <w:color w:val="000000"/>
              </w:rPr>
              <w:t>TOP and MIDDLE info</w:t>
            </w:r>
            <w:r w:rsidRPr="00F2343F">
              <w:rPr>
                <w:color w:val="000000"/>
              </w:rPr>
              <w:t xml:space="preserve"> for two seconds and then</w:t>
            </w:r>
            <w:r w:rsidR="00172587">
              <w:rPr>
                <w:color w:val="000000"/>
              </w:rPr>
              <w:t xml:space="preserve"> only</w:t>
            </w:r>
            <w:r w:rsidRPr="00F2343F">
              <w:rPr>
                <w:color w:val="000000"/>
              </w:rPr>
              <w:t xml:space="preserve"> </w:t>
            </w:r>
            <w:r w:rsidR="00172587">
              <w:rPr>
                <w:color w:val="000000"/>
              </w:rPr>
              <w:t>shows MIDDLE info.</w:t>
            </w:r>
          </w:p>
        </w:tc>
        <w:tc>
          <w:tcPr>
            <w:tcW w:w="3443" w:type="dxa"/>
          </w:tcPr>
          <w:p w14:paraId="39E75BAC" w14:textId="4279FA05" w:rsidR="00F2343F" w:rsidRDefault="00172587" w:rsidP="00F2343F">
            <w:pPr>
              <w:spacing w:line="276" w:lineRule="auto"/>
            </w:pPr>
            <w:r>
              <w:t xml:space="preserve">The </w:t>
            </w:r>
            <w:r w:rsidR="00F2343F">
              <w:t>Clinical Decision Support widget at first shows both TOP and MIDDLE info for 1-2 seconds before showing</w:t>
            </w:r>
            <w:r>
              <w:t xml:space="preserve"> only</w:t>
            </w:r>
            <w:r w:rsidR="00F2343F">
              <w:t xml:space="preserve"> MIDDLE</w:t>
            </w:r>
            <w:r>
              <w:t xml:space="preserve"> info</w:t>
            </w:r>
            <w:r w:rsidR="00F2343F">
              <w:t xml:space="preserve">. </w:t>
            </w:r>
          </w:p>
          <w:p w14:paraId="0E7C301E" w14:textId="473FC8EB" w:rsidR="00434F7B" w:rsidRPr="00F37D7C" w:rsidRDefault="00434F7B" w:rsidP="00F2343F">
            <w:pPr>
              <w:spacing w:line="276" w:lineRule="auto"/>
            </w:pPr>
          </w:p>
        </w:tc>
        <w:tc>
          <w:tcPr>
            <w:tcW w:w="1998" w:type="dxa"/>
            <w:vAlign w:val="center"/>
          </w:tcPr>
          <w:p w14:paraId="4D4EB029" w14:textId="051A1621" w:rsidR="00434F7B" w:rsidRPr="00F37D7C" w:rsidRDefault="00A20D27" w:rsidP="006A7FF7">
            <w:pPr>
              <w:spacing w:line="276" w:lineRule="auto"/>
              <w:jc w:val="center"/>
            </w:pPr>
            <w:r>
              <w:t>Trivial</w:t>
            </w:r>
          </w:p>
        </w:tc>
      </w:tr>
      <w:tr w:rsidR="00DD3124" w14:paraId="72EF191F" w14:textId="77777777" w:rsidTr="00C36E43">
        <w:tc>
          <w:tcPr>
            <w:tcW w:w="1215" w:type="dxa"/>
          </w:tcPr>
          <w:p w14:paraId="37A4DC88" w14:textId="59A39E37" w:rsidR="00DD3124" w:rsidRDefault="00DD3124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PR-3068</w:t>
            </w:r>
          </w:p>
        </w:tc>
        <w:tc>
          <w:tcPr>
            <w:tcW w:w="2920" w:type="dxa"/>
          </w:tcPr>
          <w:p w14:paraId="4AAD27B2" w14:textId="454C8F6A" w:rsidR="00DD3124" w:rsidRPr="004A3771" w:rsidRDefault="00DD3124">
            <w:pPr>
              <w:spacing w:line="276" w:lineRule="auto"/>
              <w:rPr>
                <w:color w:val="000000"/>
              </w:rPr>
            </w:pPr>
            <w:r w:rsidRPr="00DD3124">
              <w:rPr>
                <w:color w:val="000000"/>
              </w:rPr>
              <w:t>Surveillance View Bug Remediation</w:t>
            </w:r>
          </w:p>
        </w:tc>
        <w:tc>
          <w:tcPr>
            <w:tcW w:w="3443" w:type="dxa"/>
          </w:tcPr>
          <w:p w14:paraId="6FD8ACC8" w14:textId="64947E68" w:rsidR="00DD3124" w:rsidRDefault="00DD3124">
            <w:pPr>
              <w:spacing w:line="276" w:lineRule="auto"/>
            </w:pPr>
            <w:r>
              <w:t>When the user s</w:t>
            </w:r>
            <w:r w:rsidRPr="00DD3124">
              <w:t>elect</w:t>
            </w:r>
            <w:r>
              <w:t>s a</w:t>
            </w:r>
            <w:r w:rsidRPr="00DD3124">
              <w:t xml:space="preserve"> VISN/Facility in </w:t>
            </w:r>
            <w:r>
              <w:t xml:space="preserve">the </w:t>
            </w:r>
            <w:r w:rsidRPr="00DD3124">
              <w:t>Surveillance</w:t>
            </w:r>
            <w:r>
              <w:t xml:space="preserve"> view</w:t>
            </w:r>
            <w:r w:rsidRPr="00DD3124">
              <w:t>, then switch</w:t>
            </w:r>
            <w:r>
              <w:t>es</w:t>
            </w:r>
            <w:r w:rsidRPr="00DD3124">
              <w:t xml:space="preserve"> to </w:t>
            </w:r>
            <w:r>
              <w:t xml:space="preserve">the </w:t>
            </w:r>
            <w:r w:rsidRPr="00DD3124">
              <w:t xml:space="preserve">Facility View </w:t>
            </w:r>
            <w:r>
              <w:t xml:space="preserve">their selections in the </w:t>
            </w:r>
            <w:r w:rsidRPr="00DD3124">
              <w:t xml:space="preserve">Surveillance </w:t>
            </w:r>
            <w:r>
              <w:t>view are not saved and the Facility/VISN rosters do not</w:t>
            </w:r>
            <w:r w:rsidRPr="00DD3124">
              <w:t xml:space="preserve"> properly display </w:t>
            </w:r>
            <w:r>
              <w:t xml:space="preserve">the user’s </w:t>
            </w:r>
            <w:r w:rsidRPr="00DD3124">
              <w:t>se</w:t>
            </w:r>
            <w:r>
              <w:t>lections.</w:t>
            </w:r>
          </w:p>
        </w:tc>
        <w:tc>
          <w:tcPr>
            <w:tcW w:w="1998" w:type="dxa"/>
            <w:vAlign w:val="center"/>
          </w:tcPr>
          <w:p w14:paraId="66695BAE" w14:textId="2FC258EA" w:rsidR="00DD3124" w:rsidRDefault="00DD3124" w:rsidP="006A7FF7">
            <w:pPr>
              <w:spacing w:line="276" w:lineRule="auto"/>
              <w:jc w:val="center"/>
            </w:pPr>
            <w:r>
              <w:t>Major</w:t>
            </w:r>
          </w:p>
        </w:tc>
      </w:tr>
      <w:tr w:rsidR="00CC5F2B" w:rsidRPr="00CC5F2B" w14:paraId="4664F0FE" w14:textId="77777777" w:rsidTr="00C36E43">
        <w:trPr>
          <w:trHeight w:val="1104"/>
        </w:trPr>
        <w:tc>
          <w:tcPr>
            <w:tcW w:w="1215" w:type="dxa"/>
            <w:hideMark/>
          </w:tcPr>
          <w:p w14:paraId="48027901" w14:textId="2A5456D0" w:rsidR="00CC5F2B" w:rsidRPr="00C36E43" w:rsidRDefault="00CC5F2B" w:rsidP="00CC5F2B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lastRenderedPageBreak/>
              <w:t>PR-3225</w:t>
            </w:r>
          </w:p>
        </w:tc>
        <w:tc>
          <w:tcPr>
            <w:tcW w:w="2920" w:type="dxa"/>
            <w:hideMark/>
          </w:tcPr>
          <w:p w14:paraId="21E8FF52" w14:textId="77777777" w:rsidR="00CC5F2B" w:rsidRPr="00C36E43" w:rsidRDefault="00CC5F2B" w:rsidP="00CC5F2B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Blue Widget Titles are not readable</w:t>
            </w:r>
          </w:p>
        </w:tc>
        <w:tc>
          <w:tcPr>
            <w:tcW w:w="3443" w:type="dxa"/>
            <w:hideMark/>
          </w:tcPr>
          <w:p w14:paraId="0297AC1C" w14:textId="77777777" w:rsidR="00CC5F2B" w:rsidRPr="00C36E43" w:rsidRDefault="00CC5F2B" w:rsidP="00CC5F2B">
            <w:pPr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When a widget is resized, the blue widget titles do not fit in the allotted space and the title is cut off, making it unreadable.</w:t>
            </w:r>
          </w:p>
        </w:tc>
        <w:tc>
          <w:tcPr>
            <w:tcW w:w="1998" w:type="dxa"/>
            <w:vAlign w:val="center"/>
            <w:hideMark/>
          </w:tcPr>
          <w:p w14:paraId="0FB24DF2" w14:textId="3647830C" w:rsidR="00CC5F2B" w:rsidRPr="00C36E43" w:rsidRDefault="00CC5F2B" w:rsidP="00C36E43">
            <w:pPr>
              <w:jc w:val="center"/>
              <w:rPr>
                <w:color w:val="000000" w:themeColor="text1"/>
                <w:szCs w:val="22"/>
              </w:rPr>
            </w:pPr>
            <w:r w:rsidRPr="00C36E43">
              <w:rPr>
                <w:color w:val="000000" w:themeColor="text1"/>
                <w:szCs w:val="22"/>
              </w:rPr>
              <w:t>Minor</w:t>
            </w:r>
          </w:p>
        </w:tc>
      </w:tr>
      <w:tr w:rsidR="00434F7B" w14:paraId="2D4A9409" w14:textId="77777777" w:rsidTr="00C36E43">
        <w:tc>
          <w:tcPr>
            <w:tcW w:w="1215" w:type="dxa"/>
          </w:tcPr>
          <w:p w14:paraId="66BE0197" w14:textId="21897ED8" w:rsidR="00434F7B" w:rsidRPr="00F37D7C" w:rsidRDefault="007F381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PR-2185</w:t>
            </w:r>
          </w:p>
        </w:tc>
        <w:tc>
          <w:tcPr>
            <w:tcW w:w="2920" w:type="dxa"/>
          </w:tcPr>
          <w:p w14:paraId="224FEA21" w14:textId="4C4DDAFB" w:rsidR="00434F7B" w:rsidRPr="00F37D7C" w:rsidRDefault="007F381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Widget t</w:t>
            </w:r>
            <w:r w:rsidRPr="007F3811">
              <w:rPr>
                <w:color w:val="000000"/>
              </w:rPr>
              <w:t xml:space="preserve">itle repeats in a header style text and </w:t>
            </w:r>
            <w:r>
              <w:rPr>
                <w:color w:val="000000"/>
              </w:rPr>
              <w:t xml:space="preserve">also a </w:t>
            </w:r>
            <w:r w:rsidRPr="007F3811">
              <w:rPr>
                <w:color w:val="000000"/>
              </w:rPr>
              <w:t>bold/bubble text</w:t>
            </w:r>
          </w:p>
        </w:tc>
        <w:tc>
          <w:tcPr>
            <w:tcW w:w="3443" w:type="dxa"/>
          </w:tcPr>
          <w:p w14:paraId="6ED5B985" w14:textId="5F8996CD" w:rsidR="00434F7B" w:rsidRPr="00F37D7C" w:rsidRDefault="007F3811">
            <w:pPr>
              <w:spacing w:line="276" w:lineRule="auto"/>
            </w:pPr>
            <w:r>
              <w:t>The widget titles on the Dashboard repeat in a header style text and also a bold/bubble text.</w:t>
            </w:r>
          </w:p>
        </w:tc>
        <w:tc>
          <w:tcPr>
            <w:tcW w:w="1998" w:type="dxa"/>
            <w:vAlign w:val="center"/>
          </w:tcPr>
          <w:p w14:paraId="183B12BD" w14:textId="3C6B1602" w:rsidR="00434F7B" w:rsidRPr="00F37D7C" w:rsidRDefault="007F3811" w:rsidP="006A7FF7">
            <w:pPr>
              <w:spacing w:line="276" w:lineRule="auto"/>
              <w:jc w:val="center"/>
            </w:pPr>
            <w:r>
              <w:t>Trivial</w:t>
            </w:r>
          </w:p>
        </w:tc>
      </w:tr>
    </w:tbl>
    <w:p w14:paraId="2D8E081F" w14:textId="4AB1F552" w:rsidR="00446DDA" w:rsidRDefault="00446DDA" w:rsidP="003274BC"/>
    <w:p w14:paraId="1AF52B00" w14:textId="762CB271" w:rsidR="000413D2" w:rsidRDefault="000413D2" w:rsidP="008457D7">
      <w:pPr>
        <w:pStyle w:val="Heading2"/>
      </w:pPr>
      <w:bookmarkStart w:id="42" w:name="_Toc443644424"/>
      <w:r>
        <w:rPr>
          <w:i w:val="0"/>
        </w:rPr>
        <w:t>2.</w:t>
      </w:r>
      <w:r w:rsidR="000D2804">
        <w:rPr>
          <w:i w:val="0"/>
        </w:rPr>
        <w:t>3</w:t>
      </w:r>
      <w:r>
        <w:rPr>
          <w:i w:val="0"/>
        </w:rPr>
        <w:t xml:space="preserve"> New Features</w:t>
      </w:r>
      <w:bookmarkEnd w:id="42"/>
    </w:p>
    <w:p w14:paraId="2A418E77" w14:textId="2EEB178C" w:rsidR="000413D2" w:rsidRDefault="000413D2">
      <w:r>
        <w:t xml:space="preserve">The tables and content below describe new features incorporated in this release. </w:t>
      </w:r>
    </w:p>
    <w:p w14:paraId="0BF31122" w14:textId="77777777" w:rsidR="000413D2" w:rsidRDefault="000413D2"/>
    <w:p w14:paraId="06E4EC78" w14:textId="4508A704" w:rsidR="000413D2" w:rsidRDefault="000413D2" w:rsidP="008457D7">
      <w:pPr>
        <w:pStyle w:val="Heading3"/>
      </w:pPr>
      <w:bookmarkStart w:id="43" w:name="_Toc443644425"/>
      <w:r>
        <w:t>2.</w:t>
      </w:r>
      <w:r w:rsidR="000D2804">
        <w:t>3</w:t>
      </w:r>
      <w:r>
        <w:t xml:space="preserve">.1. </w:t>
      </w:r>
      <w:r w:rsidR="0031604A">
        <w:t>Attempt Prediction Chart</w:t>
      </w:r>
      <w:r>
        <w:t xml:space="preserve"> Widget</w:t>
      </w:r>
      <w:bookmarkEnd w:id="43"/>
    </w:p>
    <w:p w14:paraId="0FA09CF0" w14:textId="77777777" w:rsidR="00276C6C" w:rsidRDefault="00914ED7" w:rsidP="008457D7">
      <w:pPr>
        <w:keepNext/>
      </w:pPr>
      <w:r>
        <w:t xml:space="preserve">The </w:t>
      </w:r>
      <w:r w:rsidR="0031604A">
        <w:t>Attempt Prediction Chart</w:t>
      </w:r>
      <w:r>
        <w:t xml:space="preserve"> widget displayed below has been added to the IRDS dashboard since the last release.</w:t>
      </w:r>
      <w:r w:rsidR="00E33211">
        <w:t xml:space="preserve"> The </w:t>
      </w:r>
      <w:r w:rsidR="0031604A">
        <w:t>Attempt Prediction Chart</w:t>
      </w:r>
      <w:r w:rsidR="00E33211">
        <w:t xml:space="preserve"> widget is located on the Surveillance view and is only available to users with elevated access permissions.</w:t>
      </w:r>
      <w:r>
        <w:t xml:space="preserve"> This widget introduces a reporting and analytics component to the IRDS Dashboard allowing users to view data over a period of time and discern patient-related trends. The </w:t>
      </w:r>
      <w:r w:rsidR="0031604A">
        <w:t>Attempt Prediction Chart</w:t>
      </w:r>
      <w:r>
        <w:t xml:space="preserve"> widget displays monthly patient attempt data for a selected facility in line graph format and provides users with longitudinal trends of monthly reportable incidents for the previous 17 months. The user has the </w:t>
      </w:r>
      <w:r>
        <w:lastRenderedPageBreak/>
        <w:t xml:space="preserve">ability to hover their mouse over the dots on the line graph to view actual data along with upper limit, lower limit, and the line of best fit metrics. </w:t>
      </w:r>
    </w:p>
    <w:p w14:paraId="6B704501" w14:textId="0CF36773" w:rsidR="00914ED7" w:rsidRDefault="00914ED7" w:rsidP="008457D7">
      <w:pPr>
        <w:keepNext/>
      </w:pPr>
    </w:p>
    <w:p w14:paraId="4D944918" w14:textId="77777777" w:rsidR="003D5A58" w:rsidRDefault="003D5A58" w:rsidP="008457D7">
      <w:pPr>
        <w:keepNext/>
      </w:pPr>
    </w:p>
    <w:p w14:paraId="7A29CF72" w14:textId="70D45CA6" w:rsidR="003D5A58" w:rsidRDefault="0031604A" w:rsidP="008457D7">
      <w:pPr>
        <w:keepNext/>
        <w:jc w:val="center"/>
      </w:pPr>
      <w:r>
        <w:rPr>
          <w:noProof/>
        </w:rPr>
        <w:drawing>
          <wp:inline distT="0" distB="0" distL="0" distR="0" wp14:anchorId="70CB9A9A" wp14:editId="4DF6F3B7">
            <wp:extent cx="4702233" cy="3750734"/>
            <wp:effectExtent l="57150" t="57150" r="117475" b="1168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460" cy="3758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121A6" w14:textId="2DE43519" w:rsidR="00AB05B8" w:rsidRPr="008457D7" w:rsidRDefault="003D5A58" w:rsidP="00C36E43">
      <w:pPr>
        <w:pStyle w:val="Caption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2B56B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Figure </w:t>
      </w:r>
      <w:r w:rsidRPr="002B56B4">
        <w:rPr>
          <w:rFonts w:ascii="Arial" w:hAnsi="Arial" w:cs="Arial"/>
          <w:b/>
          <w:iCs w:val="0"/>
          <w:color w:val="000000" w:themeColor="text1"/>
          <w:sz w:val="20"/>
          <w:szCs w:val="20"/>
        </w:rPr>
        <w:fldChar w:fldCharType="begin"/>
      </w:r>
      <w:r w:rsidRPr="002B56B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Figure \* ARABIC </w:instrText>
      </w:r>
      <w:r w:rsidRPr="002B56B4">
        <w:rPr>
          <w:rFonts w:ascii="Arial" w:hAnsi="Arial" w:cs="Arial"/>
          <w:b/>
          <w:iCs w:val="0"/>
          <w:color w:val="000000" w:themeColor="text1"/>
          <w:sz w:val="20"/>
          <w:szCs w:val="20"/>
        </w:rPr>
        <w:fldChar w:fldCharType="separate"/>
      </w:r>
      <w:r w:rsidR="005673B7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2B56B4">
        <w:rPr>
          <w:rFonts w:ascii="Arial" w:hAnsi="Arial" w:cs="Arial"/>
          <w:b/>
          <w:iCs w:val="0"/>
          <w:color w:val="000000" w:themeColor="text1"/>
          <w:sz w:val="20"/>
          <w:szCs w:val="20"/>
        </w:rPr>
        <w:fldChar w:fldCharType="end"/>
      </w:r>
      <w:r w:rsidRPr="002B56B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: </w:t>
      </w:r>
      <w:r w:rsidR="0031604A">
        <w:rPr>
          <w:rFonts w:ascii="Arial" w:hAnsi="Arial" w:cs="Arial"/>
          <w:b/>
          <w:i w:val="0"/>
          <w:color w:val="000000" w:themeColor="text1"/>
          <w:sz w:val="20"/>
          <w:szCs w:val="20"/>
        </w:rPr>
        <w:t>Attempt Prediction Chart</w:t>
      </w:r>
      <w:r w:rsidRPr="002B56B4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Widget</w:t>
      </w:r>
    </w:p>
    <w:p w14:paraId="0FAEE7AF" w14:textId="77777777" w:rsidR="00AB05B8" w:rsidRDefault="00AB05B8"/>
    <w:p w14:paraId="2EE4ED8C" w14:textId="2784980B" w:rsidR="00213863" w:rsidRDefault="000D2804" w:rsidP="008457D7">
      <w:pPr>
        <w:pStyle w:val="Heading3"/>
      </w:pPr>
      <w:bookmarkStart w:id="44" w:name="_Toc443644426"/>
      <w:r>
        <w:t>2.3</w:t>
      </w:r>
      <w:r w:rsidR="00213863">
        <w:t>.2. Data Entry Widget</w:t>
      </w:r>
      <w:bookmarkEnd w:id="44"/>
    </w:p>
    <w:p w14:paraId="03F8A4D8" w14:textId="0336A25D" w:rsidR="00213863" w:rsidRDefault="00213863" w:rsidP="000F2396">
      <w:pPr>
        <w:keepNext/>
        <w:spacing w:after="240"/>
      </w:pPr>
      <w:r>
        <w:t xml:space="preserve">The Data Entry widget displayed below has been added to the IRDS dashboard since the last release. The </w:t>
      </w:r>
      <w:r w:rsidR="007C29BE">
        <w:t>Data Entry</w:t>
      </w:r>
      <w:r>
        <w:t xml:space="preserve"> widget is located on the </w:t>
      </w:r>
      <w:r w:rsidR="007C29BE">
        <w:t>Individual</w:t>
      </w:r>
      <w:r>
        <w:t xml:space="preserve"> view and is </w:t>
      </w:r>
      <w:r w:rsidR="007C29BE">
        <w:t>available to all users</w:t>
      </w:r>
      <w:r>
        <w:t>. This widget introduces a</w:t>
      </w:r>
      <w:r w:rsidR="007C29BE">
        <w:t>n informal</w:t>
      </w:r>
      <w:r>
        <w:t xml:space="preserve"> reporting component to the IRDS Dashboard allowing users to </w:t>
      </w:r>
      <w:r w:rsidR="007C29BE">
        <w:t>enter and save patient</w:t>
      </w:r>
      <w:r w:rsidR="00A16D4F">
        <w:t>-related</w:t>
      </w:r>
      <w:r w:rsidR="007C29BE">
        <w:t xml:space="preserve"> information in the IRDS Database.</w:t>
      </w:r>
      <w:r>
        <w:t xml:space="preserve"> </w:t>
      </w:r>
      <w:r w:rsidR="00A16D4F">
        <w:t xml:space="preserve">The Data Entry widget </w:t>
      </w:r>
      <w:r>
        <w:lastRenderedPageBreak/>
        <w:t xml:space="preserve">displays </w:t>
      </w:r>
      <w:r w:rsidR="00A16D4F">
        <w:t>information entered by the user and official information from the systems of record. System of record data in this widget is updated on a monthly basis.</w:t>
      </w:r>
      <w:r>
        <w:t xml:space="preserve"> </w:t>
      </w:r>
    </w:p>
    <w:p w14:paraId="54EAE2C5" w14:textId="77777777" w:rsidR="005673B7" w:rsidRDefault="005673B7" w:rsidP="00C36E43">
      <w:pPr>
        <w:keepNext/>
        <w:jc w:val="center"/>
      </w:pPr>
      <w:r>
        <w:rPr>
          <w:noProof/>
        </w:rPr>
        <w:drawing>
          <wp:inline distT="0" distB="0" distL="0" distR="0" wp14:anchorId="4920C17B" wp14:editId="73EC71DA">
            <wp:extent cx="4285012" cy="3666066"/>
            <wp:effectExtent l="57150" t="57150" r="115570" b="106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9495" cy="36699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5E2AC" w14:textId="0C0B423E" w:rsidR="00417B1E" w:rsidRPr="00C36E43" w:rsidRDefault="005673B7" w:rsidP="00C36E43">
      <w:pPr>
        <w:pStyle w:val="Caption"/>
        <w:jc w:val="center"/>
        <w:rPr>
          <w:rFonts w:ascii="Arial" w:hAnsi="Arial" w:cs="Arial"/>
          <w:b/>
          <w:color w:val="000000" w:themeColor="text1"/>
          <w:sz w:val="20"/>
        </w:rPr>
      </w:pPr>
      <w:r w:rsidRPr="00C36E43">
        <w:rPr>
          <w:rFonts w:ascii="Arial" w:hAnsi="Arial" w:cs="Arial"/>
          <w:b/>
          <w:i w:val="0"/>
          <w:color w:val="000000" w:themeColor="text1"/>
          <w:sz w:val="20"/>
        </w:rPr>
        <w:t xml:space="preserve">Figure </w:t>
      </w:r>
      <w:r w:rsidRPr="00C36E43">
        <w:rPr>
          <w:rFonts w:ascii="Arial" w:hAnsi="Arial" w:cs="Arial"/>
          <w:b/>
          <w:i w:val="0"/>
          <w:color w:val="000000" w:themeColor="text1"/>
          <w:sz w:val="20"/>
        </w:rPr>
        <w:fldChar w:fldCharType="begin"/>
      </w:r>
      <w:r w:rsidRPr="00C36E43">
        <w:rPr>
          <w:rFonts w:ascii="Arial" w:hAnsi="Arial" w:cs="Arial"/>
          <w:b/>
          <w:i w:val="0"/>
          <w:color w:val="000000" w:themeColor="text1"/>
          <w:sz w:val="20"/>
        </w:rPr>
        <w:instrText xml:space="preserve"> SEQ Figure \* ARABIC </w:instrText>
      </w:r>
      <w:r w:rsidRPr="00C36E43">
        <w:rPr>
          <w:rFonts w:ascii="Arial" w:hAnsi="Arial" w:cs="Arial"/>
          <w:b/>
          <w:i w:val="0"/>
          <w:color w:val="000000" w:themeColor="text1"/>
          <w:sz w:val="20"/>
        </w:rPr>
        <w:fldChar w:fldCharType="separate"/>
      </w:r>
      <w:r w:rsidRPr="00C36E43">
        <w:rPr>
          <w:rFonts w:ascii="Arial" w:hAnsi="Arial" w:cs="Arial"/>
          <w:b/>
          <w:i w:val="0"/>
          <w:noProof/>
          <w:color w:val="000000" w:themeColor="text1"/>
          <w:sz w:val="20"/>
        </w:rPr>
        <w:t>2</w:t>
      </w:r>
      <w:r w:rsidRPr="00C36E43">
        <w:rPr>
          <w:rFonts w:ascii="Arial" w:hAnsi="Arial" w:cs="Arial"/>
          <w:b/>
          <w:i w:val="0"/>
          <w:color w:val="000000" w:themeColor="text1"/>
          <w:sz w:val="20"/>
        </w:rPr>
        <w:fldChar w:fldCharType="end"/>
      </w:r>
      <w:r w:rsidRPr="00C36E43">
        <w:rPr>
          <w:rFonts w:ascii="Arial" w:hAnsi="Arial" w:cs="Arial"/>
          <w:b/>
          <w:i w:val="0"/>
          <w:color w:val="000000" w:themeColor="text1"/>
          <w:sz w:val="20"/>
        </w:rPr>
        <w:t>: Data Entry Widget</w:t>
      </w:r>
    </w:p>
    <w:p w14:paraId="5225EB75" w14:textId="2F0FDF3D" w:rsidR="00446DDA" w:rsidRDefault="00446DDA" w:rsidP="00446DDA">
      <w:pPr>
        <w:pStyle w:val="Heading2"/>
      </w:pPr>
      <w:bookmarkStart w:id="45" w:name="_Toc430005565"/>
      <w:bookmarkStart w:id="46" w:name="_Toc443644427"/>
      <w:r w:rsidRPr="00AE2888">
        <w:rPr>
          <w:i w:val="0"/>
        </w:rPr>
        <w:t>Appendix A</w:t>
      </w:r>
      <w:r>
        <w:rPr>
          <w:i w:val="0"/>
        </w:rPr>
        <w:t>.</w:t>
      </w:r>
      <w:r w:rsidRPr="00AE2888">
        <w:rPr>
          <w:i w:val="0"/>
        </w:rPr>
        <w:t xml:space="preserve"> Priority Definitions</w:t>
      </w:r>
      <w:bookmarkEnd w:id="45"/>
      <w:bookmarkEnd w:id="46"/>
      <w:r w:rsidRPr="00AE2888">
        <w:rPr>
          <w:i w:val="0"/>
        </w:rPr>
        <w:t xml:space="preserve"> </w:t>
      </w:r>
    </w:p>
    <w:p w14:paraId="13C6C58B" w14:textId="77777777" w:rsidR="00446DDA" w:rsidRPr="00FB208D" w:rsidRDefault="00446DDA" w:rsidP="00446DDA">
      <w:r>
        <w:t xml:space="preserve">The table below defines the criteria used in the defect descriptions in this document. </w:t>
      </w:r>
    </w:p>
    <w:p w14:paraId="4B951766" w14:textId="77777777" w:rsidR="00446DDA" w:rsidRDefault="00446DDA" w:rsidP="00446DDA"/>
    <w:p w14:paraId="31AF7CD9" w14:textId="77777777" w:rsidR="00446DDA" w:rsidRPr="00AE2888" w:rsidRDefault="00446DDA" w:rsidP="00446DDA">
      <w:pPr>
        <w:pStyle w:val="Caption"/>
        <w:keepNext/>
        <w:jc w:val="center"/>
        <w:rPr>
          <w:rFonts w:ascii="Arial" w:hAnsi="Arial" w:cs="Arial"/>
          <w:b/>
          <w:sz w:val="22"/>
          <w:szCs w:val="22"/>
        </w:rPr>
      </w:pP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AB05B8">
        <w:rPr>
          <w:rFonts w:ascii="Arial" w:hAnsi="Arial" w:cs="Arial"/>
          <w:b/>
          <w:i w:val="0"/>
          <w:noProof/>
          <w:color w:val="auto"/>
          <w:sz w:val="22"/>
          <w:szCs w:val="22"/>
        </w:rPr>
        <w:t>4</w:t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AE2888">
        <w:rPr>
          <w:rFonts w:ascii="Arial" w:hAnsi="Arial" w:cs="Arial"/>
          <w:b/>
          <w:i w:val="0"/>
          <w:color w:val="auto"/>
          <w:sz w:val="22"/>
          <w:szCs w:val="22"/>
        </w:rPr>
        <w:t>: Priority 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3919"/>
      </w:tblGrid>
      <w:tr w:rsidR="00446DDA" w:rsidRPr="00FB208D" w14:paraId="3A88363C" w14:textId="77777777" w:rsidTr="00A16D4F">
        <w:trPr>
          <w:jc w:val="center"/>
        </w:trPr>
        <w:tc>
          <w:tcPr>
            <w:tcW w:w="995" w:type="dxa"/>
            <w:shd w:val="clear" w:color="auto" w:fill="D9D9D9"/>
          </w:tcPr>
          <w:p w14:paraId="34554DAD" w14:textId="77777777" w:rsidR="00446DDA" w:rsidRPr="00FB208D" w:rsidRDefault="00446DDA" w:rsidP="00A16D4F">
            <w:pPr>
              <w:spacing w:before="120" w:after="120"/>
              <w:rPr>
                <w:b/>
                <w:sz w:val="22"/>
                <w:szCs w:val="22"/>
              </w:rPr>
            </w:pPr>
            <w:r w:rsidRPr="00FB208D">
              <w:rPr>
                <w:b/>
                <w:sz w:val="22"/>
                <w:szCs w:val="22"/>
              </w:rPr>
              <w:t>Priority Level</w:t>
            </w:r>
          </w:p>
        </w:tc>
        <w:tc>
          <w:tcPr>
            <w:tcW w:w="3919" w:type="dxa"/>
            <w:shd w:val="clear" w:color="auto" w:fill="D9D9D9"/>
          </w:tcPr>
          <w:p w14:paraId="4791AC35" w14:textId="77777777" w:rsidR="00446DDA" w:rsidRPr="00FB208D" w:rsidRDefault="00446DDA" w:rsidP="00A16D4F">
            <w:pPr>
              <w:spacing w:before="120" w:after="120"/>
              <w:rPr>
                <w:b/>
                <w:sz w:val="22"/>
                <w:szCs w:val="22"/>
              </w:rPr>
            </w:pPr>
            <w:r w:rsidRPr="00FB208D">
              <w:rPr>
                <w:b/>
                <w:sz w:val="22"/>
                <w:szCs w:val="22"/>
              </w:rPr>
              <w:t>Description</w:t>
            </w:r>
          </w:p>
        </w:tc>
      </w:tr>
      <w:tr w:rsidR="00446DDA" w:rsidRPr="00FB208D" w14:paraId="4516E172" w14:textId="77777777" w:rsidTr="00A16D4F">
        <w:trPr>
          <w:jc w:val="center"/>
        </w:trPr>
        <w:tc>
          <w:tcPr>
            <w:tcW w:w="995" w:type="dxa"/>
            <w:shd w:val="clear" w:color="auto" w:fill="auto"/>
          </w:tcPr>
          <w:p w14:paraId="1695727E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Blocker</w:t>
            </w:r>
          </w:p>
        </w:tc>
        <w:tc>
          <w:tcPr>
            <w:tcW w:w="3919" w:type="dxa"/>
            <w:shd w:val="clear" w:color="auto" w:fill="auto"/>
          </w:tcPr>
          <w:p w14:paraId="7E560551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 xml:space="preserve">Critical functionality not implemented correctly; user cannot meet the business objectives; a work-around (temporary fix) is </w:t>
            </w:r>
            <w:r w:rsidRPr="00FB208D">
              <w:rPr>
                <w:b/>
                <w:i/>
                <w:sz w:val="22"/>
                <w:szCs w:val="22"/>
                <w:u w:val="single"/>
              </w:rPr>
              <w:t>NOT</w:t>
            </w:r>
            <w:r w:rsidRPr="00FB208D">
              <w:rPr>
                <w:sz w:val="22"/>
                <w:szCs w:val="22"/>
              </w:rPr>
              <w:t xml:space="preserve"> available</w:t>
            </w:r>
          </w:p>
        </w:tc>
      </w:tr>
      <w:tr w:rsidR="00446DDA" w:rsidRPr="00FB208D" w14:paraId="6D6700BA" w14:textId="77777777" w:rsidTr="00A16D4F">
        <w:trPr>
          <w:jc w:val="center"/>
        </w:trPr>
        <w:tc>
          <w:tcPr>
            <w:tcW w:w="995" w:type="dxa"/>
            <w:shd w:val="clear" w:color="auto" w:fill="auto"/>
          </w:tcPr>
          <w:p w14:paraId="19D3B758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Critical</w:t>
            </w:r>
          </w:p>
        </w:tc>
        <w:tc>
          <w:tcPr>
            <w:tcW w:w="3919" w:type="dxa"/>
            <w:shd w:val="clear" w:color="auto" w:fill="auto"/>
          </w:tcPr>
          <w:p w14:paraId="6A2D7825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Errors found which result in the user not being able to meet the business objectives; a work-around (temporary fix) is available</w:t>
            </w:r>
          </w:p>
        </w:tc>
      </w:tr>
      <w:tr w:rsidR="00446DDA" w:rsidRPr="00FB208D" w14:paraId="291ED756" w14:textId="77777777" w:rsidTr="00A16D4F">
        <w:trPr>
          <w:jc w:val="center"/>
        </w:trPr>
        <w:tc>
          <w:tcPr>
            <w:tcW w:w="995" w:type="dxa"/>
            <w:shd w:val="clear" w:color="auto" w:fill="auto"/>
          </w:tcPr>
          <w:p w14:paraId="2393BEE2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Major</w:t>
            </w:r>
          </w:p>
        </w:tc>
        <w:tc>
          <w:tcPr>
            <w:tcW w:w="3919" w:type="dxa"/>
            <w:shd w:val="clear" w:color="auto" w:fill="auto"/>
          </w:tcPr>
          <w:p w14:paraId="760E995F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 xml:space="preserve">This is a moderate defect, which can cause some deviations from the </w:t>
            </w:r>
            <w:r w:rsidRPr="00FB208D">
              <w:rPr>
                <w:sz w:val="22"/>
                <w:szCs w:val="22"/>
              </w:rPr>
              <w:lastRenderedPageBreak/>
              <w:t>requirements; deviation is not serious and does not require a work around</w:t>
            </w:r>
          </w:p>
        </w:tc>
      </w:tr>
      <w:tr w:rsidR="00446DDA" w:rsidRPr="00FB208D" w14:paraId="795B9F29" w14:textId="77777777" w:rsidTr="00A16D4F">
        <w:trPr>
          <w:jc w:val="center"/>
        </w:trPr>
        <w:tc>
          <w:tcPr>
            <w:tcW w:w="995" w:type="dxa"/>
            <w:shd w:val="clear" w:color="auto" w:fill="auto"/>
          </w:tcPr>
          <w:p w14:paraId="1F37C19B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lastRenderedPageBreak/>
              <w:t>Minor</w:t>
            </w:r>
          </w:p>
        </w:tc>
        <w:tc>
          <w:tcPr>
            <w:tcW w:w="3919" w:type="dxa"/>
            <w:shd w:val="clear" w:color="auto" w:fill="auto"/>
          </w:tcPr>
          <w:p w14:paraId="390B1619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Minor defect, which causes the user some inconvenience but does not alter functionality (e.g. spelling error, user interface [UI] issue, aesthetics, or other minor issues)</w:t>
            </w:r>
          </w:p>
        </w:tc>
      </w:tr>
      <w:tr w:rsidR="00446DDA" w:rsidRPr="00FB208D" w14:paraId="222E0484" w14:textId="77777777" w:rsidTr="00A16D4F">
        <w:trPr>
          <w:jc w:val="center"/>
        </w:trPr>
        <w:tc>
          <w:tcPr>
            <w:tcW w:w="995" w:type="dxa"/>
            <w:shd w:val="clear" w:color="auto" w:fill="auto"/>
          </w:tcPr>
          <w:p w14:paraId="4AF5DF2E" w14:textId="77777777" w:rsidR="00446DDA" w:rsidRPr="00FB208D" w:rsidDel="00061EC9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Trivial</w:t>
            </w:r>
          </w:p>
        </w:tc>
        <w:tc>
          <w:tcPr>
            <w:tcW w:w="3919" w:type="dxa"/>
            <w:shd w:val="clear" w:color="auto" w:fill="auto"/>
          </w:tcPr>
          <w:p w14:paraId="557FC825" w14:textId="77777777" w:rsidR="00446DDA" w:rsidRPr="00FB208D" w:rsidRDefault="00446DDA" w:rsidP="00A16D4F">
            <w:pPr>
              <w:spacing w:before="120" w:after="120"/>
              <w:rPr>
                <w:sz w:val="22"/>
                <w:szCs w:val="22"/>
              </w:rPr>
            </w:pPr>
            <w:r w:rsidRPr="00FB208D">
              <w:rPr>
                <w:sz w:val="22"/>
                <w:szCs w:val="22"/>
              </w:rPr>
              <w:t>Cosmetic problem like misspelled words or misaligned text</w:t>
            </w:r>
          </w:p>
        </w:tc>
      </w:tr>
    </w:tbl>
    <w:p w14:paraId="4F9BCB60" w14:textId="6F9ACED5" w:rsidR="00DA4B6D" w:rsidRPr="00F31E93" w:rsidRDefault="00DA4B6D" w:rsidP="003274BC"/>
    <w:sectPr w:rsidR="00DA4B6D" w:rsidRPr="00F31E93" w:rsidSect="00397ACC">
      <w:headerReference w:type="even" r:id="rId26"/>
      <w:headerReference w:type="default" r:id="rId27"/>
      <w:headerReference w:type="first" r:id="rId2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57225" w14:textId="77777777" w:rsidR="00AB5E1E" w:rsidRDefault="00AB5E1E">
      <w:r>
        <w:separator/>
      </w:r>
    </w:p>
  </w:endnote>
  <w:endnote w:type="continuationSeparator" w:id="0">
    <w:p w14:paraId="48F00398" w14:textId="77777777" w:rsidR="00AB5E1E" w:rsidRDefault="00AB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1B546" w14:textId="77777777" w:rsidR="00AB5E1E" w:rsidRPr="00201442" w:rsidRDefault="00AB5E1E" w:rsidP="00C014DB">
    <w:pPr>
      <w:pStyle w:val="Footer"/>
      <w:pBdr>
        <w:top w:val="single" w:sz="4" w:space="1" w:color="auto"/>
      </w:pBdr>
      <w:tabs>
        <w:tab w:val="clear" w:pos="4320"/>
        <w:tab w:val="center" w:pos="4680"/>
      </w:tabs>
      <w:rPr>
        <w:szCs w:val="20"/>
      </w:rPr>
    </w:pPr>
    <w:r>
      <w:rPr>
        <w:szCs w:val="20"/>
      </w:rPr>
      <w:t xml:space="preserve">June </w:t>
    </w:r>
    <w:r w:rsidRPr="00201442">
      <w:rPr>
        <w:szCs w:val="20"/>
      </w:rPr>
      <w:t>20</w:t>
    </w:r>
    <w:r>
      <w:rPr>
        <w:szCs w:val="20"/>
      </w:rPr>
      <w:t>12</w:t>
    </w:r>
    <w:r w:rsidRPr="00201442">
      <w:rPr>
        <w:szCs w:val="20"/>
      </w:rPr>
      <w:tab/>
    </w:r>
    <w:r>
      <w:rPr>
        <w:szCs w:val="20"/>
      </w:rPr>
      <w:t>TBI</w:t>
    </w:r>
    <w:r w:rsidRPr="00201442">
      <w:rPr>
        <w:szCs w:val="20"/>
      </w:rPr>
      <w:t xml:space="preserve"> </w:t>
    </w:r>
    <w:r>
      <w:rPr>
        <w:szCs w:val="20"/>
      </w:rPr>
      <w:t>4</w:t>
    </w:r>
    <w:r w:rsidRPr="00201442">
      <w:rPr>
        <w:szCs w:val="20"/>
      </w:rPr>
      <w:t>.</w:t>
    </w:r>
    <w:r>
      <w:rPr>
        <w:szCs w:val="20"/>
      </w:rPr>
      <w:t xml:space="preserve">0 </w:t>
    </w:r>
    <w:r w:rsidRPr="00201442">
      <w:rPr>
        <w:szCs w:val="20"/>
      </w:rPr>
      <w:t>Release Notes</w:t>
    </w:r>
    <w:r w:rsidRPr="00201442">
      <w:rPr>
        <w:szCs w:val="20"/>
      </w:rPr>
      <w:tab/>
    </w:r>
    <w:r w:rsidRPr="00201442">
      <w:rPr>
        <w:rStyle w:val="PageNumber"/>
        <w:szCs w:val="20"/>
      </w:rPr>
      <w:fldChar w:fldCharType="begin"/>
    </w:r>
    <w:r w:rsidRPr="00201442">
      <w:rPr>
        <w:rStyle w:val="PageNumber"/>
        <w:szCs w:val="20"/>
      </w:rPr>
      <w:instrText xml:space="preserve"> PAGE </w:instrText>
    </w:r>
    <w:r w:rsidRPr="00201442">
      <w:rPr>
        <w:rStyle w:val="PageNumber"/>
        <w:szCs w:val="20"/>
      </w:rPr>
      <w:fldChar w:fldCharType="separate"/>
    </w:r>
    <w:r>
      <w:rPr>
        <w:rStyle w:val="PageNumber"/>
        <w:noProof/>
        <w:szCs w:val="20"/>
      </w:rPr>
      <w:t>ii</w:t>
    </w:r>
    <w:r w:rsidRPr="00201442">
      <w:rPr>
        <w:rStyle w:val="PageNumber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365A2" w14:textId="226AF41D" w:rsidR="00AB5E1E" w:rsidRDefault="00AB5E1E" w:rsidP="00A37735">
    <w:pPr>
      <w:pStyle w:val="Footer"/>
      <w:jc w:val="center"/>
      <w:rPr>
        <w:rStyle w:val="PageNumber"/>
      </w:rPr>
    </w:pPr>
    <w:r>
      <w:t>Perceptive Reach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E43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ab/>
    </w:r>
    <w:r w:rsidR="006B1EA8">
      <w:rPr>
        <w:rStyle w:val="PageNumber"/>
      </w:rPr>
      <w:t>February</w:t>
    </w:r>
    <w:r>
      <w:rPr>
        <w:rStyle w:val="PageNumber"/>
      </w:rPr>
      <w:t xml:space="preserve"> </w:t>
    </w:r>
    <w:r w:rsidRPr="009F4DE5">
      <w:rPr>
        <w:rStyle w:val="PageNumber"/>
      </w:rPr>
      <w:t>201</w:t>
    </w:r>
    <w:r>
      <w:rPr>
        <w:rStyle w:val="PageNumber"/>
      </w:rPr>
      <w:t>6</w:t>
    </w:r>
  </w:p>
  <w:p w14:paraId="158EE9BF" w14:textId="77777777" w:rsidR="00AB5E1E" w:rsidRPr="00A37735" w:rsidRDefault="00AB5E1E" w:rsidP="00A377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087F" w14:textId="1FD5E294" w:rsidR="00AB5E1E" w:rsidRDefault="00AB5E1E" w:rsidP="00A37735">
    <w:pPr>
      <w:pStyle w:val="Footer"/>
      <w:jc w:val="center"/>
      <w:rPr>
        <w:rStyle w:val="PageNumber"/>
      </w:rPr>
    </w:pPr>
    <w:r>
      <w:t>Perceptive Reach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E4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  <w:r w:rsidR="006B1EA8">
      <w:rPr>
        <w:rStyle w:val="PageNumber"/>
      </w:rPr>
      <w:t>February</w:t>
    </w:r>
    <w:r>
      <w:rPr>
        <w:rStyle w:val="PageNumber"/>
      </w:rPr>
      <w:t xml:space="preserve"> </w:t>
    </w:r>
    <w:r w:rsidRPr="009F4DE5">
      <w:rPr>
        <w:rStyle w:val="PageNumber"/>
      </w:rPr>
      <w:t>201</w:t>
    </w:r>
    <w:r>
      <w:rPr>
        <w:rStyle w:val="PageNumber"/>
      </w:rPr>
      <w:t>6</w:t>
    </w:r>
  </w:p>
  <w:p w14:paraId="7B559646" w14:textId="77777777" w:rsidR="00AB5E1E" w:rsidRPr="00A37735" w:rsidRDefault="00AB5E1E" w:rsidP="00A37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3E8F6" w14:textId="77777777" w:rsidR="00AB5E1E" w:rsidRDefault="00AB5E1E">
      <w:r>
        <w:separator/>
      </w:r>
    </w:p>
  </w:footnote>
  <w:footnote w:type="continuationSeparator" w:id="0">
    <w:p w14:paraId="1F672BC4" w14:textId="77777777" w:rsidR="00AB5E1E" w:rsidRDefault="00AB5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218E8" w14:textId="77777777" w:rsidR="00AB5E1E" w:rsidRDefault="00AB5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7365D" w:themeFill="text2" w:themeFillShade="BF"/>
      <w:tblLook w:val="04A0" w:firstRow="1" w:lastRow="0" w:firstColumn="1" w:lastColumn="0" w:noHBand="0" w:noVBand="1"/>
    </w:tblPr>
    <w:tblGrid>
      <w:gridCol w:w="3629"/>
      <w:gridCol w:w="2102"/>
      <w:gridCol w:w="3629"/>
    </w:tblGrid>
    <w:tr w:rsidR="00AB5E1E" w:rsidRPr="009F023A" w14:paraId="638249FC" w14:textId="77777777" w:rsidTr="00A16D4F">
      <w:trPr>
        <w:trHeight w:val="710"/>
        <w:jc w:val="center"/>
      </w:trPr>
      <w:tc>
        <w:tcPr>
          <w:tcW w:w="3629" w:type="dxa"/>
          <w:shd w:val="clear" w:color="auto" w:fill="FFFFFF" w:themeFill="background1"/>
          <w:vAlign w:val="center"/>
        </w:tcPr>
        <w:p w14:paraId="786B37B9" w14:textId="77777777" w:rsidR="00AB5E1E" w:rsidRPr="009F023A" w:rsidRDefault="00AB5E1E" w:rsidP="00A16D4F">
          <w:pPr>
            <w:pStyle w:val="Header"/>
          </w:pPr>
          <w:r>
            <w:t>Release Notes</w:t>
          </w:r>
        </w:p>
      </w:tc>
      <w:tc>
        <w:tcPr>
          <w:tcW w:w="2102" w:type="dxa"/>
          <w:shd w:val="clear" w:color="auto" w:fill="FFFFFF" w:themeFill="background1"/>
          <w:vAlign w:val="center"/>
        </w:tcPr>
        <w:p w14:paraId="4445B323" w14:textId="77777777" w:rsidR="00AB5E1E" w:rsidRPr="009F023A" w:rsidRDefault="00AB5E1E" w:rsidP="00A16D4F">
          <w:pPr>
            <w:pStyle w:val="Header"/>
          </w:pPr>
        </w:p>
      </w:tc>
      <w:tc>
        <w:tcPr>
          <w:tcW w:w="3629" w:type="dxa"/>
          <w:shd w:val="clear" w:color="auto" w:fill="FFFFFF" w:themeFill="background1"/>
          <w:vAlign w:val="center"/>
        </w:tcPr>
        <w:p w14:paraId="40F6142A" w14:textId="77777777" w:rsidR="00AB5E1E" w:rsidRDefault="00AB5E1E" w:rsidP="00A16D4F">
          <w:pPr>
            <w:pStyle w:val="Header"/>
            <w:jc w:val="right"/>
          </w:pPr>
          <w:r>
            <w:rPr>
              <w:rStyle w:val="PageNumber"/>
            </w:rPr>
            <w:t>Perceptive Reach</w:t>
          </w:r>
        </w:p>
        <w:p w14:paraId="3B706FEA" w14:textId="4DE6B69C" w:rsidR="00AB5E1E" w:rsidRPr="009F023A" w:rsidRDefault="006B1EA8" w:rsidP="00A16D4F">
          <w:pPr>
            <w:pStyle w:val="Header"/>
            <w:jc w:val="right"/>
          </w:pPr>
          <w:r>
            <w:t xml:space="preserve">February </w:t>
          </w:r>
          <w:r w:rsidR="00AB5E1E">
            <w:t>2016</w:t>
          </w:r>
        </w:p>
      </w:tc>
    </w:tr>
  </w:tbl>
  <w:p w14:paraId="185D2A8E" w14:textId="77777777" w:rsidR="00AB5E1E" w:rsidRDefault="00AB5E1E" w:rsidP="002D6E64">
    <w:pPr>
      <w:pStyle w:val="Header"/>
    </w:pPr>
  </w:p>
  <w:p w14:paraId="4936538A" w14:textId="77777777" w:rsidR="00AB5E1E" w:rsidRDefault="00AB5E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7365D" w:themeFill="text2" w:themeFillShade="BF"/>
      <w:tblLook w:val="04A0" w:firstRow="1" w:lastRow="0" w:firstColumn="1" w:lastColumn="0" w:noHBand="0" w:noVBand="1"/>
    </w:tblPr>
    <w:tblGrid>
      <w:gridCol w:w="3629"/>
      <w:gridCol w:w="2102"/>
      <w:gridCol w:w="3629"/>
    </w:tblGrid>
    <w:tr w:rsidR="00AB5E1E" w:rsidRPr="009F023A" w14:paraId="231F441D" w14:textId="77777777" w:rsidTr="00A16D4F">
      <w:trPr>
        <w:trHeight w:val="710"/>
        <w:jc w:val="center"/>
      </w:trPr>
      <w:tc>
        <w:tcPr>
          <w:tcW w:w="3629" w:type="dxa"/>
          <w:shd w:val="clear" w:color="auto" w:fill="FFFFFF" w:themeFill="background1"/>
          <w:vAlign w:val="center"/>
        </w:tcPr>
        <w:p w14:paraId="6220A4BF" w14:textId="77777777" w:rsidR="00AB5E1E" w:rsidRPr="009F023A" w:rsidRDefault="00AB5E1E" w:rsidP="00A16D4F">
          <w:pPr>
            <w:pStyle w:val="Header"/>
          </w:pPr>
          <w:r>
            <w:t>Release Notes</w:t>
          </w:r>
        </w:p>
      </w:tc>
      <w:tc>
        <w:tcPr>
          <w:tcW w:w="2102" w:type="dxa"/>
          <w:shd w:val="clear" w:color="auto" w:fill="FFFFFF" w:themeFill="background1"/>
          <w:vAlign w:val="center"/>
        </w:tcPr>
        <w:p w14:paraId="195D2D26" w14:textId="77777777" w:rsidR="00AB5E1E" w:rsidRPr="009F023A" w:rsidRDefault="00AB5E1E" w:rsidP="00A16D4F">
          <w:pPr>
            <w:pStyle w:val="Header"/>
          </w:pPr>
        </w:p>
      </w:tc>
      <w:tc>
        <w:tcPr>
          <w:tcW w:w="3629" w:type="dxa"/>
          <w:shd w:val="clear" w:color="auto" w:fill="FFFFFF" w:themeFill="background1"/>
          <w:vAlign w:val="center"/>
        </w:tcPr>
        <w:p w14:paraId="2699C4A7" w14:textId="77777777" w:rsidR="00AB5E1E" w:rsidRDefault="00AB5E1E" w:rsidP="00A16D4F">
          <w:pPr>
            <w:pStyle w:val="Header"/>
            <w:jc w:val="right"/>
          </w:pPr>
          <w:r>
            <w:rPr>
              <w:rStyle w:val="PageNumber"/>
            </w:rPr>
            <w:t>Perceptive Reach</w:t>
          </w:r>
        </w:p>
        <w:p w14:paraId="7419F6D5" w14:textId="1907DDC6" w:rsidR="00AB5E1E" w:rsidRPr="009F023A" w:rsidRDefault="006B1EA8" w:rsidP="00A16D4F">
          <w:pPr>
            <w:pStyle w:val="Header"/>
            <w:jc w:val="right"/>
          </w:pPr>
          <w:r>
            <w:t>February</w:t>
          </w:r>
          <w:r w:rsidR="00AB5E1E">
            <w:t xml:space="preserve"> 2016</w:t>
          </w:r>
        </w:p>
      </w:tc>
    </w:tr>
  </w:tbl>
  <w:p w14:paraId="0184D465" w14:textId="77777777" w:rsidR="00AB5E1E" w:rsidRDefault="00AB5E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A4B9B" w14:textId="77777777" w:rsidR="00AB5E1E" w:rsidRDefault="00AB5E1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7365D" w:themeFill="text2" w:themeFillShade="BF"/>
      <w:tblLook w:val="04A0" w:firstRow="1" w:lastRow="0" w:firstColumn="1" w:lastColumn="0" w:noHBand="0" w:noVBand="1"/>
    </w:tblPr>
    <w:tblGrid>
      <w:gridCol w:w="3629"/>
      <w:gridCol w:w="2102"/>
      <w:gridCol w:w="3629"/>
    </w:tblGrid>
    <w:tr w:rsidR="00AB5E1E" w:rsidRPr="009F023A" w14:paraId="4D47384D" w14:textId="77777777" w:rsidTr="00A16D4F">
      <w:trPr>
        <w:trHeight w:val="710"/>
        <w:jc w:val="center"/>
      </w:trPr>
      <w:tc>
        <w:tcPr>
          <w:tcW w:w="3629" w:type="dxa"/>
          <w:shd w:val="clear" w:color="auto" w:fill="FFFFFF" w:themeFill="background1"/>
          <w:vAlign w:val="center"/>
        </w:tcPr>
        <w:p w14:paraId="2E8062A1" w14:textId="77777777" w:rsidR="00AB5E1E" w:rsidRPr="009F023A" w:rsidRDefault="00AB5E1E" w:rsidP="008220BE">
          <w:pPr>
            <w:pStyle w:val="Header"/>
          </w:pPr>
          <w:r>
            <w:t>Release Notes</w:t>
          </w:r>
        </w:p>
      </w:tc>
      <w:tc>
        <w:tcPr>
          <w:tcW w:w="2102" w:type="dxa"/>
          <w:shd w:val="clear" w:color="auto" w:fill="FFFFFF" w:themeFill="background1"/>
          <w:vAlign w:val="center"/>
        </w:tcPr>
        <w:p w14:paraId="0E548B1D" w14:textId="77777777" w:rsidR="00AB5E1E" w:rsidRPr="009F023A" w:rsidRDefault="00AB5E1E" w:rsidP="008220BE">
          <w:pPr>
            <w:pStyle w:val="Header"/>
          </w:pPr>
        </w:p>
      </w:tc>
      <w:tc>
        <w:tcPr>
          <w:tcW w:w="3629" w:type="dxa"/>
          <w:shd w:val="clear" w:color="auto" w:fill="FFFFFF" w:themeFill="background1"/>
          <w:vAlign w:val="center"/>
        </w:tcPr>
        <w:p w14:paraId="5C699C18" w14:textId="77777777" w:rsidR="00AB5E1E" w:rsidRDefault="00AB5E1E" w:rsidP="008220BE">
          <w:pPr>
            <w:pStyle w:val="Header"/>
            <w:jc w:val="right"/>
          </w:pPr>
          <w:r>
            <w:rPr>
              <w:rStyle w:val="PageNumber"/>
            </w:rPr>
            <w:t>Perceptive Reach</w:t>
          </w:r>
        </w:p>
        <w:p w14:paraId="5A962646" w14:textId="5FE690B8" w:rsidR="00AB5E1E" w:rsidRPr="009F023A" w:rsidRDefault="006B1EA8" w:rsidP="008220BE">
          <w:pPr>
            <w:pStyle w:val="Header"/>
            <w:jc w:val="right"/>
          </w:pPr>
          <w:r>
            <w:t>February</w:t>
          </w:r>
          <w:r w:rsidR="00AB5E1E">
            <w:t xml:space="preserve"> 2016</w:t>
          </w:r>
        </w:p>
      </w:tc>
    </w:tr>
  </w:tbl>
  <w:p w14:paraId="245D4D32" w14:textId="77777777" w:rsidR="00AB5E1E" w:rsidRDefault="00AB5E1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7365D" w:themeFill="text2" w:themeFillShade="BF"/>
      <w:tblLook w:val="04A0" w:firstRow="1" w:lastRow="0" w:firstColumn="1" w:lastColumn="0" w:noHBand="0" w:noVBand="1"/>
    </w:tblPr>
    <w:tblGrid>
      <w:gridCol w:w="3629"/>
      <w:gridCol w:w="2102"/>
      <w:gridCol w:w="3629"/>
    </w:tblGrid>
    <w:tr w:rsidR="00AB5E1E" w:rsidRPr="009F023A" w14:paraId="5B958A23" w14:textId="77777777" w:rsidTr="00A16D4F">
      <w:trPr>
        <w:trHeight w:val="710"/>
        <w:jc w:val="center"/>
      </w:trPr>
      <w:tc>
        <w:tcPr>
          <w:tcW w:w="3629" w:type="dxa"/>
          <w:shd w:val="clear" w:color="auto" w:fill="FFFFFF" w:themeFill="background1"/>
          <w:vAlign w:val="center"/>
        </w:tcPr>
        <w:p w14:paraId="5442F715" w14:textId="77777777" w:rsidR="00AB5E1E" w:rsidRPr="009F023A" w:rsidRDefault="00AB5E1E" w:rsidP="00A16D4F">
          <w:pPr>
            <w:pStyle w:val="Header"/>
          </w:pPr>
          <w:r>
            <w:t>Release Notes</w:t>
          </w:r>
        </w:p>
      </w:tc>
      <w:tc>
        <w:tcPr>
          <w:tcW w:w="2102" w:type="dxa"/>
          <w:shd w:val="clear" w:color="auto" w:fill="FFFFFF" w:themeFill="background1"/>
          <w:vAlign w:val="center"/>
        </w:tcPr>
        <w:p w14:paraId="280DCFF9" w14:textId="77777777" w:rsidR="00AB5E1E" w:rsidRPr="009F023A" w:rsidRDefault="00AB5E1E" w:rsidP="00A16D4F">
          <w:pPr>
            <w:pStyle w:val="Header"/>
          </w:pPr>
        </w:p>
      </w:tc>
      <w:tc>
        <w:tcPr>
          <w:tcW w:w="3629" w:type="dxa"/>
          <w:shd w:val="clear" w:color="auto" w:fill="FFFFFF" w:themeFill="background1"/>
          <w:vAlign w:val="center"/>
        </w:tcPr>
        <w:p w14:paraId="34F05A26" w14:textId="77777777" w:rsidR="00AB5E1E" w:rsidRDefault="00AB5E1E" w:rsidP="00A16D4F">
          <w:pPr>
            <w:pStyle w:val="Header"/>
            <w:jc w:val="right"/>
          </w:pPr>
          <w:r>
            <w:rPr>
              <w:rStyle w:val="PageNumber"/>
            </w:rPr>
            <w:t>Perceptive Reach</w:t>
          </w:r>
        </w:p>
        <w:p w14:paraId="03BF43B8" w14:textId="6FC1D9E3" w:rsidR="00AB5E1E" w:rsidRPr="009F023A" w:rsidRDefault="006B1EA8" w:rsidP="00510195">
          <w:pPr>
            <w:pStyle w:val="Header"/>
            <w:jc w:val="right"/>
          </w:pPr>
          <w:r>
            <w:t>February</w:t>
          </w:r>
          <w:r w:rsidR="00AB5E1E">
            <w:t xml:space="preserve"> 2016</w:t>
          </w:r>
        </w:p>
      </w:tc>
    </w:tr>
  </w:tbl>
  <w:p w14:paraId="12E14592" w14:textId="77777777" w:rsidR="00AB5E1E" w:rsidRDefault="00AB5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AE0FE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04F71"/>
    <w:multiLevelType w:val="multilevel"/>
    <w:tmpl w:val="41AA70F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i w:val="0"/>
      </w:rPr>
    </w:lvl>
  </w:abstractNum>
  <w:abstractNum w:abstractNumId="2" w15:restartNumberingAfterBreak="0">
    <w:nsid w:val="0E074B2C"/>
    <w:multiLevelType w:val="hybridMultilevel"/>
    <w:tmpl w:val="3530DB9C"/>
    <w:lvl w:ilvl="0" w:tplc="AD588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E8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A5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0F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2C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40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28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85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43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101CF9"/>
    <w:multiLevelType w:val="hybridMultilevel"/>
    <w:tmpl w:val="C0E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5C7C"/>
    <w:multiLevelType w:val="multilevel"/>
    <w:tmpl w:val="B518E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 w:val="0"/>
        <w:i w:val="0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i w:val="0"/>
      </w:rPr>
    </w:lvl>
  </w:abstractNum>
  <w:abstractNum w:abstractNumId="5" w15:restartNumberingAfterBreak="0">
    <w:nsid w:val="1651494F"/>
    <w:multiLevelType w:val="hybridMultilevel"/>
    <w:tmpl w:val="410C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3750"/>
    <w:multiLevelType w:val="hybridMultilevel"/>
    <w:tmpl w:val="8912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57283"/>
    <w:multiLevelType w:val="hybridMultilevel"/>
    <w:tmpl w:val="401A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FF6563"/>
    <w:multiLevelType w:val="multilevel"/>
    <w:tmpl w:val="9312B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  <w:i w:val="0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i w:val="0"/>
      </w:rPr>
    </w:lvl>
  </w:abstractNum>
  <w:abstractNum w:abstractNumId="9" w15:restartNumberingAfterBreak="0">
    <w:nsid w:val="318030C6"/>
    <w:multiLevelType w:val="hybridMultilevel"/>
    <w:tmpl w:val="44107C40"/>
    <w:lvl w:ilvl="0" w:tplc="0616C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1E14"/>
    <w:multiLevelType w:val="hybridMultilevel"/>
    <w:tmpl w:val="C87AA50A"/>
    <w:lvl w:ilvl="0" w:tplc="0616C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44DB0"/>
    <w:multiLevelType w:val="multilevel"/>
    <w:tmpl w:val="155A6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6EC7E57"/>
    <w:multiLevelType w:val="hybridMultilevel"/>
    <w:tmpl w:val="685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3EE"/>
    <w:multiLevelType w:val="multilevel"/>
    <w:tmpl w:val="155A6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EEC02A7"/>
    <w:multiLevelType w:val="multilevel"/>
    <w:tmpl w:val="41AA70F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F104D9F"/>
    <w:multiLevelType w:val="hybridMultilevel"/>
    <w:tmpl w:val="E87EB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5377A"/>
    <w:multiLevelType w:val="hybridMultilevel"/>
    <w:tmpl w:val="D106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10130"/>
    <w:multiLevelType w:val="multilevel"/>
    <w:tmpl w:val="155A6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6073597"/>
    <w:multiLevelType w:val="hybridMultilevel"/>
    <w:tmpl w:val="320C4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41175"/>
    <w:multiLevelType w:val="hybridMultilevel"/>
    <w:tmpl w:val="F2A68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5"/>
  </w:num>
  <w:num w:numId="7">
    <w:abstractNumId w:val="11"/>
  </w:num>
  <w:num w:numId="8">
    <w:abstractNumId w:val="17"/>
  </w:num>
  <w:num w:numId="9">
    <w:abstractNumId w:val="13"/>
  </w:num>
  <w:num w:numId="10">
    <w:abstractNumId w:val="4"/>
  </w:num>
  <w:num w:numId="11">
    <w:abstractNumId w:val="8"/>
  </w:num>
  <w:num w:numId="12">
    <w:abstractNumId w:val="1"/>
  </w:num>
  <w:num w:numId="13">
    <w:abstractNumId w:val="14"/>
  </w:num>
  <w:num w:numId="14">
    <w:abstractNumId w:val="10"/>
  </w:num>
  <w:num w:numId="15">
    <w:abstractNumId w:val="9"/>
  </w:num>
  <w:num w:numId="16">
    <w:abstractNumId w:val="19"/>
  </w:num>
  <w:num w:numId="17">
    <w:abstractNumId w:val="18"/>
  </w:num>
  <w:num w:numId="18">
    <w:abstractNumId w:val="16"/>
  </w:num>
  <w:num w:numId="19">
    <w:abstractNumId w:val="6"/>
  </w:num>
  <w:num w:numId="2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31"/>
    <w:rsid w:val="00001609"/>
    <w:rsid w:val="00001E5D"/>
    <w:rsid w:val="0000777B"/>
    <w:rsid w:val="00010652"/>
    <w:rsid w:val="00017298"/>
    <w:rsid w:val="0002101A"/>
    <w:rsid w:val="00022A74"/>
    <w:rsid w:val="00024179"/>
    <w:rsid w:val="00024539"/>
    <w:rsid w:val="0002680B"/>
    <w:rsid w:val="000413D2"/>
    <w:rsid w:val="000456C4"/>
    <w:rsid w:val="00052817"/>
    <w:rsid w:val="0005365E"/>
    <w:rsid w:val="000602DB"/>
    <w:rsid w:val="00061E1F"/>
    <w:rsid w:val="00066091"/>
    <w:rsid w:val="000713FB"/>
    <w:rsid w:val="00075F84"/>
    <w:rsid w:val="00081659"/>
    <w:rsid w:val="0008514A"/>
    <w:rsid w:val="000851EB"/>
    <w:rsid w:val="00086866"/>
    <w:rsid w:val="00087B45"/>
    <w:rsid w:val="00090D14"/>
    <w:rsid w:val="0009694B"/>
    <w:rsid w:val="000A1C7C"/>
    <w:rsid w:val="000A27F9"/>
    <w:rsid w:val="000A5AC0"/>
    <w:rsid w:val="000B13B9"/>
    <w:rsid w:val="000B2063"/>
    <w:rsid w:val="000B2E10"/>
    <w:rsid w:val="000C0E6E"/>
    <w:rsid w:val="000C33E7"/>
    <w:rsid w:val="000C4F2D"/>
    <w:rsid w:val="000C5AE6"/>
    <w:rsid w:val="000C5DC5"/>
    <w:rsid w:val="000D0953"/>
    <w:rsid w:val="000D192F"/>
    <w:rsid w:val="000D2804"/>
    <w:rsid w:val="000E2173"/>
    <w:rsid w:val="000E73D3"/>
    <w:rsid w:val="000F2396"/>
    <w:rsid w:val="000F2417"/>
    <w:rsid w:val="000F7E12"/>
    <w:rsid w:val="00104D1C"/>
    <w:rsid w:val="00110C83"/>
    <w:rsid w:val="001152E0"/>
    <w:rsid w:val="00116891"/>
    <w:rsid w:val="00117842"/>
    <w:rsid w:val="001237A3"/>
    <w:rsid w:val="00123F5D"/>
    <w:rsid w:val="00126E1B"/>
    <w:rsid w:val="001317CF"/>
    <w:rsid w:val="00133297"/>
    <w:rsid w:val="00137186"/>
    <w:rsid w:val="00140F02"/>
    <w:rsid w:val="00150FD0"/>
    <w:rsid w:val="00155ACC"/>
    <w:rsid w:val="00157139"/>
    <w:rsid w:val="001604E1"/>
    <w:rsid w:val="00164EAF"/>
    <w:rsid w:val="00167502"/>
    <w:rsid w:val="0017043D"/>
    <w:rsid w:val="00172587"/>
    <w:rsid w:val="00172C0D"/>
    <w:rsid w:val="0018068B"/>
    <w:rsid w:val="00180941"/>
    <w:rsid w:val="00183BF3"/>
    <w:rsid w:val="00183F52"/>
    <w:rsid w:val="00185E9A"/>
    <w:rsid w:val="00187E31"/>
    <w:rsid w:val="001A05E8"/>
    <w:rsid w:val="001A1963"/>
    <w:rsid w:val="001A1BFF"/>
    <w:rsid w:val="001A3E34"/>
    <w:rsid w:val="001A6E05"/>
    <w:rsid w:val="001B4CA2"/>
    <w:rsid w:val="001B66D4"/>
    <w:rsid w:val="001B7D56"/>
    <w:rsid w:val="001C2A06"/>
    <w:rsid w:val="001C5C96"/>
    <w:rsid w:val="001C684D"/>
    <w:rsid w:val="001C7BE7"/>
    <w:rsid w:val="001D2AE7"/>
    <w:rsid w:val="001D709F"/>
    <w:rsid w:val="001D7829"/>
    <w:rsid w:val="001E1306"/>
    <w:rsid w:val="001E7F1B"/>
    <w:rsid w:val="001F49CF"/>
    <w:rsid w:val="00200F1C"/>
    <w:rsid w:val="002010B4"/>
    <w:rsid w:val="00201442"/>
    <w:rsid w:val="00202087"/>
    <w:rsid w:val="00204072"/>
    <w:rsid w:val="00205B70"/>
    <w:rsid w:val="00213863"/>
    <w:rsid w:val="00213E72"/>
    <w:rsid w:val="002222F5"/>
    <w:rsid w:val="00230DFA"/>
    <w:rsid w:val="00231078"/>
    <w:rsid w:val="00231AB8"/>
    <w:rsid w:val="00232342"/>
    <w:rsid w:val="00232668"/>
    <w:rsid w:val="002328BE"/>
    <w:rsid w:val="00233119"/>
    <w:rsid w:val="00237D1A"/>
    <w:rsid w:val="00244ABF"/>
    <w:rsid w:val="00252E04"/>
    <w:rsid w:val="00257580"/>
    <w:rsid w:val="00261359"/>
    <w:rsid w:val="00263735"/>
    <w:rsid w:val="00267441"/>
    <w:rsid w:val="002723F8"/>
    <w:rsid w:val="0027279C"/>
    <w:rsid w:val="00276C6C"/>
    <w:rsid w:val="00285581"/>
    <w:rsid w:val="00285BD5"/>
    <w:rsid w:val="00291C66"/>
    <w:rsid w:val="00294B9D"/>
    <w:rsid w:val="002A17D8"/>
    <w:rsid w:val="002A33F3"/>
    <w:rsid w:val="002A4438"/>
    <w:rsid w:val="002B5EB5"/>
    <w:rsid w:val="002C0FD6"/>
    <w:rsid w:val="002C3D2B"/>
    <w:rsid w:val="002C7F6D"/>
    <w:rsid w:val="002D157E"/>
    <w:rsid w:val="002D192A"/>
    <w:rsid w:val="002D3A7D"/>
    <w:rsid w:val="002D634B"/>
    <w:rsid w:val="002D6574"/>
    <w:rsid w:val="002D6E64"/>
    <w:rsid w:val="002D7791"/>
    <w:rsid w:val="002E0C99"/>
    <w:rsid w:val="002E1241"/>
    <w:rsid w:val="002F0CA0"/>
    <w:rsid w:val="002F2AF2"/>
    <w:rsid w:val="002F4F1D"/>
    <w:rsid w:val="002F57E8"/>
    <w:rsid w:val="002F6314"/>
    <w:rsid w:val="002F6BE2"/>
    <w:rsid w:val="00300189"/>
    <w:rsid w:val="00301C66"/>
    <w:rsid w:val="00311779"/>
    <w:rsid w:val="00315686"/>
    <w:rsid w:val="0031604A"/>
    <w:rsid w:val="00316D1F"/>
    <w:rsid w:val="00320636"/>
    <w:rsid w:val="00321854"/>
    <w:rsid w:val="003236E3"/>
    <w:rsid w:val="00324404"/>
    <w:rsid w:val="003274BC"/>
    <w:rsid w:val="0033445B"/>
    <w:rsid w:val="00352B19"/>
    <w:rsid w:val="00355A6B"/>
    <w:rsid w:val="0035798A"/>
    <w:rsid w:val="0036032D"/>
    <w:rsid w:val="00360872"/>
    <w:rsid w:val="00370B3F"/>
    <w:rsid w:val="0037134C"/>
    <w:rsid w:val="00374636"/>
    <w:rsid w:val="00382133"/>
    <w:rsid w:val="00382310"/>
    <w:rsid w:val="00383235"/>
    <w:rsid w:val="0038341B"/>
    <w:rsid w:val="003838B5"/>
    <w:rsid w:val="003901C7"/>
    <w:rsid w:val="0039038E"/>
    <w:rsid w:val="0039357D"/>
    <w:rsid w:val="0039380D"/>
    <w:rsid w:val="00393E36"/>
    <w:rsid w:val="00397ACC"/>
    <w:rsid w:val="003A0420"/>
    <w:rsid w:val="003A4A44"/>
    <w:rsid w:val="003A648F"/>
    <w:rsid w:val="003B0ADB"/>
    <w:rsid w:val="003B517F"/>
    <w:rsid w:val="003B63F2"/>
    <w:rsid w:val="003C4894"/>
    <w:rsid w:val="003C4EDC"/>
    <w:rsid w:val="003C6F23"/>
    <w:rsid w:val="003D5A58"/>
    <w:rsid w:val="003D5EA0"/>
    <w:rsid w:val="003D5F45"/>
    <w:rsid w:val="003E1286"/>
    <w:rsid w:val="003F41BF"/>
    <w:rsid w:val="003F59CC"/>
    <w:rsid w:val="003F6FCB"/>
    <w:rsid w:val="00403479"/>
    <w:rsid w:val="0040419E"/>
    <w:rsid w:val="004045BF"/>
    <w:rsid w:val="004064B5"/>
    <w:rsid w:val="00412386"/>
    <w:rsid w:val="00416D7A"/>
    <w:rsid w:val="0041731A"/>
    <w:rsid w:val="00417B1E"/>
    <w:rsid w:val="0042110E"/>
    <w:rsid w:val="004252B8"/>
    <w:rsid w:val="0042628E"/>
    <w:rsid w:val="00433AC0"/>
    <w:rsid w:val="00434F7B"/>
    <w:rsid w:val="00442054"/>
    <w:rsid w:val="004457A5"/>
    <w:rsid w:val="00446DDA"/>
    <w:rsid w:val="00452E1D"/>
    <w:rsid w:val="00453E2B"/>
    <w:rsid w:val="00460627"/>
    <w:rsid w:val="00461267"/>
    <w:rsid w:val="0047378B"/>
    <w:rsid w:val="00474AC1"/>
    <w:rsid w:val="00483BB5"/>
    <w:rsid w:val="0048413B"/>
    <w:rsid w:val="004900BB"/>
    <w:rsid w:val="00494994"/>
    <w:rsid w:val="004977C3"/>
    <w:rsid w:val="004A086E"/>
    <w:rsid w:val="004A2D8C"/>
    <w:rsid w:val="004A3771"/>
    <w:rsid w:val="004B11E0"/>
    <w:rsid w:val="004B454A"/>
    <w:rsid w:val="004B62AE"/>
    <w:rsid w:val="004B79DE"/>
    <w:rsid w:val="004C5968"/>
    <w:rsid w:val="004C71F4"/>
    <w:rsid w:val="004D5277"/>
    <w:rsid w:val="004D79DF"/>
    <w:rsid w:val="004D7EE4"/>
    <w:rsid w:val="004F0D24"/>
    <w:rsid w:val="005041D7"/>
    <w:rsid w:val="00507AE0"/>
    <w:rsid w:val="00507BC8"/>
    <w:rsid w:val="00510195"/>
    <w:rsid w:val="00515004"/>
    <w:rsid w:val="00515A5C"/>
    <w:rsid w:val="005177B9"/>
    <w:rsid w:val="00523601"/>
    <w:rsid w:val="005311D9"/>
    <w:rsid w:val="00540019"/>
    <w:rsid w:val="005458B4"/>
    <w:rsid w:val="00553469"/>
    <w:rsid w:val="00553DF1"/>
    <w:rsid w:val="00554332"/>
    <w:rsid w:val="00554C38"/>
    <w:rsid w:val="0055551A"/>
    <w:rsid w:val="0055697C"/>
    <w:rsid w:val="00561B38"/>
    <w:rsid w:val="005625F7"/>
    <w:rsid w:val="00563D76"/>
    <w:rsid w:val="00565BDD"/>
    <w:rsid w:val="005673B7"/>
    <w:rsid w:val="0056778E"/>
    <w:rsid w:val="00570BE9"/>
    <w:rsid w:val="00574B8B"/>
    <w:rsid w:val="005753DA"/>
    <w:rsid w:val="00576C88"/>
    <w:rsid w:val="0058008D"/>
    <w:rsid w:val="00587A24"/>
    <w:rsid w:val="0059060A"/>
    <w:rsid w:val="00591F50"/>
    <w:rsid w:val="005A1598"/>
    <w:rsid w:val="005A6772"/>
    <w:rsid w:val="005B10EC"/>
    <w:rsid w:val="005B2EBF"/>
    <w:rsid w:val="005B35AA"/>
    <w:rsid w:val="005B4CD7"/>
    <w:rsid w:val="005B6CEC"/>
    <w:rsid w:val="005B75D7"/>
    <w:rsid w:val="005B7BD0"/>
    <w:rsid w:val="005C352E"/>
    <w:rsid w:val="005C58A4"/>
    <w:rsid w:val="005C62C4"/>
    <w:rsid w:val="005C656B"/>
    <w:rsid w:val="005D3CB0"/>
    <w:rsid w:val="005D44C6"/>
    <w:rsid w:val="005E17C7"/>
    <w:rsid w:val="005E5112"/>
    <w:rsid w:val="005F1EB7"/>
    <w:rsid w:val="005F4945"/>
    <w:rsid w:val="005F5839"/>
    <w:rsid w:val="005F70DC"/>
    <w:rsid w:val="005F7D97"/>
    <w:rsid w:val="00602115"/>
    <w:rsid w:val="006049EA"/>
    <w:rsid w:val="006054A8"/>
    <w:rsid w:val="00605F64"/>
    <w:rsid w:val="006124BF"/>
    <w:rsid w:val="00613223"/>
    <w:rsid w:val="00620058"/>
    <w:rsid w:val="0063002B"/>
    <w:rsid w:val="00635D96"/>
    <w:rsid w:val="006410F5"/>
    <w:rsid w:val="006415B3"/>
    <w:rsid w:val="006424F3"/>
    <w:rsid w:val="00644F8D"/>
    <w:rsid w:val="00646812"/>
    <w:rsid w:val="006478C9"/>
    <w:rsid w:val="00652717"/>
    <w:rsid w:val="00653EF5"/>
    <w:rsid w:val="00653F4B"/>
    <w:rsid w:val="0067010B"/>
    <w:rsid w:val="00670150"/>
    <w:rsid w:val="00671CD4"/>
    <w:rsid w:val="00674C5C"/>
    <w:rsid w:val="006773D5"/>
    <w:rsid w:val="006944B8"/>
    <w:rsid w:val="006A7FF7"/>
    <w:rsid w:val="006B1EA8"/>
    <w:rsid w:val="006C15B6"/>
    <w:rsid w:val="006D2E13"/>
    <w:rsid w:val="006E0374"/>
    <w:rsid w:val="006E2F88"/>
    <w:rsid w:val="006E353E"/>
    <w:rsid w:val="006E5883"/>
    <w:rsid w:val="006E7318"/>
    <w:rsid w:val="006F2712"/>
    <w:rsid w:val="006F7C15"/>
    <w:rsid w:val="0070153F"/>
    <w:rsid w:val="007017C4"/>
    <w:rsid w:val="00702E2A"/>
    <w:rsid w:val="00703271"/>
    <w:rsid w:val="00705B66"/>
    <w:rsid w:val="0070732B"/>
    <w:rsid w:val="00707540"/>
    <w:rsid w:val="007119CA"/>
    <w:rsid w:val="00720D56"/>
    <w:rsid w:val="0072292F"/>
    <w:rsid w:val="007376C7"/>
    <w:rsid w:val="00741096"/>
    <w:rsid w:val="00741CF8"/>
    <w:rsid w:val="007431CB"/>
    <w:rsid w:val="00743DB1"/>
    <w:rsid w:val="0074773D"/>
    <w:rsid w:val="00772EB7"/>
    <w:rsid w:val="00773ABF"/>
    <w:rsid w:val="00773C71"/>
    <w:rsid w:val="00774426"/>
    <w:rsid w:val="00774ED4"/>
    <w:rsid w:val="0077791F"/>
    <w:rsid w:val="00783AFF"/>
    <w:rsid w:val="007841B5"/>
    <w:rsid w:val="0078550B"/>
    <w:rsid w:val="00793E1E"/>
    <w:rsid w:val="007A0674"/>
    <w:rsid w:val="007A257A"/>
    <w:rsid w:val="007A4531"/>
    <w:rsid w:val="007B2BEA"/>
    <w:rsid w:val="007B7DEC"/>
    <w:rsid w:val="007C030A"/>
    <w:rsid w:val="007C0607"/>
    <w:rsid w:val="007C1FD1"/>
    <w:rsid w:val="007C29BE"/>
    <w:rsid w:val="007C5853"/>
    <w:rsid w:val="007C6D11"/>
    <w:rsid w:val="007D17A8"/>
    <w:rsid w:val="007D5017"/>
    <w:rsid w:val="007D689C"/>
    <w:rsid w:val="007D7408"/>
    <w:rsid w:val="007E3B69"/>
    <w:rsid w:val="007E4B55"/>
    <w:rsid w:val="007E71C6"/>
    <w:rsid w:val="007F3811"/>
    <w:rsid w:val="0080289D"/>
    <w:rsid w:val="00811693"/>
    <w:rsid w:val="0081300E"/>
    <w:rsid w:val="00821A4C"/>
    <w:rsid w:val="008220BE"/>
    <w:rsid w:val="00826376"/>
    <w:rsid w:val="00827E8F"/>
    <w:rsid w:val="00831E47"/>
    <w:rsid w:val="008337FA"/>
    <w:rsid w:val="0083388A"/>
    <w:rsid w:val="008357E2"/>
    <w:rsid w:val="0084448F"/>
    <w:rsid w:val="008450D7"/>
    <w:rsid w:val="008457D7"/>
    <w:rsid w:val="00847DB8"/>
    <w:rsid w:val="0085452E"/>
    <w:rsid w:val="0085684D"/>
    <w:rsid w:val="00862506"/>
    <w:rsid w:val="00864C59"/>
    <w:rsid w:val="00864F93"/>
    <w:rsid w:val="008652E0"/>
    <w:rsid w:val="00871422"/>
    <w:rsid w:val="00871DA2"/>
    <w:rsid w:val="00875E9B"/>
    <w:rsid w:val="008810E6"/>
    <w:rsid w:val="00882D26"/>
    <w:rsid w:val="00886678"/>
    <w:rsid w:val="0089201B"/>
    <w:rsid w:val="008A1B00"/>
    <w:rsid w:val="008A1C1F"/>
    <w:rsid w:val="008A3BBA"/>
    <w:rsid w:val="008A71F5"/>
    <w:rsid w:val="008A7405"/>
    <w:rsid w:val="008B6971"/>
    <w:rsid w:val="008C047C"/>
    <w:rsid w:val="008C3E60"/>
    <w:rsid w:val="008C497B"/>
    <w:rsid w:val="008D6A10"/>
    <w:rsid w:val="008D7589"/>
    <w:rsid w:val="008D7A98"/>
    <w:rsid w:val="008D7E35"/>
    <w:rsid w:val="008F66C8"/>
    <w:rsid w:val="008F7665"/>
    <w:rsid w:val="00902A8F"/>
    <w:rsid w:val="0090346B"/>
    <w:rsid w:val="00903FD5"/>
    <w:rsid w:val="0090623F"/>
    <w:rsid w:val="00906381"/>
    <w:rsid w:val="00907352"/>
    <w:rsid w:val="0090788C"/>
    <w:rsid w:val="00907C5F"/>
    <w:rsid w:val="00914ED7"/>
    <w:rsid w:val="00920BE5"/>
    <w:rsid w:val="00921410"/>
    <w:rsid w:val="0092244E"/>
    <w:rsid w:val="009236BC"/>
    <w:rsid w:val="00927270"/>
    <w:rsid w:val="00927746"/>
    <w:rsid w:val="00931826"/>
    <w:rsid w:val="00932F2F"/>
    <w:rsid w:val="00933A07"/>
    <w:rsid w:val="00934E5F"/>
    <w:rsid w:val="009405CD"/>
    <w:rsid w:val="00944767"/>
    <w:rsid w:val="00944C69"/>
    <w:rsid w:val="009467D2"/>
    <w:rsid w:val="009500C5"/>
    <w:rsid w:val="00950B72"/>
    <w:rsid w:val="0095275E"/>
    <w:rsid w:val="009538AC"/>
    <w:rsid w:val="00953BAB"/>
    <w:rsid w:val="00955463"/>
    <w:rsid w:val="0095656F"/>
    <w:rsid w:val="00956D0A"/>
    <w:rsid w:val="0096024D"/>
    <w:rsid w:val="00963D35"/>
    <w:rsid w:val="00966323"/>
    <w:rsid w:val="0097004C"/>
    <w:rsid w:val="00970AA8"/>
    <w:rsid w:val="00971379"/>
    <w:rsid w:val="009731A8"/>
    <w:rsid w:val="00973E11"/>
    <w:rsid w:val="00974765"/>
    <w:rsid w:val="00975153"/>
    <w:rsid w:val="00980E48"/>
    <w:rsid w:val="00987B5B"/>
    <w:rsid w:val="009A0C7C"/>
    <w:rsid w:val="009A0E09"/>
    <w:rsid w:val="009A310F"/>
    <w:rsid w:val="009A5A8A"/>
    <w:rsid w:val="009B1D07"/>
    <w:rsid w:val="009B2780"/>
    <w:rsid w:val="009B35AC"/>
    <w:rsid w:val="009B3E48"/>
    <w:rsid w:val="009B52BE"/>
    <w:rsid w:val="009B593A"/>
    <w:rsid w:val="009C4266"/>
    <w:rsid w:val="009D26C5"/>
    <w:rsid w:val="009D6F99"/>
    <w:rsid w:val="009E01F3"/>
    <w:rsid w:val="009E19E1"/>
    <w:rsid w:val="009E2D85"/>
    <w:rsid w:val="009E2F18"/>
    <w:rsid w:val="009E2F82"/>
    <w:rsid w:val="009E41FC"/>
    <w:rsid w:val="009E4876"/>
    <w:rsid w:val="009F059A"/>
    <w:rsid w:val="00A0206E"/>
    <w:rsid w:val="00A0283A"/>
    <w:rsid w:val="00A02CDA"/>
    <w:rsid w:val="00A0435B"/>
    <w:rsid w:val="00A12123"/>
    <w:rsid w:val="00A16207"/>
    <w:rsid w:val="00A16D4F"/>
    <w:rsid w:val="00A20D27"/>
    <w:rsid w:val="00A2319D"/>
    <w:rsid w:val="00A247E4"/>
    <w:rsid w:val="00A26653"/>
    <w:rsid w:val="00A26C32"/>
    <w:rsid w:val="00A30951"/>
    <w:rsid w:val="00A338BF"/>
    <w:rsid w:val="00A37735"/>
    <w:rsid w:val="00A379DE"/>
    <w:rsid w:val="00A45838"/>
    <w:rsid w:val="00A47132"/>
    <w:rsid w:val="00A514FB"/>
    <w:rsid w:val="00A51BE1"/>
    <w:rsid w:val="00A54E40"/>
    <w:rsid w:val="00A55866"/>
    <w:rsid w:val="00A6303E"/>
    <w:rsid w:val="00A642AB"/>
    <w:rsid w:val="00A64C97"/>
    <w:rsid w:val="00A65641"/>
    <w:rsid w:val="00A71468"/>
    <w:rsid w:val="00A7260B"/>
    <w:rsid w:val="00A72F91"/>
    <w:rsid w:val="00A82495"/>
    <w:rsid w:val="00A82975"/>
    <w:rsid w:val="00A8297F"/>
    <w:rsid w:val="00A90B68"/>
    <w:rsid w:val="00A91CBA"/>
    <w:rsid w:val="00A94807"/>
    <w:rsid w:val="00A96608"/>
    <w:rsid w:val="00A9748E"/>
    <w:rsid w:val="00A974CB"/>
    <w:rsid w:val="00AA02AA"/>
    <w:rsid w:val="00AA1216"/>
    <w:rsid w:val="00AA6331"/>
    <w:rsid w:val="00AA785A"/>
    <w:rsid w:val="00AB05B8"/>
    <w:rsid w:val="00AB0E96"/>
    <w:rsid w:val="00AB12DE"/>
    <w:rsid w:val="00AB56F2"/>
    <w:rsid w:val="00AB57F5"/>
    <w:rsid w:val="00AB5E1E"/>
    <w:rsid w:val="00AC04B2"/>
    <w:rsid w:val="00AC1FDA"/>
    <w:rsid w:val="00AC3DF8"/>
    <w:rsid w:val="00AC52FB"/>
    <w:rsid w:val="00AD69CA"/>
    <w:rsid w:val="00AE149F"/>
    <w:rsid w:val="00AE317F"/>
    <w:rsid w:val="00AE378E"/>
    <w:rsid w:val="00AE7147"/>
    <w:rsid w:val="00AF1F72"/>
    <w:rsid w:val="00AF5B0F"/>
    <w:rsid w:val="00AF76B1"/>
    <w:rsid w:val="00B05793"/>
    <w:rsid w:val="00B110D4"/>
    <w:rsid w:val="00B1255B"/>
    <w:rsid w:val="00B1503C"/>
    <w:rsid w:val="00B1535C"/>
    <w:rsid w:val="00B1577F"/>
    <w:rsid w:val="00B21A6F"/>
    <w:rsid w:val="00B25F55"/>
    <w:rsid w:val="00B31605"/>
    <w:rsid w:val="00B41B0B"/>
    <w:rsid w:val="00B41F27"/>
    <w:rsid w:val="00B43DC6"/>
    <w:rsid w:val="00B43FF7"/>
    <w:rsid w:val="00B46E0A"/>
    <w:rsid w:val="00B54E5F"/>
    <w:rsid w:val="00B62C5F"/>
    <w:rsid w:val="00B64D1C"/>
    <w:rsid w:val="00B76B71"/>
    <w:rsid w:val="00B77065"/>
    <w:rsid w:val="00B81EF8"/>
    <w:rsid w:val="00B82150"/>
    <w:rsid w:val="00B8712D"/>
    <w:rsid w:val="00B87A76"/>
    <w:rsid w:val="00B949BC"/>
    <w:rsid w:val="00B95906"/>
    <w:rsid w:val="00B95AB9"/>
    <w:rsid w:val="00BB161E"/>
    <w:rsid w:val="00BC04EF"/>
    <w:rsid w:val="00BC2855"/>
    <w:rsid w:val="00BC3A3A"/>
    <w:rsid w:val="00BC4CF4"/>
    <w:rsid w:val="00BC6E07"/>
    <w:rsid w:val="00BD47D9"/>
    <w:rsid w:val="00BE2921"/>
    <w:rsid w:val="00BE4874"/>
    <w:rsid w:val="00BE55B5"/>
    <w:rsid w:val="00BF7D62"/>
    <w:rsid w:val="00C00AAF"/>
    <w:rsid w:val="00C01307"/>
    <w:rsid w:val="00C014DB"/>
    <w:rsid w:val="00C031A4"/>
    <w:rsid w:val="00C064E6"/>
    <w:rsid w:val="00C07127"/>
    <w:rsid w:val="00C14EAD"/>
    <w:rsid w:val="00C21E08"/>
    <w:rsid w:val="00C257C5"/>
    <w:rsid w:val="00C33136"/>
    <w:rsid w:val="00C36E43"/>
    <w:rsid w:val="00C440AF"/>
    <w:rsid w:val="00C52213"/>
    <w:rsid w:val="00C61184"/>
    <w:rsid w:val="00C64170"/>
    <w:rsid w:val="00C6657D"/>
    <w:rsid w:val="00C67E56"/>
    <w:rsid w:val="00C74D67"/>
    <w:rsid w:val="00C75A58"/>
    <w:rsid w:val="00C7660E"/>
    <w:rsid w:val="00C76C1F"/>
    <w:rsid w:val="00C77F40"/>
    <w:rsid w:val="00C80017"/>
    <w:rsid w:val="00C80910"/>
    <w:rsid w:val="00C840CF"/>
    <w:rsid w:val="00C840F4"/>
    <w:rsid w:val="00C86219"/>
    <w:rsid w:val="00C951F4"/>
    <w:rsid w:val="00C96D10"/>
    <w:rsid w:val="00C97FD6"/>
    <w:rsid w:val="00CA3FC4"/>
    <w:rsid w:val="00CA4764"/>
    <w:rsid w:val="00CA518D"/>
    <w:rsid w:val="00CA5F93"/>
    <w:rsid w:val="00CC06DB"/>
    <w:rsid w:val="00CC2856"/>
    <w:rsid w:val="00CC476D"/>
    <w:rsid w:val="00CC5F2B"/>
    <w:rsid w:val="00CC6A5A"/>
    <w:rsid w:val="00CD0618"/>
    <w:rsid w:val="00CD1292"/>
    <w:rsid w:val="00CD6AB2"/>
    <w:rsid w:val="00CD7E24"/>
    <w:rsid w:val="00CE1994"/>
    <w:rsid w:val="00CE37F1"/>
    <w:rsid w:val="00CE5BD1"/>
    <w:rsid w:val="00CE669E"/>
    <w:rsid w:val="00CF20CB"/>
    <w:rsid w:val="00CF3F1C"/>
    <w:rsid w:val="00CF50E9"/>
    <w:rsid w:val="00CF5358"/>
    <w:rsid w:val="00CF543F"/>
    <w:rsid w:val="00D00695"/>
    <w:rsid w:val="00D0138B"/>
    <w:rsid w:val="00D01E81"/>
    <w:rsid w:val="00D04676"/>
    <w:rsid w:val="00D0788D"/>
    <w:rsid w:val="00D07AD7"/>
    <w:rsid w:val="00D07D1E"/>
    <w:rsid w:val="00D11E8C"/>
    <w:rsid w:val="00D12E7E"/>
    <w:rsid w:val="00D153B8"/>
    <w:rsid w:val="00D164F1"/>
    <w:rsid w:val="00D245BA"/>
    <w:rsid w:val="00D37B11"/>
    <w:rsid w:val="00D456D6"/>
    <w:rsid w:val="00D462EF"/>
    <w:rsid w:val="00D46533"/>
    <w:rsid w:val="00D5080A"/>
    <w:rsid w:val="00D57E5A"/>
    <w:rsid w:val="00D644CA"/>
    <w:rsid w:val="00D645FC"/>
    <w:rsid w:val="00D67719"/>
    <w:rsid w:val="00D70298"/>
    <w:rsid w:val="00D70BF8"/>
    <w:rsid w:val="00D733CF"/>
    <w:rsid w:val="00D7596A"/>
    <w:rsid w:val="00D776F4"/>
    <w:rsid w:val="00D8205D"/>
    <w:rsid w:val="00D84BB6"/>
    <w:rsid w:val="00D90198"/>
    <w:rsid w:val="00D90316"/>
    <w:rsid w:val="00D90335"/>
    <w:rsid w:val="00D915DC"/>
    <w:rsid w:val="00DA13BB"/>
    <w:rsid w:val="00DA4B6D"/>
    <w:rsid w:val="00DB3D2E"/>
    <w:rsid w:val="00DB4EF1"/>
    <w:rsid w:val="00DC0FFB"/>
    <w:rsid w:val="00DD0222"/>
    <w:rsid w:val="00DD059E"/>
    <w:rsid w:val="00DD2E1B"/>
    <w:rsid w:val="00DD3124"/>
    <w:rsid w:val="00DE0ED4"/>
    <w:rsid w:val="00DE764E"/>
    <w:rsid w:val="00DF0487"/>
    <w:rsid w:val="00DF4400"/>
    <w:rsid w:val="00E01931"/>
    <w:rsid w:val="00E11783"/>
    <w:rsid w:val="00E13504"/>
    <w:rsid w:val="00E16E37"/>
    <w:rsid w:val="00E16E6A"/>
    <w:rsid w:val="00E17A53"/>
    <w:rsid w:val="00E2154C"/>
    <w:rsid w:val="00E22947"/>
    <w:rsid w:val="00E25B6C"/>
    <w:rsid w:val="00E3001D"/>
    <w:rsid w:val="00E311F3"/>
    <w:rsid w:val="00E31683"/>
    <w:rsid w:val="00E33211"/>
    <w:rsid w:val="00E4232B"/>
    <w:rsid w:val="00E4241F"/>
    <w:rsid w:val="00E4511C"/>
    <w:rsid w:val="00E47225"/>
    <w:rsid w:val="00E55158"/>
    <w:rsid w:val="00E56C2C"/>
    <w:rsid w:val="00E5750C"/>
    <w:rsid w:val="00E57877"/>
    <w:rsid w:val="00E61A2A"/>
    <w:rsid w:val="00E61BE8"/>
    <w:rsid w:val="00E6659A"/>
    <w:rsid w:val="00E7126B"/>
    <w:rsid w:val="00E76D9D"/>
    <w:rsid w:val="00E77C97"/>
    <w:rsid w:val="00E80721"/>
    <w:rsid w:val="00E81B7C"/>
    <w:rsid w:val="00E8285D"/>
    <w:rsid w:val="00E83629"/>
    <w:rsid w:val="00E86BF5"/>
    <w:rsid w:val="00E90185"/>
    <w:rsid w:val="00E947A9"/>
    <w:rsid w:val="00E94DAA"/>
    <w:rsid w:val="00E97AF9"/>
    <w:rsid w:val="00EA2A06"/>
    <w:rsid w:val="00EA76B6"/>
    <w:rsid w:val="00EB09C0"/>
    <w:rsid w:val="00EB152F"/>
    <w:rsid w:val="00EB53C9"/>
    <w:rsid w:val="00EC6C10"/>
    <w:rsid w:val="00ED3D34"/>
    <w:rsid w:val="00ED58D0"/>
    <w:rsid w:val="00EE7207"/>
    <w:rsid w:val="00EF0951"/>
    <w:rsid w:val="00EF1690"/>
    <w:rsid w:val="00EF2ECC"/>
    <w:rsid w:val="00EF64BD"/>
    <w:rsid w:val="00EF7117"/>
    <w:rsid w:val="00F0147C"/>
    <w:rsid w:val="00F03337"/>
    <w:rsid w:val="00F13171"/>
    <w:rsid w:val="00F15391"/>
    <w:rsid w:val="00F159A4"/>
    <w:rsid w:val="00F17DF0"/>
    <w:rsid w:val="00F22D0F"/>
    <w:rsid w:val="00F22E66"/>
    <w:rsid w:val="00F2343F"/>
    <w:rsid w:val="00F25CCF"/>
    <w:rsid w:val="00F2755F"/>
    <w:rsid w:val="00F31E93"/>
    <w:rsid w:val="00F37D7C"/>
    <w:rsid w:val="00F419CB"/>
    <w:rsid w:val="00F43EE1"/>
    <w:rsid w:val="00F44E5A"/>
    <w:rsid w:val="00F54198"/>
    <w:rsid w:val="00F551C7"/>
    <w:rsid w:val="00F57566"/>
    <w:rsid w:val="00F617F3"/>
    <w:rsid w:val="00F6189B"/>
    <w:rsid w:val="00F64A33"/>
    <w:rsid w:val="00F702C9"/>
    <w:rsid w:val="00F71E73"/>
    <w:rsid w:val="00F75D15"/>
    <w:rsid w:val="00F75F24"/>
    <w:rsid w:val="00F77A45"/>
    <w:rsid w:val="00F80481"/>
    <w:rsid w:val="00F8060E"/>
    <w:rsid w:val="00F84557"/>
    <w:rsid w:val="00F90209"/>
    <w:rsid w:val="00F92342"/>
    <w:rsid w:val="00F93C24"/>
    <w:rsid w:val="00F950D4"/>
    <w:rsid w:val="00FB577A"/>
    <w:rsid w:val="00FB65D5"/>
    <w:rsid w:val="00FC7082"/>
    <w:rsid w:val="00FC7F31"/>
    <w:rsid w:val="00FD344E"/>
    <w:rsid w:val="00FE303B"/>
    <w:rsid w:val="00FE7DC3"/>
    <w:rsid w:val="00FF03B9"/>
    <w:rsid w:val="00FF1868"/>
    <w:rsid w:val="00FF641A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5FDFE9DE"/>
  <w15:docId w15:val="{99146428-F185-4BD8-B2C9-76F4FA28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50"/>
    <w:rPr>
      <w:sz w:val="24"/>
      <w:szCs w:val="24"/>
    </w:rPr>
  </w:style>
  <w:style w:type="paragraph" w:styleId="Heading1">
    <w:name w:val="heading 1"/>
    <w:aliases w:val="Attribute Heading 1,H1,H11"/>
    <w:basedOn w:val="Normal"/>
    <w:next w:val="Normal"/>
    <w:link w:val="Heading1Char"/>
    <w:uiPriority w:val="99"/>
    <w:qFormat/>
    <w:rsid w:val="00591F50"/>
    <w:pPr>
      <w:keepNext/>
      <w:spacing w:before="240" w:after="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91F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1F50"/>
    <w:pPr>
      <w:keepNext/>
      <w:outlineLvl w:val="2"/>
    </w:pPr>
    <w:rPr>
      <w:rFonts w:ascii="Arial" w:hAnsi="Arial" w:cs="Arial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1F5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1F50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3">
    <w:name w:val="Bullet3"/>
    <w:basedOn w:val="Normal"/>
    <w:uiPriority w:val="99"/>
    <w:rsid w:val="00591F50"/>
    <w:pPr>
      <w:ind w:left="1080" w:hanging="360"/>
    </w:pPr>
    <w:rPr>
      <w:sz w:val="20"/>
      <w:szCs w:val="20"/>
    </w:rPr>
  </w:style>
  <w:style w:type="character" w:styleId="Hyperlink">
    <w:name w:val="Hyperlink"/>
    <w:uiPriority w:val="99"/>
    <w:rsid w:val="00591F50"/>
    <w:rPr>
      <w:color w:val="0000FF"/>
      <w:u w:val="single"/>
    </w:rPr>
  </w:style>
  <w:style w:type="paragraph" w:customStyle="1" w:styleId="TITLEMAJOR">
    <w:name w:val="TITLE MAJOR"/>
    <w:basedOn w:val="Title"/>
    <w:uiPriority w:val="99"/>
    <w:rsid w:val="00591F50"/>
    <w:pPr>
      <w:spacing w:before="0" w:after="0"/>
    </w:pPr>
    <w:rPr>
      <w:b w:val="0"/>
      <w:caps/>
      <w:sz w:val="48"/>
    </w:rPr>
  </w:style>
  <w:style w:type="paragraph" w:styleId="Title">
    <w:name w:val="Title"/>
    <w:basedOn w:val="Normal"/>
    <w:link w:val="TitleChar"/>
    <w:qFormat/>
    <w:rsid w:val="00591F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LEMINOR">
    <w:name w:val="TITLE MINOR"/>
    <w:basedOn w:val="TITLEMAJOR"/>
    <w:uiPriority w:val="99"/>
    <w:rsid w:val="00591F50"/>
    <w:rPr>
      <w:caps w:val="0"/>
    </w:rPr>
  </w:style>
  <w:style w:type="paragraph" w:customStyle="1" w:styleId="Heading21">
    <w:name w:val="Heading 21"/>
    <w:basedOn w:val="Heading2"/>
    <w:uiPriority w:val="99"/>
    <w:rsid w:val="00591F50"/>
    <w:pPr>
      <w:spacing w:before="0" w:after="0"/>
    </w:pPr>
    <w:rPr>
      <w:sz w:val="32"/>
    </w:rPr>
  </w:style>
  <w:style w:type="paragraph" w:styleId="Index1">
    <w:name w:val="index 1"/>
    <w:basedOn w:val="Normal"/>
    <w:next w:val="Normal"/>
    <w:uiPriority w:val="99"/>
    <w:semiHidden/>
    <w:rsid w:val="00591F50"/>
    <w:pPr>
      <w:tabs>
        <w:tab w:val="right" w:leader="dot" w:pos="9360"/>
      </w:tabs>
      <w:ind w:left="240" w:hanging="240"/>
    </w:pPr>
  </w:style>
  <w:style w:type="paragraph" w:customStyle="1" w:styleId="TitlePage">
    <w:name w:val="Title Page"/>
    <w:basedOn w:val="Normal"/>
    <w:uiPriority w:val="99"/>
    <w:rsid w:val="00591F5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rsid w:val="00591F50"/>
    <w:pPr>
      <w:tabs>
        <w:tab w:val="center" w:pos="4320"/>
        <w:tab w:val="right" w:pos="9360"/>
      </w:tabs>
    </w:pPr>
    <w:rPr>
      <w:sz w:val="20"/>
    </w:rPr>
  </w:style>
  <w:style w:type="paragraph" w:styleId="TOC1">
    <w:name w:val="toc 1"/>
    <w:basedOn w:val="Normal"/>
    <w:next w:val="Normal"/>
    <w:uiPriority w:val="39"/>
    <w:qFormat/>
    <w:rsid w:val="00B8712D"/>
    <w:pPr>
      <w:spacing w:before="120" w:after="120"/>
    </w:pPr>
    <w:rPr>
      <w:rFonts w:ascii="Arial" w:hAnsi="Arial"/>
      <w:b/>
      <w:bCs/>
    </w:rPr>
  </w:style>
  <w:style w:type="paragraph" w:styleId="TOC2">
    <w:name w:val="toc 2"/>
    <w:basedOn w:val="Normal"/>
    <w:next w:val="Normal"/>
    <w:uiPriority w:val="39"/>
    <w:qFormat/>
    <w:rsid w:val="00B8712D"/>
    <w:pPr>
      <w:ind w:left="202"/>
    </w:pPr>
    <w:rPr>
      <w:rFonts w:ascii="Arial" w:hAnsi="Arial"/>
      <w:sz w:val="22"/>
    </w:rPr>
  </w:style>
  <w:style w:type="paragraph" w:styleId="TOC3">
    <w:name w:val="toc 3"/>
    <w:basedOn w:val="Normal"/>
    <w:next w:val="Normal"/>
    <w:uiPriority w:val="39"/>
    <w:qFormat/>
    <w:rsid w:val="00B8712D"/>
    <w:pPr>
      <w:ind w:left="403"/>
    </w:pPr>
    <w:rPr>
      <w:rFonts w:ascii="Arial" w:hAnsi="Arial"/>
      <w:i/>
      <w:iCs/>
      <w:sz w:val="22"/>
    </w:rPr>
  </w:style>
  <w:style w:type="paragraph" w:customStyle="1" w:styleId="TABLEROW">
    <w:name w:val="TABLE ROW"/>
    <w:basedOn w:val="Normal"/>
    <w:uiPriority w:val="99"/>
    <w:rsid w:val="00591F50"/>
    <w:rPr>
      <w:sz w:val="20"/>
    </w:rPr>
  </w:style>
  <w:style w:type="character" w:customStyle="1" w:styleId="TABLEHEADING">
    <w:name w:val="TABLE HEADING"/>
    <w:uiPriority w:val="99"/>
    <w:rsid w:val="00591F50"/>
    <w:rPr>
      <w:rFonts w:ascii="Times New Roman Bold" w:hAnsi="Times New Roman Bold"/>
      <w:b/>
      <w:dstrike w:val="0"/>
      <w:sz w:val="20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rsid w:val="00591F50"/>
    <w:pPr>
      <w:tabs>
        <w:tab w:val="right" w:pos="9360"/>
      </w:tabs>
    </w:pPr>
    <w:rPr>
      <w:sz w:val="20"/>
    </w:rPr>
  </w:style>
  <w:style w:type="paragraph" w:customStyle="1" w:styleId="Table">
    <w:name w:val="Table"/>
    <w:basedOn w:val="Normal"/>
    <w:uiPriority w:val="99"/>
    <w:rsid w:val="00591F50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 w:line="180" w:lineRule="exact"/>
    </w:pPr>
    <w:rPr>
      <w:kern w:val="16"/>
      <w:sz w:val="16"/>
    </w:rPr>
  </w:style>
  <w:style w:type="character" w:customStyle="1" w:styleId="tableheading0">
    <w:name w:val="table heading"/>
    <w:uiPriority w:val="99"/>
    <w:rsid w:val="00591F50"/>
    <w:rPr>
      <w:rFonts w:ascii="Times New Roman" w:hAnsi="Times New Roman"/>
      <w:dstrike w:val="0"/>
      <w:sz w:val="18"/>
      <w:vertAlign w:val="baseline"/>
    </w:rPr>
  </w:style>
  <w:style w:type="paragraph" w:customStyle="1" w:styleId="Heading41">
    <w:name w:val="Heading 41"/>
    <w:basedOn w:val="Normal"/>
    <w:uiPriority w:val="99"/>
    <w:rsid w:val="00591F50"/>
    <w:rPr>
      <w:rFonts w:ascii="Arial" w:hAnsi="Arial"/>
    </w:rPr>
  </w:style>
  <w:style w:type="paragraph" w:customStyle="1" w:styleId="Paragraph4">
    <w:name w:val="Paragraph4"/>
    <w:basedOn w:val="Normal"/>
    <w:uiPriority w:val="99"/>
    <w:rsid w:val="00591F50"/>
    <w:pPr>
      <w:spacing w:before="80"/>
      <w:ind w:left="720"/>
      <w:jc w:val="both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91F50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591F50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591F50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591F50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591F50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591F50"/>
    <w:pPr>
      <w:ind w:left="1920"/>
    </w:pPr>
    <w:rPr>
      <w:szCs w:val="21"/>
    </w:rPr>
  </w:style>
  <w:style w:type="character" w:styleId="FollowedHyperlink">
    <w:name w:val="FollowedHyperlink"/>
    <w:uiPriority w:val="99"/>
    <w:rsid w:val="00591F50"/>
    <w:rPr>
      <w:color w:val="800080"/>
      <w:u w:val="single"/>
    </w:rPr>
  </w:style>
  <w:style w:type="paragraph" w:customStyle="1" w:styleId="Paragraph2">
    <w:name w:val="Paragraph2"/>
    <w:basedOn w:val="Normal"/>
    <w:uiPriority w:val="99"/>
    <w:rsid w:val="00591F50"/>
    <w:pPr>
      <w:spacing w:before="80"/>
      <w:jc w:val="both"/>
    </w:pPr>
    <w:rPr>
      <w:sz w:val="20"/>
      <w:szCs w:val="20"/>
    </w:rPr>
  </w:style>
  <w:style w:type="character" w:styleId="CommentReference">
    <w:name w:val="annotation reference"/>
    <w:uiPriority w:val="99"/>
    <w:rsid w:val="00591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1F50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91F50"/>
    <w:rPr>
      <w:color w:val="000080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591F50"/>
    <w:rPr>
      <w:b/>
      <w:bCs/>
      <w:i/>
      <w:iCs/>
      <w:u w:val="single"/>
    </w:rPr>
  </w:style>
  <w:style w:type="character" w:styleId="PageNumber">
    <w:name w:val="page number"/>
    <w:basedOn w:val="DefaultParagraphFont"/>
    <w:rsid w:val="00591F50"/>
  </w:style>
  <w:style w:type="paragraph" w:styleId="BalloonText">
    <w:name w:val="Balloon Text"/>
    <w:basedOn w:val="Normal"/>
    <w:link w:val="BalloonTextChar"/>
    <w:uiPriority w:val="99"/>
    <w:semiHidden/>
    <w:rsid w:val="00591F5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1F50"/>
    <w:rPr>
      <w:b/>
      <w:bCs/>
    </w:rPr>
  </w:style>
  <w:style w:type="character" w:customStyle="1" w:styleId="StyleAriel">
    <w:name w:val="Style Ariel"/>
    <w:uiPriority w:val="99"/>
    <w:rsid w:val="00A82975"/>
    <w:rPr>
      <w:rFonts w:ascii="Arial" w:hAnsi="Arial"/>
    </w:rPr>
  </w:style>
  <w:style w:type="character" w:customStyle="1" w:styleId="StyleTABLEHEADING9ptBlack">
    <w:name w:val="Style TABLE HEADING + 9 pt Black"/>
    <w:rsid w:val="00E6659A"/>
    <w:rPr>
      <w:rFonts w:ascii="Arial" w:hAnsi="Arial"/>
      <w:b/>
      <w:bCs/>
      <w:dstrike w:val="0"/>
      <w:color w:val="000000"/>
      <w:sz w:val="18"/>
      <w:bdr w:val="none" w:sz="0" w:space="0" w:color="auto"/>
      <w:vertAlign w:val="baseline"/>
    </w:rPr>
  </w:style>
  <w:style w:type="paragraph" w:customStyle="1" w:styleId="StyleTABLEROW11ptBlack">
    <w:name w:val="Style TABLE ROW + 11 pt Black"/>
    <w:basedOn w:val="TABLEROW"/>
    <w:uiPriority w:val="99"/>
    <w:rsid w:val="00E83629"/>
    <w:pPr>
      <w:keepLines/>
      <w:spacing w:after="200"/>
    </w:pPr>
    <w:rPr>
      <w:rFonts w:ascii="Arial" w:hAnsi="Arial"/>
      <w:color w:val="000000"/>
    </w:rPr>
  </w:style>
  <w:style w:type="paragraph" w:customStyle="1" w:styleId="TableofContents">
    <w:name w:val="Table of Contents"/>
    <w:basedOn w:val="Heading1"/>
    <w:uiPriority w:val="99"/>
    <w:rsid w:val="00442054"/>
    <w:pPr>
      <w:keepNext w:val="0"/>
      <w:spacing w:before="0" w:after="0"/>
      <w:jc w:val="center"/>
    </w:pPr>
    <w:rPr>
      <w:rFonts w:cs="Times New Roman"/>
      <w:b/>
      <w:bCs w:val="0"/>
      <w:color w:val="000000"/>
      <w:kern w:val="0"/>
      <w:szCs w:val="24"/>
    </w:rPr>
  </w:style>
  <w:style w:type="paragraph" w:customStyle="1" w:styleId="RevisionHistory">
    <w:name w:val="Revision History"/>
    <w:basedOn w:val="Heading1"/>
    <w:autoRedefine/>
    <w:uiPriority w:val="99"/>
    <w:rsid w:val="00442054"/>
    <w:pPr>
      <w:keepNext w:val="0"/>
      <w:spacing w:before="0" w:after="0"/>
      <w:jc w:val="center"/>
    </w:pPr>
    <w:rPr>
      <w:rFonts w:cs="Times New Roman"/>
      <w:b/>
      <w:bCs w:val="0"/>
      <w:color w:val="000000"/>
      <w:kern w:val="0"/>
      <w:szCs w:val="24"/>
    </w:rPr>
  </w:style>
  <w:style w:type="paragraph" w:styleId="Date">
    <w:name w:val="Date"/>
    <w:basedOn w:val="Normal"/>
    <w:next w:val="Normal"/>
    <w:link w:val="DateChar"/>
    <w:uiPriority w:val="99"/>
    <w:rsid w:val="00D46533"/>
  </w:style>
  <w:style w:type="character" w:customStyle="1" w:styleId="Text-onlypopuphotspot">
    <w:name w:val="Text-only popup hotspot"/>
    <w:basedOn w:val="DefaultParagraphFont"/>
    <w:uiPriority w:val="99"/>
    <w:rsid w:val="000C5DC5"/>
  </w:style>
  <w:style w:type="character" w:customStyle="1" w:styleId="Drop-downhotspot">
    <w:name w:val="Drop-down hotspot"/>
    <w:uiPriority w:val="99"/>
    <w:rsid w:val="00774ED4"/>
    <w:rPr>
      <w:b/>
      <w:i/>
      <w:sz w:val="20"/>
      <w:u w:val="single"/>
    </w:rPr>
  </w:style>
  <w:style w:type="character" w:customStyle="1" w:styleId="StyleDrop-downhotspot11ptUnderline">
    <w:name w:val="Style Drop-down hotspot + 11 pt Underline"/>
    <w:uiPriority w:val="99"/>
    <w:rsid w:val="00774ED4"/>
    <w:rPr>
      <w:b/>
      <w:bCs/>
      <w:i/>
      <w:iCs/>
      <w:sz w:val="20"/>
      <w:u w:val="single"/>
    </w:rPr>
  </w:style>
  <w:style w:type="paragraph" w:styleId="Revision">
    <w:name w:val="Revision"/>
    <w:hidden/>
    <w:uiPriority w:val="99"/>
    <w:semiHidden/>
    <w:rsid w:val="002D3A7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1267"/>
    <w:pPr>
      <w:ind w:left="720"/>
      <w:contextualSpacing/>
    </w:pPr>
  </w:style>
  <w:style w:type="paragraph" w:customStyle="1" w:styleId="StyleStyleTABLEROW11ptBlack9ptBefore3ptAfter">
    <w:name w:val="Style Style TABLE ROW + 11 pt Black + 9 pt Before:  3 pt After:  ..."/>
    <w:basedOn w:val="StyleTABLEROW11ptBlack"/>
    <w:rsid w:val="00E6659A"/>
    <w:pPr>
      <w:spacing w:before="60" w:after="60"/>
    </w:pPr>
    <w:rPr>
      <w:sz w:val="18"/>
      <w:szCs w:val="20"/>
    </w:rPr>
  </w:style>
  <w:style w:type="character" w:customStyle="1" w:styleId="StyleTABLEHEADING9ptBlack1">
    <w:name w:val="Style TABLE HEADING + 9 pt Black1"/>
    <w:rsid w:val="00E6659A"/>
    <w:rPr>
      <w:rFonts w:ascii="Arial" w:hAnsi="Arial"/>
      <w:b/>
      <w:bCs/>
      <w:dstrike w:val="0"/>
      <w:color w:val="000000"/>
      <w:sz w:val="18"/>
      <w:bdr w:val="none" w:sz="0" w:space="0" w:color="auto"/>
      <w:vertAlign w:val="baseline"/>
    </w:rPr>
  </w:style>
  <w:style w:type="character" w:customStyle="1" w:styleId="Heading3Char">
    <w:name w:val="Heading 3 Char"/>
    <w:link w:val="Heading3"/>
    <w:uiPriority w:val="9"/>
    <w:rsid w:val="00022A74"/>
    <w:rPr>
      <w:rFonts w:ascii="Arial" w:hAnsi="Arial" w:cs="Arial"/>
      <w:sz w:val="28"/>
      <w:szCs w:val="24"/>
      <w:lang w:eastAsia="en-US"/>
    </w:rPr>
  </w:style>
  <w:style w:type="character" w:customStyle="1" w:styleId="Heading1Char">
    <w:name w:val="Heading 1 Char"/>
    <w:aliases w:val="Attribute Heading 1 Char,H1 Char,H11 Char"/>
    <w:link w:val="Heading1"/>
    <w:uiPriority w:val="99"/>
    <w:rsid w:val="00442054"/>
    <w:rPr>
      <w:rFonts w:ascii="Arial" w:hAnsi="Arial" w:cs="Arial"/>
      <w:bCs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uiPriority w:val="99"/>
    <w:rsid w:val="00442054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9"/>
    <w:rsid w:val="00442054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9"/>
    <w:rsid w:val="00442054"/>
    <w:rPr>
      <w:i/>
      <w:iCs/>
      <w:sz w:val="24"/>
      <w:szCs w:val="24"/>
      <w:lang w:eastAsia="en-US"/>
    </w:rPr>
  </w:style>
  <w:style w:type="character" w:customStyle="1" w:styleId="TitleChar">
    <w:name w:val="Title Char"/>
    <w:link w:val="Title"/>
    <w:rsid w:val="00442054"/>
    <w:rPr>
      <w:rFonts w:ascii="Arial" w:hAnsi="Arial" w:cs="Arial"/>
      <w:b/>
      <w:bCs/>
      <w:kern w:val="28"/>
      <w:sz w:val="32"/>
      <w:szCs w:val="32"/>
      <w:lang w:eastAsia="en-US"/>
    </w:rPr>
  </w:style>
  <w:style w:type="character" w:customStyle="1" w:styleId="FooterChar">
    <w:name w:val="Footer Char"/>
    <w:link w:val="Footer"/>
    <w:rsid w:val="00442054"/>
    <w:rPr>
      <w:szCs w:val="24"/>
      <w:lang w:eastAsia="en-US"/>
    </w:rPr>
  </w:style>
  <w:style w:type="character" w:customStyle="1" w:styleId="HeaderChar">
    <w:name w:val="Header Char"/>
    <w:link w:val="Header"/>
    <w:uiPriority w:val="99"/>
    <w:rsid w:val="00442054"/>
    <w:rPr>
      <w:szCs w:val="24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442054"/>
    <w:rPr>
      <w:lang w:eastAsia="en-US"/>
    </w:rPr>
  </w:style>
  <w:style w:type="character" w:customStyle="1" w:styleId="BodyTextChar">
    <w:name w:val="Body Text Char"/>
    <w:link w:val="BodyText"/>
    <w:rsid w:val="00442054"/>
    <w:rPr>
      <w:color w:val="000080"/>
      <w:lang w:eastAsia="en-US"/>
    </w:rPr>
  </w:style>
  <w:style w:type="character" w:customStyle="1" w:styleId="BodyText2Char">
    <w:name w:val="Body Text 2 Char"/>
    <w:link w:val="BodyText2"/>
    <w:uiPriority w:val="99"/>
    <w:rsid w:val="00442054"/>
    <w:rPr>
      <w:b/>
      <w:bCs/>
      <w:i/>
      <w:iCs/>
      <w:sz w:val="24"/>
      <w:szCs w:val="24"/>
      <w:u w:val="single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442054"/>
    <w:rPr>
      <w:rFonts w:ascii="Tahoma" w:hAnsi="Tahoma" w:cs="Tahoma"/>
      <w:sz w:val="16"/>
      <w:szCs w:val="16"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442054"/>
    <w:rPr>
      <w:b/>
      <w:bCs/>
      <w:lang w:eastAsia="en-US"/>
    </w:rPr>
  </w:style>
  <w:style w:type="paragraph" w:customStyle="1" w:styleId="TableofContentsPageTitle">
    <w:name w:val="Table of Contents Page Title"/>
    <w:basedOn w:val="Normal"/>
    <w:next w:val="Normal"/>
    <w:uiPriority w:val="99"/>
    <w:rsid w:val="00442054"/>
    <w:pPr>
      <w:keepLines/>
      <w:spacing w:before="240" w:after="60"/>
      <w:jc w:val="center"/>
    </w:pPr>
    <w:rPr>
      <w:rFonts w:ascii="Helvetica" w:hAnsi="Helvetica"/>
      <w:b/>
      <w:sz w:val="36"/>
    </w:rPr>
  </w:style>
  <w:style w:type="character" w:customStyle="1" w:styleId="DateChar">
    <w:name w:val="Date Char"/>
    <w:link w:val="Date"/>
    <w:uiPriority w:val="99"/>
    <w:rsid w:val="00442054"/>
    <w:rPr>
      <w:sz w:val="24"/>
      <w:szCs w:val="24"/>
      <w:lang w:eastAsia="en-US"/>
    </w:rPr>
  </w:style>
  <w:style w:type="paragraph" w:styleId="ListBullet">
    <w:name w:val="List Bullet"/>
    <w:basedOn w:val="Normal"/>
    <w:rsid w:val="00494994"/>
    <w:pPr>
      <w:keepLines/>
      <w:numPr>
        <w:numId w:val="2"/>
      </w:numPr>
      <w:spacing w:after="200"/>
    </w:pPr>
    <w:rPr>
      <w:rFonts w:ascii="Arial" w:hAnsi="Arial"/>
      <w:sz w:val="20"/>
    </w:rPr>
  </w:style>
  <w:style w:type="character" w:customStyle="1" w:styleId="FootnoteTextChar">
    <w:name w:val="Footnote Text Char"/>
    <w:basedOn w:val="DefaultParagraphFont"/>
    <w:link w:val="FootnoteText"/>
    <w:locked/>
    <w:rsid w:val="00A96608"/>
  </w:style>
  <w:style w:type="paragraph" w:styleId="FootnoteText">
    <w:name w:val="footnote text"/>
    <w:basedOn w:val="Normal"/>
    <w:link w:val="FootnoteTextChar"/>
    <w:rsid w:val="00A96608"/>
    <w:pPr>
      <w:keepNext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A96608"/>
  </w:style>
  <w:style w:type="character" w:styleId="FootnoteReference">
    <w:name w:val="footnote reference"/>
    <w:rsid w:val="00A96608"/>
    <w:rPr>
      <w:vertAlign w:val="superscript"/>
    </w:rPr>
  </w:style>
  <w:style w:type="paragraph" w:customStyle="1" w:styleId="TableText">
    <w:name w:val="TableText"/>
    <w:basedOn w:val="Normal"/>
    <w:uiPriority w:val="99"/>
    <w:rsid w:val="00F57566"/>
    <w:pPr>
      <w:spacing w:before="40" w:after="40"/>
    </w:pPr>
    <w:rPr>
      <w:rFonts w:ascii="Arial" w:hAnsi="Arial"/>
      <w:sz w:val="18"/>
    </w:rPr>
  </w:style>
  <w:style w:type="character" w:customStyle="1" w:styleId="tabletext0">
    <w:name w:val="tabletext"/>
    <w:uiPriority w:val="99"/>
    <w:rsid w:val="00F57566"/>
    <w:rPr>
      <w:rFonts w:ascii="Arial" w:hAnsi="Arial" w:cs="Arial"/>
    </w:rPr>
  </w:style>
  <w:style w:type="paragraph" w:customStyle="1" w:styleId="InstructionalText1">
    <w:name w:val="Instructional Text 1"/>
    <w:basedOn w:val="BodyText"/>
    <w:next w:val="BodyText"/>
    <w:link w:val="InstructionalText1Char"/>
    <w:rsid w:val="00382133"/>
    <w:pPr>
      <w:keepLines/>
      <w:tabs>
        <w:tab w:val="left" w:pos="1134"/>
      </w:tabs>
      <w:autoSpaceDE w:val="0"/>
      <w:autoSpaceDN w:val="0"/>
      <w:adjustRightInd w:val="0"/>
      <w:spacing w:before="60" w:after="120" w:line="240" w:lineRule="atLeast"/>
    </w:pPr>
    <w:rPr>
      <w:rFonts w:eastAsia="MS Mincho"/>
      <w:i/>
      <w:iCs/>
      <w:color w:val="0000FF"/>
      <w:sz w:val="22"/>
      <w:lang w:eastAsia="en-GB"/>
    </w:rPr>
  </w:style>
  <w:style w:type="character" w:customStyle="1" w:styleId="InstructionalText1Char">
    <w:name w:val="Instructional Text 1 Char"/>
    <w:link w:val="InstructionalText1"/>
    <w:rsid w:val="00382133"/>
    <w:rPr>
      <w:rFonts w:eastAsia="MS Mincho"/>
      <w:i/>
      <w:iCs/>
      <w:color w:val="0000FF"/>
      <w:sz w:val="22"/>
      <w:lang w:eastAsia="en-GB"/>
    </w:rPr>
  </w:style>
  <w:style w:type="paragraph" w:styleId="List">
    <w:name w:val="List"/>
    <w:basedOn w:val="Normal"/>
    <w:rsid w:val="00E5750C"/>
    <w:pPr>
      <w:ind w:left="360" w:hanging="360"/>
    </w:pPr>
    <w:rPr>
      <w:sz w:val="22"/>
    </w:rPr>
  </w:style>
  <w:style w:type="paragraph" w:customStyle="1" w:styleId="Default">
    <w:name w:val="Default"/>
    <w:rsid w:val="003838B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1E1306"/>
    <w:rPr>
      <w:rFonts w:ascii="Calibri" w:eastAsia="Calibri" w:hAnsi="Calibri"/>
      <w:sz w:val="22"/>
      <w:szCs w:val="22"/>
    </w:rPr>
  </w:style>
  <w:style w:type="paragraph" w:customStyle="1" w:styleId="TableHeading1">
    <w:name w:val="Table Heading"/>
    <w:aliases w:val="th"/>
    <w:link w:val="TableHeadingChar"/>
    <w:rsid w:val="00117842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1">
    <w:name w:val="Table Text"/>
    <w:link w:val="TableTextChar"/>
    <w:rsid w:val="00117842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1"/>
    <w:rsid w:val="00117842"/>
    <w:rPr>
      <w:rFonts w:ascii="Arial" w:hAnsi="Arial" w:cs="Arial"/>
      <w:sz w:val="22"/>
    </w:rPr>
  </w:style>
  <w:style w:type="paragraph" w:customStyle="1" w:styleId="Title2">
    <w:name w:val="Title 2"/>
    <w:rsid w:val="005F4945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InstructionalTextTitle2">
    <w:name w:val="Instructional Text Title 2"/>
    <w:basedOn w:val="Title2"/>
    <w:next w:val="Title2"/>
    <w:qFormat/>
    <w:rsid w:val="005F4945"/>
    <w:rPr>
      <w:rFonts w:ascii="Times New Roman" w:hAnsi="Times New Roman" w:cs="Times New Roman"/>
      <w:b w:val="0"/>
      <w:i/>
      <w:color w:val="0000FF"/>
      <w:sz w:val="24"/>
      <w:szCs w:val="22"/>
    </w:rPr>
  </w:style>
  <w:style w:type="table" w:styleId="TableGrid">
    <w:name w:val="Table Grid"/>
    <w:basedOn w:val="TableNormal"/>
    <w:uiPriority w:val="59"/>
    <w:rsid w:val="00974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ingChar">
    <w:name w:val="Table Heading Char"/>
    <w:link w:val="TableHeading1"/>
    <w:rsid w:val="00974765"/>
    <w:rPr>
      <w:rFonts w:ascii="Arial" w:hAnsi="Arial" w:cs="Arial"/>
      <w:b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B0E9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ja-JP"/>
    </w:rPr>
  </w:style>
  <w:style w:type="character" w:styleId="Strong">
    <w:name w:val="Strong"/>
    <w:basedOn w:val="DefaultParagraphFont"/>
    <w:qFormat/>
    <w:rsid w:val="007A257A"/>
    <w:rPr>
      <w:b/>
      <w:bCs/>
    </w:rPr>
  </w:style>
  <w:style w:type="paragraph" w:styleId="Caption">
    <w:name w:val="caption"/>
    <w:basedOn w:val="Normal"/>
    <w:next w:val="Normal"/>
    <w:unhideWhenUsed/>
    <w:qFormat/>
    <w:rsid w:val="00A6303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53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4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15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eader" Target="head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CC402F230FA4686FB4772DA3980EB" ma:contentTypeVersion="4" ma:contentTypeDescription="Create a new document." ma:contentTypeScope="" ma:versionID="051c9a7bf652ea8bde79f8728857bddd">
  <xsd:schema xmlns:xsd="http://www.w3.org/2001/XMLSchema" xmlns:xs="http://www.w3.org/2001/XMLSchema" xmlns:p="http://schemas.microsoft.com/office/2006/metadata/properties" xmlns:ns2="d44cba96-bd64-4e19-b5f0-e75e8783e9ab" xmlns:ns3="cdd665a5-4d39-4c80-990a-8a3abca4f55f" targetNamespace="http://schemas.microsoft.com/office/2006/metadata/properties" ma:root="true" ma:fieldsID="9f3bea1f973a44467a5d3e31db64d68d" ns2:_="" ns3:_="">
    <xsd:import namespace="d44cba96-bd64-4e19-b5f0-e75e8783e9ab"/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ba96-bd64-4e19-b5f0-e75e8783e9a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Requires Classification" ma:description="Choose document type" ma:format="Dropdown" ma:internalName="Document_x0020_Type">
      <xsd:simpleType>
        <xsd:restriction base="dms:Choice">
          <xsd:enumeration value="Approvals"/>
          <xsd:enumeration value="Background/Supporting Documents"/>
          <xsd:enumeration value="Change Control Board (CCB) Documents"/>
          <xsd:enumeration value="Function Point Documents"/>
          <xsd:enumeration value="Meeting Minutes"/>
          <xsd:enumeration value="Miscellaneous"/>
          <xsd:enumeration value="Presentations"/>
          <xsd:enumeration value="Project Documents/Manuals"/>
          <xsd:enumeration value="Project Planning"/>
          <xsd:enumeration value="Release Management"/>
          <xsd:enumeration value="Requirements Documents"/>
          <xsd:enumeration value="Requires Classification"/>
          <xsd:enumeration value="Test Documents"/>
          <xsd:enumeration value="Training Materia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d44cba96-bd64-4e19-b5f0-e75e8783e9ab">Project Documents/Manuals</Document_x0020_Typ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F638C-FC5E-4ECF-B887-FB426D942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cba96-bd64-4e19-b5f0-e75e8783e9ab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0.xml><?xml version="1.0" encoding="utf-8"?>
<ds:datastoreItem xmlns:ds="http://schemas.openxmlformats.org/officeDocument/2006/customXml" ds:itemID="{2E294E17-B744-44F0-83E8-9BE51A5DE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638153-D92F-4020-8754-F262BB8D7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21E6B-928A-4C1A-8F3F-783FD140CA16}">
  <ds:schemaRefs>
    <ds:schemaRef ds:uri="http://schemas.openxmlformats.org/package/2006/metadata/core-properties"/>
    <ds:schemaRef ds:uri="http://schemas.microsoft.com/office/2006/documentManagement/types"/>
    <ds:schemaRef ds:uri="cdd665a5-4d39-4c80-990a-8a3abca4f55f"/>
    <ds:schemaRef ds:uri="http://schemas.microsoft.com/office/infopath/2007/PartnerControls"/>
    <ds:schemaRef ds:uri="http://purl.org/dc/elements/1.1/"/>
    <ds:schemaRef ds:uri="d44cba96-bd64-4e19-b5f0-e75e8783e9ab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3AD291E-1580-41A8-A2BB-5E219DC96B5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B747AB8-C89D-437D-8F80-8437190DC9F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0A74F75-AB89-4652-B084-D7CF4FF34F5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0C553E8-4A90-457A-9F52-2062D78B2E1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6F0E7E1-4895-4D06-B51C-EDD8AE05DAA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4049870-5347-4B5B-84F5-B25C5343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1957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TBI_Release Notes_ INC 4 Final</vt:lpstr>
    </vt:vector>
  </TitlesOfParts>
  <Company>Department of Veterans Affairs</Company>
  <LinksUpToDate>false</LinksUpToDate>
  <CharactersWithSpaces>13608</CharactersWithSpaces>
  <SharedDoc>false</SharedDoc>
  <HLinks>
    <vt:vector size="90" baseType="variant">
      <vt:variant>
        <vt:i4>1114154</vt:i4>
      </vt:variant>
      <vt:variant>
        <vt:i4>84</vt:i4>
      </vt:variant>
      <vt:variant>
        <vt:i4>0</vt:i4>
      </vt:variant>
      <vt:variant>
        <vt:i4>5</vt:i4>
      </vt:variant>
      <vt:variant>
        <vt:lpwstr>http://tspr.vista.med.va.gov/warboard/ProjectDocs/TBI_Registry/TBI_System_Design_Document_Increment_4_2.doc</vt:lpwstr>
      </vt:variant>
      <vt:variant>
        <vt:lpwstr/>
      </vt:variant>
      <vt:variant>
        <vt:i4>3211333</vt:i4>
      </vt:variant>
      <vt:variant>
        <vt:i4>81</vt:i4>
      </vt:variant>
      <vt:variant>
        <vt:i4>0</vt:i4>
      </vt:variant>
      <vt:variant>
        <vt:i4>5</vt:i4>
      </vt:variant>
      <vt:variant>
        <vt:lpwstr>http://tspr.vista.med.va.gov/warboard/ProjectDocs/TBI_Registry/HREG_TBI_RSD_INC5_201312.pdf</vt:lpwstr>
      </vt:variant>
      <vt:variant>
        <vt:lpwstr/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_Toc387220241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_Toc387220240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_Toc387220239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_Toc387220238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_Toc387220237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_Toc387220236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_Toc387220235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_Toc387220234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_Toc387220233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_Toc387220232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_Toc387220231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_Toc387220230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_Toc387220229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TBI_Release Notes_ INC 4 Final</dc:title>
  <dc:creator>Tom Hamilton</dc:creator>
  <cp:lastModifiedBy>Kaitlin M Reskovac</cp:lastModifiedBy>
  <cp:revision>2</cp:revision>
  <cp:lastPrinted>2014-05-07T18:31:00Z</cp:lastPrinted>
  <dcterms:created xsi:type="dcterms:W3CDTF">2016-02-19T16:25:00Z</dcterms:created>
  <dcterms:modified xsi:type="dcterms:W3CDTF">2016-02-19T16:25:00Z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ortorder">
    <vt:lpwstr/>
  </property>
  <property fmtid="{D5CDD505-2E9C-101B-9397-08002B2CF9AE}" pid="4" name="ContentType">
    <vt:lpwstr>Document</vt:lpwstr>
  </property>
  <property fmtid="{D5CDD505-2E9C-101B-9397-08002B2CF9AE}" pid="5" name="_dlc_DocId">
    <vt:lpwstr>657KNE7CTRDA-4726-176</vt:lpwstr>
  </property>
  <property fmtid="{D5CDD505-2E9C-101B-9397-08002B2CF9AE}" pid="6" name="_dlc_DocIdItemGuid">
    <vt:lpwstr>9a4f7072-33af-48df-b39a-6dd784ed0122</vt:lpwstr>
  </property>
  <property fmtid="{D5CDD505-2E9C-101B-9397-08002B2CF9AE}" pid="7" name="_dlc_DocIdUrl">
    <vt:lpwstr>http://vaww.oed.portal.va.gov/projects/registries/internal/_layouts/DocIdRedir.aspx?ID=657KNE7CTRDA-4726-176, 657KNE7CTRDA-4726-176</vt:lpwstr>
  </property>
</Properties>
</file>