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4DF784">
      <w:pPr>
        <w:spacing w:before="1872" w:beforeLines="600" w:after="312" w:afterLines="100" w:line="480" w:lineRule="auto"/>
        <w:jc w:val="center"/>
        <w:outlineLvl w:val="9"/>
        <w:rPr>
          <w:rFonts w:ascii="楷体_GB2312" w:eastAsia="楷体_GB2312"/>
          <w:b/>
          <w:bCs/>
          <w:sz w:val="52"/>
        </w:rPr>
      </w:pPr>
      <w:r>
        <w:rPr>
          <w:rFonts w:hint="eastAsia" w:ascii="楷体_GB2312" w:eastAsia="楷体_GB2312"/>
          <w:b/>
          <w:bCs/>
          <w:sz w:val="52"/>
        </w:rPr>
        <w:t>《软件</w:t>
      </w:r>
      <w:r>
        <w:rPr>
          <w:rFonts w:hint="eastAsia" w:ascii="楷体_GB2312" w:eastAsia="楷体_GB2312"/>
          <w:b/>
          <w:bCs/>
          <w:sz w:val="52"/>
          <w:lang w:val="en-US" w:eastAsia="zh-CN"/>
        </w:rPr>
        <w:t>工程</w:t>
      </w:r>
      <w:r>
        <w:rPr>
          <w:rFonts w:hint="eastAsia" w:ascii="楷体_GB2312" w:eastAsia="楷体_GB2312"/>
          <w:b/>
          <w:bCs/>
          <w:sz w:val="52"/>
        </w:rPr>
        <w:t>》</w:t>
      </w:r>
    </w:p>
    <w:p w14:paraId="068B258A">
      <w:pPr>
        <w:spacing w:line="480" w:lineRule="auto"/>
        <w:jc w:val="center"/>
        <w:outlineLvl w:val="9"/>
        <w:rPr>
          <w:rFonts w:hint="default" w:ascii="楷体_GB2312" w:eastAsia="楷体_GB2312"/>
          <w:b/>
          <w:bCs/>
          <w:sz w:val="52"/>
          <w:lang w:val="en-US" w:eastAsia="zh-CN"/>
        </w:rPr>
      </w:pPr>
      <w:r>
        <w:rPr>
          <w:rFonts w:hint="eastAsia" w:ascii="楷体_GB2312" w:eastAsia="楷体_GB2312"/>
          <w:b/>
          <w:bCs/>
          <w:sz w:val="48"/>
          <w:szCs w:val="22"/>
        </w:rPr>
        <w:t>实验报告</w:t>
      </w:r>
      <w:r>
        <w:rPr>
          <w:rFonts w:hint="eastAsia" w:ascii="楷体_GB2312" w:eastAsia="楷体_GB2312"/>
          <w:b/>
          <w:bCs/>
          <w:sz w:val="48"/>
          <w:szCs w:val="22"/>
          <w:lang w:val="en-US" w:eastAsia="zh-CN"/>
        </w:rPr>
        <w:t>二</w:t>
      </w:r>
      <w:r>
        <w:rPr>
          <w:rFonts w:hint="eastAsia" w:ascii="楷体_GB2312" w:eastAsia="楷体_GB2312"/>
          <w:b/>
          <w:bCs/>
          <w:sz w:val="48"/>
          <w:szCs w:val="22"/>
        </w:rPr>
        <w:t xml:space="preserve"> </w:t>
      </w:r>
      <w:r>
        <w:rPr>
          <w:rFonts w:hint="eastAsia" w:ascii="楷体_GB2312" w:eastAsia="楷体_GB2312"/>
          <w:b/>
          <w:bCs/>
          <w:sz w:val="48"/>
          <w:szCs w:val="22"/>
          <w:lang w:eastAsia="zh-CN"/>
        </w:rPr>
        <w:t>：</w:t>
      </w:r>
      <w:r>
        <w:rPr>
          <w:rFonts w:hint="eastAsia" w:ascii="楷体_GB2312" w:eastAsia="楷体_GB2312"/>
          <w:b/>
          <w:bCs/>
          <w:sz w:val="48"/>
          <w:szCs w:val="22"/>
          <w:lang w:val="en-US" w:eastAsia="zh-CN"/>
        </w:rPr>
        <w:t>实验原型工具的学习和实践</w:t>
      </w:r>
    </w:p>
    <w:p w14:paraId="48CFCDA1">
      <w:pPr>
        <w:spacing w:line="440" w:lineRule="exact"/>
        <w:ind w:left="420" w:leftChars="200" w:firstLine="420" w:firstLineChars="200"/>
        <w:jc w:val="left"/>
      </w:pPr>
    </w:p>
    <w:p w14:paraId="625A9A2C">
      <w:pPr>
        <w:spacing w:line="440" w:lineRule="exact"/>
        <w:ind w:left="420" w:leftChars="200" w:firstLine="420" w:firstLineChars="200"/>
        <w:jc w:val="left"/>
      </w:pPr>
    </w:p>
    <w:p w14:paraId="428C2EC7">
      <w:pPr>
        <w:spacing w:line="440" w:lineRule="exact"/>
        <w:ind w:left="420" w:leftChars="200" w:firstLine="420" w:firstLineChars="200"/>
        <w:jc w:val="left"/>
      </w:pPr>
    </w:p>
    <w:p w14:paraId="30A28461">
      <w:pPr>
        <w:spacing w:line="440" w:lineRule="exact"/>
        <w:ind w:left="420" w:leftChars="200" w:firstLine="420" w:firstLineChars="200"/>
        <w:jc w:val="left"/>
      </w:pPr>
    </w:p>
    <w:p w14:paraId="0425F69E">
      <w:pPr>
        <w:spacing w:line="440" w:lineRule="exact"/>
        <w:ind w:left="420" w:leftChars="200" w:firstLine="420" w:firstLineChars="200"/>
        <w:jc w:val="left"/>
      </w:pPr>
    </w:p>
    <w:p w14:paraId="6FD5FC5A">
      <w:pPr>
        <w:spacing w:line="440" w:lineRule="exact"/>
        <w:ind w:left="420" w:leftChars="200" w:firstLine="420" w:firstLineChars="200"/>
        <w:jc w:val="left"/>
      </w:pPr>
    </w:p>
    <w:p w14:paraId="03F96B5B">
      <w:pPr>
        <w:spacing w:line="440" w:lineRule="exact"/>
        <w:ind w:left="420" w:leftChars="200" w:firstLine="420" w:firstLineChars="200"/>
        <w:jc w:val="left"/>
      </w:pPr>
    </w:p>
    <w:p w14:paraId="0F99B0D3">
      <w:pPr>
        <w:rPr>
          <w:b/>
          <w:sz w:val="28"/>
          <w:szCs w:val="28"/>
        </w:rPr>
      </w:pPr>
    </w:p>
    <w:p w14:paraId="3D850EA7">
      <w:pPr>
        <w:rPr>
          <w:b/>
          <w:sz w:val="48"/>
          <w:szCs w:val="48"/>
        </w:rPr>
      </w:pPr>
      <w:r>
        <w:rPr>
          <w:rFonts w:hint="eastAsia"/>
          <w:b/>
          <w:sz w:val="28"/>
          <w:szCs w:val="28"/>
        </w:rPr>
        <w:t xml:space="preserve">                            </w:t>
      </w:r>
    </w:p>
    <w:p w14:paraId="4F135B13">
      <w:pPr>
        <w:rPr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姓    名：</w:t>
      </w:r>
      <w:r>
        <w:rPr>
          <w:rFonts w:hint="eastAsia"/>
          <w:b/>
          <w:sz w:val="28"/>
          <w:szCs w:val="28"/>
          <w:u w:val="single"/>
        </w:rPr>
        <w:t xml:space="preserve">    </w:t>
      </w:r>
      <w:r>
        <w:rPr>
          <w:b/>
          <w:sz w:val="28"/>
          <w:szCs w:val="28"/>
          <w:u w:val="single"/>
        </w:rPr>
        <w:t xml:space="preserve">   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张丹</w:t>
      </w:r>
      <w:r>
        <w:rPr>
          <w:b/>
          <w:sz w:val="28"/>
          <w:szCs w:val="28"/>
          <w:u w:val="single"/>
        </w:rPr>
        <w:t xml:space="preserve">  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</w:rPr>
        <w:t xml:space="preserve">   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</w:rPr>
        <w:t xml:space="preserve">    学    号：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202110120514       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</w:rPr>
        <w:t xml:space="preserve">    </w:t>
      </w:r>
      <w:r>
        <w:rPr>
          <w:rFonts w:hint="eastAsia"/>
          <w:b/>
          <w:sz w:val="28"/>
          <w:szCs w:val="28"/>
          <w:u w:val="single"/>
        </w:rPr>
        <w:t xml:space="preserve">  </w:t>
      </w:r>
      <w:r>
        <w:rPr>
          <w:b/>
          <w:sz w:val="28"/>
          <w:szCs w:val="28"/>
          <w:u w:val="single"/>
        </w:rPr>
        <w:t xml:space="preserve">    </w:t>
      </w:r>
      <w:r>
        <w:rPr>
          <w:sz w:val="36"/>
          <w:szCs w:val="28"/>
          <w:u w:val="single"/>
        </w:rPr>
        <w:t xml:space="preserve">   </w:t>
      </w:r>
      <w:r>
        <w:rPr>
          <w:b/>
          <w:sz w:val="36"/>
          <w:szCs w:val="28"/>
          <w:u w:val="single"/>
        </w:rPr>
        <w:t xml:space="preserve">  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</w:t>
      </w:r>
    </w:p>
    <w:p w14:paraId="1909D45B">
      <w:pPr>
        <w:rPr>
          <w:rFonts w:hint="default"/>
          <w:sz w:val="28"/>
          <w:szCs w:val="28"/>
          <w:u w:val="single"/>
          <w:lang w:val="en-US" w:eastAsia="zh-CN"/>
        </w:rPr>
      </w:pPr>
      <w:r>
        <w:rPr>
          <w:rFonts w:hint="eastAsia"/>
          <w:b/>
          <w:sz w:val="28"/>
          <w:szCs w:val="28"/>
        </w:rPr>
        <w:t>院    系：</w:t>
      </w:r>
      <w:r>
        <w:rPr>
          <w:rFonts w:hint="eastAsia"/>
          <w:b/>
          <w:sz w:val="28"/>
          <w:szCs w:val="28"/>
          <w:u w:val="single"/>
        </w:rPr>
        <w:t xml:space="preserve">  计算机与信息学院 </w:t>
      </w:r>
      <w:r>
        <w:rPr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</w:rPr>
        <w:t xml:space="preserve">    专  业：</w:t>
      </w:r>
      <w:r>
        <w:rPr>
          <w:rFonts w:hint="eastAsia"/>
          <w:b/>
          <w:sz w:val="28"/>
          <w:szCs w:val="28"/>
          <w:lang w:val="en-US" w:eastAsia="zh-CN"/>
        </w:rPr>
        <w:t xml:space="preserve">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计算机科学与技术   </w:t>
      </w:r>
    </w:p>
    <w:p w14:paraId="518E7CBA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 验 室：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   B1-119</w:t>
      </w:r>
      <w:r>
        <w:rPr>
          <w:rFonts w:hint="eastAsia"/>
          <w:b/>
          <w:sz w:val="28"/>
          <w:szCs w:val="28"/>
          <w:u w:val="single"/>
        </w:rPr>
        <w:t xml:space="preserve">    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</w:t>
      </w:r>
      <w:r>
        <w:rPr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  <w:lang w:val="en-US" w:eastAsia="zh-CN"/>
        </w:rPr>
        <w:t xml:space="preserve">   </w:t>
      </w:r>
      <w:r>
        <w:rPr>
          <w:rFonts w:hint="eastAsia"/>
          <w:b/>
          <w:sz w:val="28"/>
          <w:szCs w:val="28"/>
        </w:rPr>
        <w:t>实验日期：</w:t>
      </w:r>
      <w:r>
        <w:rPr>
          <w:rFonts w:hint="eastAsia"/>
          <w:b/>
          <w:sz w:val="28"/>
          <w:szCs w:val="28"/>
          <w:u w:val="single"/>
        </w:rPr>
        <w:t xml:space="preserve">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2026.10.28</w:t>
      </w:r>
      <w:r>
        <w:rPr>
          <w:rFonts w:hint="eastAsia"/>
          <w:b/>
          <w:sz w:val="28"/>
          <w:szCs w:val="28"/>
          <w:u w:val="single"/>
        </w:rPr>
        <w:t xml:space="preserve">        </w:t>
      </w:r>
      <w:r>
        <w:rPr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</w:rPr>
        <w:t xml:space="preserve"> </w:t>
      </w:r>
    </w:p>
    <w:p w14:paraId="3BA09951">
      <w:pPr>
        <w:rPr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总评成绩：</w:t>
      </w:r>
      <w:r>
        <w:rPr>
          <w:rFonts w:hint="eastAsia"/>
          <w:b/>
          <w:sz w:val="28"/>
          <w:szCs w:val="28"/>
          <w:u w:val="single"/>
        </w:rPr>
        <w:t xml:space="preserve">               </w:t>
      </w:r>
      <w:r>
        <w:rPr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 </w:t>
      </w:r>
      <w:r>
        <w:rPr>
          <w:rFonts w:hint="eastAsia"/>
          <w:b/>
          <w:sz w:val="28"/>
          <w:szCs w:val="28"/>
          <w:lang w:val="en-US" w:eastAsia="zh-CN"/>
        </w:rPr>
        <w:t xml:space="preserve"> </w:t>
      </w:r>
      <w:r>
        <w:rPr>
          <w:rFonts w:hint="eastAsia"/>
          <w:b/>
          <w:sz w:val="28"/>
          <w:szCs w:val="28"/>
        </w:rPr>
        <w:t>审阅教师：</w:t>
      </w:r>
      <w:r>
        <w:rPr>
          <w:rFonts w:hint="eastAsia"/>
          <w:b/>
          <w:sz w:val="28"/>
          <w:szCs w:val="28"/>
          <w:u w:val="single"/>
        </w:rPr>
        <w:t xml:space="preserve">               </w:t>
      </w:r>
      <w:r>
        <w:rPr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</w:rPr>
        <w:t xml:space="preserve"> </w:t>
      </w:r>
    </w:p>
    <w:p w14:paraId="098DAD65">
      <w:pPr>
        <w:spacing w:line="440" w:lineRule="exact"/>
        <w:ind w:left="420" w:leftChars="200" w:firstLine="420" w:firstLineChars="200"/>
        <w:jc w:val="left"/>
      </w:pPr>
    </w:p>
    <w:p w14:paraId="16A3042F">
      <w:pPr>
        <w:outlineLvl w:val="9"/>
        <w:rPr>
          <w:rFonts w:eastAsia="宋体"/>
        </w:rPr>
      </w:pPr>
    </w:p>
    <w:p w14:paraId="53C542CB">
      <w:pPr>
        <w:pStyle w:val="3"/>
      </w:pPr>
      <w:r>
        <w:rPr>
          <w:rFonts w:hint="eastAsia"/>
        </w:rPr>
        <w:br w:type="page"/>
      </w:r>
      <w:r>
        <w:rPr>
          <w:rFonts w:hint="eastAsia"/>
        </w:rPr>
        <w:t>一、实验目的</w:t>
      </w:r>
    </w:p>
    <w:p w14:paraId="126FA54F">
      <w:pPr>
        <w:numPr>
          <w:ilvl w:val="0"/>
          <w:numId w:val="1"/>
        </w:numPr>
        <w:bidi w:val="0"/>
        <w:rPr>
          <w:rFonts w:hint="eastAsia"/>
        </w:rPr>
      </w:pPr>
      <w:r>
        <w:rPr>
          <w:rFonts w:hint="eastAsia"/>
        </w:rPr>
        <w:t>安装并熟悉 Axure RP 原型设计工具的基本操作与界面逻辑；</w:t>
      </w:r>
    </w:p>
    <w:p w14:paraId="612547EA">
      <w:pPr>
        <w:numPr>
          <w:ilvl w:val="0"/>
          <w:numId w:val="1"/>
        </w:numPr>
        <w:bidi w:val="0"/>
        <w:rPr>
          <w:rFonts w:hint="eastAsia"/>
        </w:rPr>
      </w:pPr>
      <w:r>
        <w:rPr>
          <w:rFonts w:hint="default"/>
        </w:rPr>
        <w:t>理解原型设计在软件工程中的定位——在编码之前对界面结构、信息层级与交互行为进行可验证的建模，避免“重要元素被忽略”和“不准确不合理的假设”；</w:t>
      </w:r>
      <w:r>
        <w:rPr>
          <w:rFonts w:hint="default"/>
        </w:rPr>
        <w:br w:type="textWrapping"/>
      </w:r>
      <w:r>
        <w:rPr>
          <w:rFonts w:hint="default"/>
        </w:rPr>
        <w:t>（3）以 Fenix’s BookStore 书店系统为参照对象，完成覆盖商品浏览、用户管理、交易与后台管理的主流程原型；</w:t>
      </w:r>
      <w:r>
        <w:rPr>
          <w:rFonts w:hint="default"/>
        </w:rPr>
        <w:br w:type="textWrapping"/>
      </w:r>
      <w:r>
        <w:rPr>
          <w:rFonts w:hint="default"/>
        </w:rPr>
        <w:t>（4）掌握 Axure 中中继器、动态面板与变量三大核心机制，使原型从“静态界面截图”进化为“可交互的应用程序模拟器”；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"https://m.zpedu.com/it/cpsj/39268.html"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  <w:r>
        <w:rPr>
          <w:rFonts w:hint="default"/>
        </w:rPr>
        <w:br w:type="textWrapping"/>
      </w:r>
      <w:r>
        <w:rPr>
          <w:rFonts w:hint="default"/>
        </w:rPr>
        <w:t>（5）完成原型文件的导出与演示。</w:t>
      </w:r>
    </w:p>
    <w:p w14:paraId="6FA3A470">
      <w:pPr>
        <w:pStyle w:val="3"/>
      </w:pPr>
      <w:r>
        <w:rPr>
          <w:rFonts w:hint="eastAsia"/>
        </w:rPr>
        <w:t>二、实验环境</w:t>
      </w:r>
    </w:p>
    <w:p w14:paraId="47813263">
      <w:pPr>
        <w:bidi w:val="0"/>
        <w:rPr>
          <w:rFonts w:hint="default"/>
          <w:lang w:val="en-US" w:eastAsia="zh-CN"/>
        </w:rPr>
      </w:pPr>
      <w:r>
        <w:t>Axure RP（</w:t>
      </w:r>
      <w:r>
        <w:rPr>
          <w:rFonts w:hint="eastAsia"/>
          <w:lang w:val="en-US" w:eastAsia="zh-CN"/>
        </w:rPr>
        <w:t>11</w:t>
      </w:r>
      <w:r>
        <w:t>）， Edge 浏览器</w:t>
      </w:r>
    </w:p>
    <w:p w14:paraId="31ED83B4">
      <w:pPr>
        <w:pStyle w:val="3"/>
      </w:pPr>
      <w:r>
        <w:rPr>
          <w:rFonts w:hint="eastAsia"/>
        </w:rPr>
        <w:t>三、实验要求</w:t>
      </w:r>
    </w:p>
    <w:p w14:paraId="6EA5C0BA">
      <w:pPr>
        <w:bidi w:val="0"/>
        <w:rPr>
          <w:rFonts w:hint="default"/>
        </w:rPr>
      </w:pPr>
      <w:r>
        <w:t>（1）参考官方教程完成 Axure RP 基本操作的学习，包括元件使用、交互设置、动态面板与中继器的基本用法；</w:t>
      </w:r>
      <w:r>
        <w:rPr>
          <w:rFonts w:hint="default"/>
        </w:rPr>
        <w:br w:type="textWrapping"/>
      </w:r>
      <w:r>
        <w:rPr>
          <w:rFonts w:hint="default"/>
        </w:rPr>
        <w:t>（2）以 Fenix’s BookStore 书店系统为原型参照，原则上严格按照既有系统设计页面结构与交互逻辑，学有余力时可进行合理扩展；</w:t>
      </w:r>
      <w:r>
        <w:rPr>
          <w:rFonts w:hint="default"/>
        </w:rPr>
        <w:br w:type="textWrapping"/>
      </w:r>
      <w:r>
        <w:rPr>
          <w:rFonts w:hint="default"/>
        </w:rPr>
        <w:t>（3）原型须覆盖以下九个页面：系统主界面（商品浏览页）、用户登录、用户注册、购物车、下单、结算、支付、库存、添加商品；</w:t>
      </w:r>
    </w:p>
    <w:p w14:paraId="22F55EA7">
      <w:pPr>
        <w:pStyle w:val="3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18"/>
          <w:szCs w:val="18"/>
          <w:shd w:val="clear" w:color="auto" w:fill="FFFFFF"/>
        </w:rPr>
      </w:pPr>
      <w:r>
        <w:rPr>
          <w:rFonts w:hint="eastAsia"/>
          <w:b/>
          <w:sz w:val="28"/>
          <w:szCs w:val="28"/>
          <w:lang w:val="en-US" w:eastAsia="zh-CN"/>
        </w:rPr>
        <w:t>四、</w:t>
      </w:r>
      <w:r>
        <w:rPr>
          <w:rFonts w:hint="eastAsia"/>
          <w:b/>
          <w:sz w:val="28"/>
          <w:szCs w:val="28"/>
        </w:rPr>
        <w:t>实验内容</w:t>
      </w:r>
    </w:p>
    <w:p w14:paraId="5A906ECA">
      <w:pPr>
        <w:bidi w:val="0"/>
      </w:pPr>
      <w:r>
        <w:rPr>
          <w:rFonts w:hint="default"/>
        </w:rPr>
        <w:t>（1）原型工具基础与设计策略</w:t>
      </w:r>
    </w:p>
    <w:p w14:paraId="4B5C367A">
      <w:pPr>
        <w:bidi w:val="0"/>
      </w:pPr>
      <w:r>
        <w:rPr>
          <w:rFonts w:hint="default"/>
        </w:rPr>
        <w:t>Axure RP 的交互能力建立在三个逐层递进的核心机制之上：动态面板提供“多状态画布”，用于承载同一区域在不同条件下的不同内容；中继器是数据驱动的内容展示器，支持对数据集进行过滤、排序、分页与增删改查；变量与条件逻辑则使跨元件的状态传递和分支判断成为可能。本次实验的原型并非逐页“画界面”，而是围绕书店系统的业务链路，将这三个机制落到具体页面的交互行为中。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"https://m.zpedu.com/it/cpsj/39268.html"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</w:p>
    <w:p w14:paraId="2FB480B1">
      <w:pPr>
        <w:bidi w:val="0"/>
        <w:rPr>
          <w:rFonts w:hint="default"/>
        </w:rPr>
      </w:pPr>
      <w:r>
        <w:rPr>
          <w:rFonts w:hint="default"/>
        </w:rPr>
        <w:t>（2）系统主界面（商品浏览页）</w:t>
      </w:r>
    </w:p>
    <w:p w14:paraId="4863540C">
      <w:pPr>
        <w:bidi w:val="0"/>
        <w:rPr>
          <w:rFonts w:hint="default"/>
        </w:rPr>
      </w:pPr>
      <w:r>
        <w:rPr>
          <w:rFonts w:hint="default"/>
        </w:rPr>
        <w:t>主界面是用户进入系统的第一接触点，承担商品发现与导航的双重功能。页面顶部设置全局导航栏（含登录/注册入口、购物车入口），主体区域以卡片网格呈现图书商品，每张卡片包含封面、书名、价格与“加入购物车”操作入口。</w:t>
      </w:r>
    </w:p>
    <w:p w14:paraId="270DBC76">
      <w:pPr>
        <w:bidi w:val="0"/>
        <w:rPr>
          <w:rFonts w:hint="default"/>
        </w:rPr>
      </w:pPr>
      <w:r>
        <w:rPr>
          <w:rFonts w:hint="default"/>
        </w:rPr>
        <w:t>商品列表通过中继器实现数据驱动渲染：中继器的数据集包含书名、价格、封面图等列，卡片内部元件的文本与图片分别绑定到对应列。在此基础上设置筛选与排序交互：分类下拉框触发中继器的“筛选”动作，仅显示匹配分类的商品；排序下拉框则通过“更新行”与排序规则实现价格或名称的重新排列。这一设计使商品浏览页不再是固定内容的静态画板，而是能够在原型层面演示不同数据条件下的界面响应。</w:t>
      </w:r>
    </w:p>
    <w:p w14:paraId="75C82246">
      <w:pPr>
        <w:bidi w:val="0"/>
        <w:rPr>
          <w:rFonts w:hint="default"/>
        </w:rPr>
      </w:pPr>
      <w:r>
        <w:rPr>
          <w:rFonts w:hint="default"/>
        </w:rPr>
        <w:t>（3）用户登录</w:t>
      </w:r>
    </w:p>
    <w:p w14:paraId="05630C8A">
      <w:pPr>
        <w:bidi w:val="0"/>
        <w:rPr>
          <w:rFonts w:hint="default"/>
        </w:rPr>
      </w:pPr>
      <w:r>
        <w:rPr>
          <w:rFonts w:hint="default"/>
        </w:rPr>
        <w:t>登录页面包含用户名/密码输入框、登录按钮以及“没有账号？去注册”的跳转链接。交互设置上，点击登录按钮触发条件判断：若用户名与密码输入框均非空，则跳转至主界面（或购物车回跳页面），否则在输入框附近显示错误提示文本（默认隐藏，条件触发时切换为可见）。</w:t>
      </w:r>
    </w:p>
    <w:p w14:paraId="25116F2D">
      <w:pPr>
        <w:bidi w:val="0"/>
        <w:rPr>
          <w:rFonts w:hint="default"/>
        </w:rPr>
      </w:pPr>
      <w:r>
        <w:rPr>
          <w:rFonts w:hint="default"/>
        </w:rPr>
        <w:t>需要说明的是，Fenix’s BookStore 的在线演示版本使用 Mock.js 拦截远程请求，无论输入何种用户名和密码，最终都会以同一个预设用户身份进入系统。原型中如实体现了这一行为特征：登录不执行真实鉴权，重点在于表达表单输入→触发校验→条件分支（成功跳转/失败提示） 的交互骨架，而非认证逻辑本身。</w:t>
      </w:r>
    </w:p>
    <w:p w14:paraId="510D59A5">
      <w:pPr>
        <w:bidi w:val="0"/>
        <w:rPr>
          <w:rFonts w:hint="default"/>
        </w:rPr>
      </w:pPr>
      <w:r>
        <w:rPr>
          <w:rFonts w:hint="default"/>
        </w:rPr>
        <w:t>（4）用户注册</w:t>
      </w:r>
    </w:p>
    <w:p w14:paraId="56CD4C8A">
      <w:pPr>
        <w:bidi w:val="0"/>
      </w:pPr>
      <w:r>
        <w:rPr>
          <w:rFonts w:hint="default"/>
        </w:rPr>
        <w:t>注册页与登录页共享表单交互模式，字段扩展为用户名、密码、确认密码（及可选的邮箱/手机号）。关键交互设计在于实时校验与提交校验的分层：</w:t>
      </w:r>
    </w:p>
    <w:p w14:paraId="3B921DCC">
      <w:pPr>
        <w:bidi w:val="0"/>
      </w:pPr>
      <w:r>
        <w:rPr>
          <w:rFonts w:hint="default"/>
        </w:rPr>
        <w:t>密码输入框设置“输入类型 = 密码”；</w:t>
      </w:r>
    </w:p>
    <w:p w14:paraId="3C51A96A">
      <w:pPr>
        <w:bidi w:val="0"/>
      </w:pPr>
      <w:r>
        <w:rPr>
          <w:rFonts w:hint="default"/>
        </w:rPr>
        <w:t>确认密码框在“失去焦点”时触发条件判断：若与密码框文本不一致，显示校验提示；</w:t>
      </w:r>
    </w:p>
    <w:p w14:paraId="2F72726E">
      <w:pPr>
        <w:bidi w:val="0"/>
      </w:pPr>
      <w:r>
        <w:rPr>
          <w:rFonts w:hint="default"/>
        </w:rPr>
        <w:t>提交按钮点击时汇总校验：任一字段为空或两次密码不一致，阻止页面跳转并逐项标红。</w:t>
      </w:r>
    </w:p>
    <w:p w14:paraId="1D113EB3">
      <w:pPr>
        <w:bidi w:val="0"/>
        <w:rPr>
          <w:rFonts w:hint="default"/>
        </w:rPr>
      </w:pPr>
      <w:r>
        <w:rPr>
          <w:rFonts w:hint="default"/>
        </w:rPr>
        <w:t>这一设计对应 Axure 中“条件逻辑 + 设置文本/可见性”的组合，使注册页在原型阶段即可暴露字段级反馈与表单级反馈的时序关系。</w:t>
      </w:r>
    </w:p>
    <w:p w14:paraId="5AE9596D">
      <w:pPr>
        <w:bidi w:val="0"/>
        <w:rPr>
          <w:rFonts w:hint="default"/>
        </w:rPr>
      </w:pPr>
      <w:r>
        <w:rPr>
          <w:rFonts w:hint="default"/>
        </w:rPr>
        <w:t>（5）购物车</w:t>
      </w:r>
    </w:p>
    <w:p w14:paraId="77DD7524">
      <w:pPr>
        <w:bidi w:val="0"/>
        <w:rPr>
          <w:rFonts w:hint="default"/>
        </w:rPr>
      </w:pPr>
      <w:r>
        <w:rPr>
          <w:rFonts w:hint="default"/>
        </w:rPr>
        <w:t>购物车是本次原型中中继器能力体现最集中的页面。页面主体为一个由中继器驱动的商品明细列表，每一行承载书名、单价、数量与行小计，底部显示总金额与“去结算”按钮。</w:t>
      </w:r>
    </w:p>
    <w:p w14:paraId="3CC7EA2D">
      <w:pPr>
        <w:bidi w:val="0"/>
      </w:pPr>
      <w:r>
        <w:rPr>
          <w:rFonts w:hint="default"/>
        </w:rPr>
        <w:t>核心交互行为包括：</w:t>
      </w:r>
      <w:bookmarkStart w:id="0" w:name="_GoBack"/>
      <w:bookmarkEnd w:id="0"/>
    </w:p>
    <w:p w14:paraId="2EA8F471">
      <w:pPr>
        <w:bidi w:val="0"/>
      </w:pPr>
      <w:r>
        <w:rPr>
          <w:rFonts w:hint="default"/>
        </w:rPr>
        <w:t>数量增减：数量列旁设置“−”“+”按钮。点击“+”时，通过中继器的“更新行”动作将该行数量字段加 1，并同步更新行小计；点击“−”时数量减 1，当数量降至 1 时减号置为不可用（或隐藏），防止出现非法数量；</w:t>
      </w:r>
    </w:p>
    <w:p w14:paraId="7BB44710">
      <w:pPr>
        <w:bidi w:val="0"/>
      </w:pPr>
      <w:r>
        <w:rPr>
          <w:rFonts w:hint="default"/>
        </w:rPr>
        <w:t>删除行：行末删除按钮触发中继器的“删除行”动作，总金额随之重新汇总；</w:t>
      </w:r>
    </w:p>
    <w:p w14:paraId="49BAF14B">
      <w:pPr>
        <w:bidi w:val="0"/>
      </w:pPr>
      <w:r>
        <w:rPr>
          <w:rFonts w:hint="default"/>
        </w:rPr>
        <w:t>总价联动：总金额文本绑定到中继器的汇总函数，对“单价 × 数量”列求和，确保任何行级变更即时反映在页面总额上；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"https://m.zpedu.com/it/cpsj/39268.html"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</w:p>
    <w:p w14:paraId="7159F5E7">
      <w:pPr>
        <w:bidi w:val="0"/>
      </w:pPr>
      <w:r>
        <w:rPr>
          <w:rFonts w:hint="default"/>
        </w:rPr>
        <w:t>空状态：当购物车中继器数据行数为零时，显示空购物车提示并隐藏结算入口。</w:t>
      </w:r>
    </w:p>
    <w:p w14:paraId="6EEA796A">
      <w:pPr>
        <w:bidi w:val="0"/>
        <w:rPr>
          <w:rFonts w:hint="default"/>
        </w:rPr>
      </w:pPr>
      <w:r>
        <w:rPr>
          <w:rFonts w:hint="default"/>
        </w:rPr>
        <w:t>Fenix’s BookStore 的前端设计原则之一是购物车等状态由前端维护、允许增删改。原型中的购物车交互正是对这一行为的界面级还原：数据状态的变化（行数、数量、总额）直接驱动界面呈现，而非依赖后端响应。</w:t>
      </w:r>
    </w:p>
    <w:p w14:paraId="31DC2DE4">
      <w:pPr>
        <w:bidi w:val="0"/>
        <w:rPr>
          <w:rFonts w:hint="default"/>
        </w:rPr>
      </w:pPr>
      <w:r>
        <w:rPr>
          <w:rFonts w:hint="default"/>
        </w:rPr>
        <w:t>（6）下单</w:t>
      </w:r>
    </w:p>
    <w:p w14:paraId="7C9C05F9">
      <w:pPr>
        <w:bidi w:val="0"/>
        <w:rPr>
          <w:rFonts w:hint="default"/>
        </w:rPr>
      </w:pPr>
      <w:r>
        <w:rPr>
          <w:rFonts w:hint="default"/>
        </w:rPr>
        <w:t>下单页是购物车到结算的过渡节点，承担“交易信息确认 + 收货信息采集”的职责。页面展示购物车汇总的商品清单（只读视图）与应付总额，同时提供收货地址、收货人、联系电话等表单字段。</w:t>
      </w:r>
    </w:p>
    <w:p w14:paraId="0A0D43AF">
      <w:pPr>
        <w:bidi w:val="0"/>
        <w:rPr>
          <w:rFonts w:hint="default"/>
        </w:rPr>
      </w:pPr>
      <w:r>
        <w:rPr>
          <w:rFonts w:hint="default"/>
        </w:rPr>
        <w:t>交互上设置“返回购物车修改”链接（跳回购物车页）与“去结算”按钮。下单页本身不引入复杂的数据操作，其原型价值在于明确信息层级：让用户在进入支付前最后一次核对商品与金额，同时完成交付信息的录入。</w:t>
      </w:r>
    </w:p>
    <w:p w14:paraId="64DDD5C8">
      <w:pPr>
        <w:bidi w:val="0"/>
        <w:rPr>
          <w:rFonts w:hint="default"/>
        </w:rPr>
      </w:pPr>
      <w:r>
        <w:rPr>
          <w:rFonts w:hint="default"/>
        </w:rPr>
        <w:t>（7）结算</w:t>
      </w:r>
    </w:p>
    <w:p w14:paraId="4A4604E5">
      <w:pPr>
        <w:bidi w:val="0"/>
        <w:rPr>
          <w:rFonts w:hint="default"/>
        </w:rPr>
      </w:pPr>
      <w:r>
        <w:rPr>
          <w:rFonts w:hint="default"/>
        </w:rPr>
        <w:t>结算页侧重展示交易构成的拆解。页面以静态文本与计算元件呈现商品总额、运费、优惠金额与实付金额之间的运算关系，并提供支付方式选择区域（如模拟的扫码支付/账户余额选项）。</w:t>
      </w:r>
    </w:p>
    <w:p w14:paraId="57A17058">
      <w:pPr>
        <w:bidi w:val="0"/>
        <w:rPr>
          <w:rFonts w:hint="default"/>
        </w:rPr>
      </w:pPr>
      <w:r>
        <w:rPr>
          <w:rFonts w:hint="default"/>
        </w:rPr>
        <w:t>在原型层面，结算页与支付页之间通过页面跳转 + 全局变量传递关键参数（如实付金额、订单标识）。变量在此处的作用是避免金额信息在多个页面中硬编码重复，体现“数据在页面间流动”而非“每个页面各画各的”的设计意识。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"https://m.zpedu.com/it/cpsj/39268.html"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</w:p>
    <w:p w14:paraId="0CB248CF">
      <w:pPr>
        <w:bidi w:val="0"/>
        <w:rPr>
          <w:rFonts w:hint="default"/>
        </w:rPr>
      </w:pPr>
      <w:r>
        <w:rPr>
          <w:rFonts w:hint="default"/>
        </w:rPr>
        <w:t>（8）支付</w:t>
      </w:r>
    </w:p>
    <w:p w14:paraId="29F500EE">
      <w:pPr>
        <w:bidi w:val="0"/>
        <w:rPr>
          <w:rFonts w:hint="default"/>
        </w:rPr>
      </w:pPr>
      <w:r>
        <w:rPr>
          <w:rFonts w:hint="default"/>
        </w:rPr>
        <w:t>支付页是交易流程的收束点。页面展示订单金额、支付方式（与结算页选择联动）与一个模拟的支付确认区域。交互设计为：点击“确认支付”后，触发条件判断——若金额变量非空且支付方式已选，则显示支付成功状态（动态面板切换至“成功”状态），并提供“返回首页”入口；若任一条件不满足，则提示相应缺失项。</w:t>
      </w:r>
    </w:p>
    <w:p w14:paraId="4C2A03ED">
      <w:pPr>
        <w:bidi w:val="0"/>
        <w:rPr>
          <w:rFonts w:hint="default"/>
        </w:rPr>
      </w:pPr>
      <w:r>
        <w:rPr>
          <w:rFonts w:hint="default"/>
        </w:rPr>
        <w:t>动态面板在此处的价值在于同一页面内的状态流转：支付前、支付成功、支付失败/信息缺失三种界面不必拆分为三个独立页面，而是通过面板状态切换来表达，更贴近真实单页应用中由数据状态驱动视图变化的模式。</w:t>
      </w:r>
    </w:p>
    <w:p w14:paraId="33CD7530">
      <w:pPr>
        <w:bidi w:val="0"/>
        <w:rPr>
          <w:rFonts w:hint="default"/>
        </w:rPr>
      </w:pPr>
      <w:r>
        <w:rPr>
          <w:rFonts w:hint="default"/>
        </w:rPr>
        <w:t>（9）库存</w:t>
      </w:r>
    </w:p>
    <w:p w14:paraId="4F7627AA">
      <w:pPr>
        <w:bidi w:val="0"/>
        <w:rPr>
          <w:rFonts w:hint="default"/>
        </w:rPr>
      </w:pPr>
      <w:r>
        <w:rPr>
          <w:rFonts w:hint="default"/>
        </w:rPr>
        <w:t>库存页面面向管理侧，以表格形式呈现图书的库存信息（书名、当前库存量、预警阈值等）。表格通过中继器渲染，数据列直接绑定中继器数据集中的库存字段。</w:t>
      </w:r>
    </w:p>
    <w:p w14:paraId="0BDBA769">
      <w:pPr>
        <w:bidi w:val="0"/>
        <w:rPr>
          <w:rFonts w:hint="default"/>
        </w:rPr>
      </w:pPr>
      <w:r>
        <w:rPr>
          <w:rFonts w:hint="default"/>
        </w:rPr>
        <w:t>交互设置上，库存量低于预警阈值的行触发条件样式切换（如文本颜色变化或行背景高亮），使“需关注库存”的状态在原型中即可被视觉识别。这一设计不要求真实的后端库存数据，而是用前端条件逻辑表达“数据阈值触发界面预警”这一交互模式。</w:t>
      </w:r>
    </w:p>
    <w:p w14:paraId="43EB96D5">
      <w:pPr>
        <w:bidi w:val="0"/>
        <w:rPr>
          <w:rFonts w:hint="default"/>
        </w:rPr>
      </w:pPr>
      <w:r>
        <w:rPr>
          <w:rFonts w:hint="default"/>
        </w:rPr>
        <w:t>（10）添加商品</w:t>
      </w:r>
    </w:p>
    <w:p w14:paraId="009CE17A">
      <w:pPr>
        <w:bidi w:val="0"/>
        <w:rPr>
          <w:rFonts w:hint="default"/>
        </w:rPr>
      </w:pPr>
      <w:r>
        <w:rPr>
          <w:rFonts w:hint="default"/>
        </w:rPr>
        <w:t>添加商品页是后台管理链路中的录入界面，包含商品名称、分类、单价、初始库存、封面图上传占位等字段，以及“保存”与“取消”操作。</w:t>
      </w:r>
    </w:p>
    <w:p w14:paraId="2CE0DABB">
      <w:pPr>
        <w:bidi w:val="0"/>
        <w:rPr>
          <w:rFonts w:hint="default"/>
        </w:rPr>
      </w:pPr>
      <w:r>
        <w:rPr>
          <w:rFonts w:hint="default"/>
        </w:rPr>
        <w:t>保存交互采用条件校验：必填字段（名称、单价、库存）为空时阻止提交并逐项提示；校验通过后，将新商品数据通过中继器的“添加行”动作写入商品数据集（若原型范围覆盖前台与后台，则写入主界面中继器的数据源），从而在原型层面演示数据录入→数据集变更→前台列表更新的完整闭环。取消按钮则跳回库存或商品管理页面，不产生数据变更。</w:t>
      </w:r>
    </w:p>
    <w:p w14:paraId="131B8EA1">
      <w:pPr>
        <w:bidi w:val="0"/>
        <w:rPr>
          <w:rFonts w:hint="default"/>
        </w:rPr>
      </w:pPr>
      <w:r>
        <w:rPr>
          <w:rFonts w:hint="default"/>
        </w:rPr>
        <w:t>（11）原型导出与演示</w:t>
      </w:r>
    </w:p>
    <w:p w14:paraId="63BEF3B3">
      <w:pPr>
        <w:bidi w:val="0"/>
        <w:rPr>
          <w:rFonts w:hint="default"/>
        </w:rPr>
      </w:pPr>
      <w:r>
        <w:rPr>
          <w:rFonts w:hint="default"/>
        </w:rPr>
        <w:t>通过 Axure 的“发布 → 生成 HTML 文件”功能，将 .rp 源文件导出为包含 HTML、CSS、JavaScript 与资源文件的完整目录。导出后逐一验证页面跳转、中继器行操作、动态面板状态切换与条件提示的触发是否与设计预期一致。原型演示的重点不在于视觉还原度，而在于向评审者展示“当用户执行某操作时，系统应当发生什么”。</w:t>
      </w:r>
    </w:p>
    <w:p w14:paraId="578338A6">
      <w:pPr>
        <w:rPr>
          <w:rFonts w:hint="eastAsia"/>
        </w:rPr>
      </w:pPr>
      <w:r>
        <w:rPr>
          <w:rFonts w:hint="eastAsia"/>
        </w:rPr>
        <w:br w:type="page"/>
      </w:r>
    </w:p>
    <w:p w14:paraId="018E68A5">
      <w:pPr>
        <w:rPr>
          <w:rFonts w:hint="eastAsia"/>
        </w:rPr>
      </w:pPr>
    </w:p>
    <w:p w14:paraId="0E1CDE9F">
      <w:pPr>
        <w:pStyle w:val="3"/>
      </w:pPr>
      <w:r>
        <w:rPr>
          <w:rFonts w:hint="eastAsia"/>
          <w:b/>
          <w:sz w:val="28"/>
          <w:szCs w:val="28"/>
          <w:lang w:val="en-US" w:eastAsia="zh-CN"/>
        </w:rPr>
        <w:t>五、实验</w:t>
      </w:r>
      <w:r>
        <w:rPr>
          <w:rFonts w:hint="eastAsia"/>
          <w:b/>
          <w:sz w:val="28"/>
          <w:szCs w:val="28"/>
        </w:rPr>
        <w:t>结论</w:t>
      </w:r>
    </w:p>
    <w:p w14:paraId="4D92C1DF">
      <w:pPr>
        <w:bidi w:val="0"/>
      </w:pPr>
      <w:r>
        <w:rPr>
          <w:rFonts w:hint="default"/>
        </w:rPr>
        <w:t>这次实验使我意识到，原型不是“画得好看”的附属品，而是一种低成本的工程验证手段。在实验一中，一个错误的 CRC 实现可能在联调时才暴露；而在原型阶段，一个缺失的空状态、一处金额未联动、一条校验规则被遗漏，都能在几分钟内被观察到。Fenix’s BookStore 的前端使用 Mock.js 让登录“怎么输都进”，这一设计恰恰说明：原型的目的不是仿真全部后端行为，而是把前端状态与界面之间的因果关系表达清楚。当开发者拿到一份中继器配置完整、条件分支明确、状态切换可复现的原型时，追问会显著减少——这正是高保真交互原型在工程协作中的实际价值。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"https://m.zpedu.com/it/cpsj/39268.html"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</w:p>
    <w:p w14:paraId="25FA5AE3">
      <w:pPr>
        <w:bidi w:val="0"/>
        <w:rPr>
          <w:rFonts w:hint="default"/>
        </w:rPr>
      </w:pPr>
      <w:r>
        <w:rPr>
          <w:rFonts w:hint="default"/>
        </w:rPr>
        <w:t>后续若继续深化，可在现有原型基础上引入母版体系（导航栏、页脚、按钮组）以提升跨页面一致性，并将购物车与支付页的金额变量抽取为全局变量，使交易链路的跨页面状态管理更接近真实 Vue 应用中的数据流组织方式。</w:t>
      </w:r>
    </w:p>
    <w:p w14:paraId="0625AB7D">
      <w:pPr>
        <w:pStyle w:val="3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  <w:lang w:val="en-US" w:eastAsia="zh-CN"/>
        </w:rPr>
        <w:t>六、</w:t>
      </w:r>
      <w:r>
        <w:rPr>
          <w:rFonts w:hint="eastAsia"/>
          <w:b/>
          <w:sz w:val="28"/>
          <w:szCs w:val="28"/>
        </w:rPr>
        <w:t xml:space="preserve">仓库地址 </w:t>
      </w:r>
    </w:p>
    <w:p w14:paraId="4AC2631A">
      <w:r>
        <w:rPr>
          <w:rFonts w:hint="eastAsia"/>
        </w:rPr>
        <w:t>https://github.com/VHDJ123/SoftwareEngineering.git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swiss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6D14C3"/>
    <w:multiLevelType w:val="singleLevel"/>
    <w:tmpl w:val="C36D14C3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43A6"/>
    <w:rsid w:val="00071170"/>
    <w:rsid w:val="00155608"/>
    <w:rsid w:val="00202576"/>
    <w:rsid w:val="0024002F"/>
    <w:rsid w:val="002D7F05"/>
    <w:rsid w:val="00335578"/>
    <w:rsid w:val="00352D4B"/>
    <w:rsid w:val="0035628E"/>
    <w:rsid w:val="003F749B"/>
    <w:rsid w:val="00432794"/>
    <w:rsid w:val="004D4EDB"/>
    <w:rsid w:val="004F22DC"/>
    <w:rsid w:val="00571C7F"/>
    <w:rsid w:val="00586C97"/>
    <w:rsid w:val="005B275D"/>
    <w:rsid w:val="006106FE"/>
    <w:rsid w:val="00697A91"/>
    <w:rsid w:val="006A6853"/>
    <w:rsid w:val="006B5A82"/>
    <w:rsid w:val="00703948"/>
    <w:rsid w:val="007A582A"/>
    <w:rsid w:val="007B4FBE"/>
    <w:rsid w:val="008565EF"/>
    <w:rsid w:val="008C016D"/>
    <w:rsid w:val="008C7D2E"/>
    <w:rsid w:val="008F16C8"/>
    <w:rsid w:val="00900236"/>
    <w:rsid w:val="00904B5C"/>
    <w:rsid w:val="0096050A"/>
    <w:rsid w:val="00977F38"/>
    <w:rsid w:val="009B2642"/>
    <w:rsid w:val="009F4CFC"/>
    <w:rsid w:val="00A1485B"/>
    <w:rsid w:val="00AF14B2"/>
    <w:rsid w:val="00B05B0E"/>
    <w:rsid w:val="00B156C5"/>
    <w:rsid w:val="00B443A6"/>
    <w:rsid w:val="00B64856"/>
    <w:rsid w:val="00BF28C2"/>
    <w:rsid w:val="00C235E7"/>
    <w:rsid w:val="00D2043D"/>
    <w:rsid w:val="00D32573"/>
    <w:rsid w:val="00D72B83"/>
    <w:rsid w:val="00D80049"/>
    <w:rsid w:val="00DC67B2"/>
    <w:rsid w:val="00E8071F"/>
    <w:rsid w:val="00EB0F34"/>
    <w:rsid w:val="00EB4D81"/>
    <w:rsid w:val="00F054CE"/>
    <w:rsid w:val="00F72625"/>
    <w:rsid w:val="00F869C9"/>
    <w:rsid w:val="00F926E7"/>
    <w:rsid w:val="00FC7D68"/>
    <w:rsid w:val="02486FAA"/>
    <w:rsid w:val="04A82B96"/>
    <w:rsid w:val="075C5133"/>
    <w:rsid w:val="0B5546D6"/>
    <w:rsid w:val="0D9D5047"/>
    <w:rsid w:val="0DB708F3"/>
    <w:rsid w:val="13F359A7"/>
    <w:rsid w:val="1F097329"/>
    <w:rsid w:val="22AD1C05"/>
    <w:rsid w:val="2C875276"/>
    <w:rsid w:val="2DE75272"/>
    <w:rsid w:val="2E8A5CE6"/>
    <w:rsid w:val="2ED466F4"/>
    <w:rsid w:val="3BC43787"/>
    <w:rsid w:val="4305460B"/>
    <w:rsid w:val="465B73D2"/>
    <w:rsid w:val="54DD37FA"/>
    <w:rsid w:val="58EC3202"/>
    <w:rsid w:val="590F4E71"/>
    <w:rsid w:val="59823F4B"/>
    <w:rsid w:val="6095778F"/>
    <w:rsid w:val="63A74CDA"/>
    <w:rsid w:val="666961FA"/>
    <w:rsid w:val="66BD0887"/>
    <w:rsid w:val="6ACA114B"/>
    <w:rsid w:val="6BC556EC"/>
    <w:rsid w:val="6D7C37E0"/>
    <w:rsid w:val="6F6D728A"/>
    <w:rsid w:val="6F8E3673"/>
    <w:rsid w:val="725322ED"/>
    <w:rsid w:val="7C433A8B"/>
    <w:rsid w:val="7E7E7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uiPriority="0" w:name="heading 5"/>
    <w:lsdException w:uiPriority="0" w:name="heading 6"/>
    <w:lsdException w:uiPriority="0" w:name="heading 7"/>
    <w:lsdException w:uiPriority="0" w:name="heading 8"/>
    <w:lsdException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iPriority="0" w:semiHidden="0" w:name="header"/>
    <w:lsdException w:qFormat="1" w:uiPriority="0" w:semiHidden="0" w:name="footer"/>
    <w:lsdException w:uiPriority="0" w:name="index heading"/>
    <w:lsdException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uiPriority="0" w:name="FollowedHyperlink"/>
    <w:lsdException w:qFormat="1" w:unhideWhenUsed="0" w:uiPriority="0" w:semiHidden="0" w:name="Strong"/>
    <w:lsdException w:unhideWhenUsed="0" w:uiPriority="0" w:semiHidden="0" w:name="Emphasis"/>
    <w:lsdException w:qFormat="1" w:unhideWhenUsed="0"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qFormat="1"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3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ocument Map"/>
    <w:basedOn w:val="1"/>
    <w:semiHidden/>
    <w:qFormat/>
    <w:uiPriority w:val="0"/>
    <w:pPr>
      <w:shd w:val="clear" w:color="auto" w:fill="000080"/>
    </w:pPr>
  </w:style>
  <w:style w:type="paragraph" w:styleId="6">
    <w:name w:val="footer"/>
    <w:basedOn w:val="1"/>
    <w:link w:val="16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5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Strong"/>
    <w:basedOn w:val="11"/>
    <w:qFormat/>
    <w:uiPriority w:val="0"/>
    <w:rPr>
      <w:b/>
      <w:bCs/>
    </w:rPr>
  </w:style>
  <w:style w:type="character" w:styleId="13">
    <w:name w:val="Hyperlink"/>
    <w:basedOn w:val="11"/>
    <w:qFormat/>
    <w:uiPriority w:val="0"/>
    <w:rPr>
      <w:color w:val="0000FF"/>
      <w:u w:val="single"/>
    </w:rPr>
  </w:style>
  <w:style w:type="character" w:styleId="14">
    <w:name w:val="HTML Code"/>
    <w:basedOn w:val="11"/>
    <w:semiHidden/>
    <w:unhideWhenUsed/>
    <w:qFormat/>
    <w:uiPriority w:val="0"/>
    <w:rPr>
      <w:rFonts w:ascii="Courier New" w:hAnsi="Courier New"/>
      <w:sz w:val="20"/>
    </w:rPr>
  </w:style>
  <w:style w:type="character" w:customStyle="1" w:styleId="15">
    <w:name w:val="页眉 Char"/>
    <w:basedOn w:val="11"/>
    <w:link w:val="7"/>
    <w:uiPriority w:val="0"/>
    <w:rPr>
      <w:kern w:val="2"/>
      <w:sz w:val="18"/>
      <w:szCs w:val="18"/>
    </w:rPr>
  </w:style>
  <w:style w:type="character" w:customStyle="1" w:styleId="16">
    <w:name w:val="页脚 Char"/>
    <w:basedOn w:val="11"/>
    <w:link w:val="6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btbu</Company>
  <Pages>5</Pages>
  <Words>985</Words>
  <Characters>2566</Characters>
  <Lines>17</Lines>
  <Paragraphs>4</Paragraphs>
  <TotalTime>4</TotalTime>
  <ScaleCrop>false</ScaleCrop>
  <LinksUpToDate>false</LinksUpToDate>
  <CharactersWithSpaces>3646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2021-03-19T13:56:00Z</dcterms:created>
  <dc:creator>lihaisheng</dc:creator>
  <cp:lastModifiedBy>WPS_1638421056</cp:lastModifiedBy>
  <dcterms:modified xsi:type="dcterms:W3CDTF">2026-10-29T14:05:21Z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79E8C4F867044F9381AD42DFF81A22AA_13</vt:lpwstr>
  </property>
  <property fmtid="{D5CDD505-2E9C-101B-9397-08002B2CF9AE}" pid="4" name="KSOTemplateDocerSaveRecord">
    <vt:lpwstr>eyJoZGlkIjoiNTBjYzBiNTIyODYyMjQ5OWEyYjc1MWUxYmM5NDkyNjQiLCJ1c2VySWQiOiIxMjkzNjY1NTI0In0=</vt:lpwstr>
  </property>
</Properties>
</file>