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tk2z63iqkchh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Convertir les balises d'un fichier XML en liste de parenthèse.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Exemple: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&lt;code&gt;&lt;auth&gt;&lt;user&gt;&lt;role&gt;&lt;/role&gt;&lt;grant&gt;&lt;/grant&gt;&lt;/user&gt;&lt;/auth&gt;&lt;auth&gt;&lt;items&gt;&lt;item&gt;&lt;/item&gt;&lt;item&gt;&lt;/item&gt;&lt;/items&gt;&lt;/auth&gt;&lt;/code&gt;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devient: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code(auth(user(role()grant()))auth(items(2item())))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g5ydcps2r759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Convert tags from an XML file to a parenthesis list.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&lt;code&gt;&lt;auth&gt;&lt;user&gt;&lt;role&gt;&lt;/role&gt;&lt;grant&gt;&lt;/grant&gt;&lt;/user&gt;&lt;/auth&gt;&lt;auth&gt;&lt;items&gt;&lt;item&gt;&lt;/item&gt;&lt;item&gt;&lt;/item&gt;&lt;/items&gt;&lt;/auth&gt;&lt;/code&gt;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becomes: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code(auth(user(role()grant()))auth(items(2item())))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