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WhatsApp</w:t>
        <w:br/>
        <w:t>Sales &amp; CRM Automation</w:t>
      </w:r>
    </w:p>
    <w:p>
      <w:pPr>
        <w:spacing w:after="200"/>
      </w:pPr>
      <w:r>
        <w:rPr>
          <w:i/>
          <w:color w:val="5A6978"/>
          <w:sz w:val="22"/>
        </w:rPr>
        <w:t>Developer brief | Proposed system scope and workflow</w:t>
      </w:r>
    </w:p>
    <w:p>
      <w:pPr>
        <w:pStyle w:val="Heading1"/>
      </w:pPr>
      <w:r>
        <w:t>1. Project objective</w:t>
      </w:r>
    </w:p>
    <w:p>
      <w:r>
        <w:t>Build an AI-powered sales assistant that manages the customer journey from Facebook and Instagram advertising to enquiry handling, lead qualification, automated follow-ups, payment tracking and conversion. The system should operate 24/7 and handle routine customer interactions with minimal or no human intervention.</w:t>
      </w:r>
    </w:p>
    <w:p>
      <w:r>
        <w:rPr>
          <w:b/>
        </w:rPr>
        <w:t xml:space="preserve">Key requirement: </w:t>
      </w:r>
      <w:r>
        <w:t>Customers must be able to communicate by text or voice note in supported languages. The AI should understand the customer’s intent and respond naturally in the same language wherever supported.</w:t>
      </w:r>
    </w:p>
    <w:p>
      <w:pPr>
        <w:pStyle w:val="Heading1"/>
      </w:pPr>
      <w:r>
        <w:t>2. End-to-end customer workflow</w:t>
      </w:r>
    </w:p>
    <w:tbl>
      <w:tblPr>
        <w:tblStyle w:val="TableGrid"/>
        <w:tblW w:type="auto" w:w="0"/>
        <w:tblLook w:firstColumn="1" w:firstRow="1" w:lastColumn="0" w:lastRow="0" w:noHBand="0" w:noVBand="1" w:val="04A0"/>
      </w:tblPr>
      <w:tblGrid>
        <w:gridCol w:w="5040"/>
        <w:gridCol w:w="5040"/>
      </w:tblGrid>
      <w:tr>
        <w:tc>
          <w:tcPr>
            <w:tcW w:type="dxa" w:w="5040"/>
            <w:vAlign w:val="center"/>
            <w:shd w:fill="F0F5F8"/>
          </w:tcPr>
          <w:p>
            <w:pPr>
              <w:spacing w:after="20"/>
            </w:pPr>
            <w:r/>
            <w:r>
              <w:rPr>
                <w:rFonts w:ascii="Aptos" w:hAnsi="Aptos"/>
                <w:b/>
                <w:color w:val="144B73"/>
                <w:sz w:val="18"/>
              </w:rPr>
              <w:t>1. Ad discovery</w:t>
            </w:r>
          </w:p>
        </w:tc>
        <w:tc>
          <w:tcPr>
            <w:tcW w:type="dxa" w:w="5040"/>
            <w:vAlign w:val="center"/>
            <w:shd w:fill="F0F5F8"/>
          </w:tcPr>
          <w:p>
            <w:pPr>
              <w:spacing w:after="20"/>
            </w:pPr>
            <w:r/>
            <w:r>
              <w:rPr>
                <w:rFonts w:ascii="Aptos" w:hAnsi="Aptos"/>
                <w:b w:val="0"/>
                <w:sz w:val="18"/>
              </w:rPr>
              <w:t>Customer sees an ad on Facebook or Instagram.</w:t>
            </w:r>
          </w:p>
        </w:tc>
      </w:tr>
      <w:tr>
        <w:tc>
          <w:tcPr>
            <w:tcW w:type="dxa" w:w="5040"/>
            <w:vAlign w:val="center"/>
          </w:tcPr>
          <w:p>
            <w:pPr>
              <w:spacing w:after="20"/>
            </w:pPr>
            <w:r/>
            <w:r>
              <w:rPr>
                <w:rFonts w:ascii="Aptos" w:hAnsi="Aptos"/>
                <w:b/>
                <w:color w:val="144B73"/>
                <w:sz w:val="18"/>
              </w:rPr>
              <w:t>2. Enquiry</w:t>
            </w:r>
          </w:p>
        </w:tc>
        <w:tc>
          <w:tcPr>
            <w:tcW w:type="dxa" w:w="5040"/>
            <w:vAlign w:val="center"/>
          </w:tcPr>
          <w:p>
            <w:pPr>
              <w:spacing w:after="20"/>
            </w:pPr>
            <w:r/>
            <w:r>
              <w:rPr>
                <w:rFonts w:ascii="Aptos" w:hAnsi="Aptos"/>
                <w:b w:val="0"/>
                <w:sz w:val="18"/>
              </w:rPr>
              <w:t>Customer starts a WhatsApp conversation, submits a website enquiry or completes a lead form.</w:t>
            </w:r>
          </w:p>
        </w:tc>
      </w:tr>
      <w:tr>
        <w:tc>
          <w:tcPr>
            <w:tcW w:type="dxa" w:w="5040"/>
            <w:vAlign w:val="center"/>
            <w:shd w:fill="F0F5F8"/>
          </w:tcPr>
          <w:p>
            <w:pPr>
              <w:spacing w:after="20"/>
            </w:pPr>
            <w:r/>
            <w:r>
              <w:rPr>
                <w:rFonts w:ascii="Aptos" w:hAnsi="Aptos"/>
                <w:b/>
                <w:color w:val="144B73"/>
                <w:sz w:val="18"/>
              </w:rPr>
              <w:t>3. AI conversation</w:t>
            </w:r>
          </w:p>
        </w:tc>
        <w:tc>
          <w:tcPr>
            <w:tcW w:type="dxa" w:w="5040"/>
            <w:vAlign w:val="center"/>
            <w:shd w:fill="F0F5F8"/>
          </w:tcPr>
          <w:p>
            <w:pPr>
              <w:spacing w:after="20"/>
            </w:pPr>
            <w:r/>
            <w:r>
              <w:rPr>
                <w:rFonts w:ascii="Aptos" w:hAnsi="Aptos"/>
                <w:b w:val="0"/>
                <w:sz w:val="18"/>
              </w:rPr>
              <w:t>AI acknowledges the enquiry, answers questions using approved business information and gathers relevant details.</w:t>
            </w:r>
          </w:p>
        </w:tc>
      </w:tr>
      <w:tr>
        <w:tc>
          <w:tcPr>
            <w:tcW w:type="dxa" w:w="5040"/>
            <w:vAlign w:val="center"/>
          </w:tcPr>
          <w:p>
            <w:pPr>
              <w:spacing w:after="20"/>
            </w:pPr>
            <w:r/>
            <w:r>
              <w:rPr>
                <w:rFonts w:ascii="Aptos" w:hAnsi="Aptos"/>
                <w:b/>
                <w:color w:val="144B73"/>
                <w:sz w:val="18"/>
              </w:rPr>
              <w:t>4. Voice and language processing</w:t>
            </w:r>
          </w:p>
        </w:tc>
        <w:tc>
          <w:tcPr>
            <w:tcW w:type="dxa" w:w="5040"/>
            <w:vAlign w:val="center"/>
          </w:tcPr>
          <w:p>
            <w:pPr>
              <w:spacing w:after="20"/>
            </w:pPr>
            <w:r/>
            <w:r>
              <w:rPr>
                <w:rFonts w:ascii="Aptos" w:hAnsi="Aptos"/>
                <w:b w:val="0"/>
                <w:sz w:val="18"/>
              </w:rPr>
              <w:t>For voice notes, the system transcribes the audio, identifies the language and intent, and generates a suitable response.</w:t>
            </w:r>
          </w:p>
        </w:tc>
      </w:tr>
      <w:tr>
        <w:tc>
          <w:tcPr>
            <w:tcW w:type="dxa" w:w="5040"/>
            <w:vAlign w:val="center"/>
            <w:shd w:fill="F0F5F8"/>
          </w:tcPr>
          <w:p>
            <w:pPr>
              <w:spacing w:after="20"/>
            </w:pPr>
            <w:r/>
            <w:r>
              <w:rPr>
                <w:rFonts w:ascii="Aptos" w:hAnsi="Aptos"/>
                <w:b/>
                <w:color w:val="144B73"/>
                <w:sz w:val="18"/>
              </w:rPr>
              <w:t>5. CRM update</w:t>
            </w:r>
          </w:p>
        </w:tc>
        <w:tc>
          <w:tcPr>
            <w:tcW w:type="dxa" w:w="5040"/>
            <w:vAlign w:val="center"/>
            <w:shd w:fill="F0F5F8"/>
          </w:tcPr>
          <w:p>
            <w:pPr>
              <w:spacing w:after="20"/>
            </w:pPr>
            <w:r/>
            <w:r>
              <w:rPr>
                <w:rFonts w:ascii="Aptos" w:hAnsi="Aptos"/>
                <w:b w:val="0"/>
                <w:sz w:val="18"/>
              </w:rPr>
              <w:t>The system creates or updates the lead record, saves conversation history and classifies the lead stage.</w:t>
            </w:r>
          </w:p>
        </w:tc>
      </w:tr>
      <w:tr>
        <w:tc>
          <w:tcPr>
            <w:tcW w:type="dxa" w:w="5040"/>
            <w:vAlign w:val="center"/>
          </w:tcPr>
          <w:p>
            <w:pPr>
              <w:spacing w:after="20"/>
            </w:pPr>
            <w:r/>
            <w:r>
              <w:rPr>
                <w:rFonts w:ascii="Aptos" w:hAnsi="Aptos"/>
                <w:b/>
                <w:color w:val="144B73"/>
                <w:sz w:val="18"/>
              </w:rPr>
              <w:t>6. Follow-up</w:t>
            </w:r>
          </w:p>
        </w:tc>
        <w:tc>
          <w:tcPr>
            <w:tcW w:type="dxa" w:w="5040"/>
            <w:vAlign w:val="center"/>
          </w:tcPr>
          <w:p>
            <w:pPr>
              <w:spacing w:after="20"/>
            </w:pPr>
            <w:r/>
            <w:r>
              <w:rPr>
                <w:rFonts w:ascii="Aptos" w:hAnsi="Aptos"/>
                <w:b w:val="0"/>
                <w:sz w:val="18"/>
              </w:rPr>
              <w:t>If the customer becomes unresponsive, the system schedules up to two or three relevant follow-ups, subject to consent and WhatsApp rules.</w:t>
            </w:r>
          </w:p>
        </w:tc>
      </w:tr>
      <w:tr>
        <w:tc>
          <w:tcPr>
            <w:tcW w:type="dxa" w:w="5040"/>
            <w:vAlign w:val="center"/>
            <w:shd w:fill="F0F5F8"/>
          </w:tcPr>
          <w:p>
            <w:pPr>
              <w:spacing w:after="20"/>
            </w:pPr>
            <w:r/>
            <w:r>
              <w:rPr>
                <w:rFonts w:ascii="Aptos" w:hAnsi="Aptos"/>
                <w:b/>
                <w:color w:val="144B73"/>
                <w:sz w:val="18"/>
              </w:rPr>
              <w:t>7. Conversion</w:t>
            </w:r>
          </w:p>
        </w:tc>
        <w:tc>
          <w:tcPr>
            <w:tcW w:type="dxa" w:w="5040"/>
            <w:vAlign w:val="center"/>
            <w:shd w:fill="F0F5F8"/>
          </w:tcPr>
          <w:p>
            <w:pPr>
              <w:spacing w:after="20"/>
            </w:pPr>
            <w:r/>
            <w:r>
              <w:rPr>
                <w:rFonts w:ascii="Aptos" w:hAnsi="Aptos"/>
                <w:b w:val="0"/>
                <w:sz w:val="18"/>
              </w:rPr>
              <w:t>The AI can guide the customer to checkout or a payment link. Payment/order status is updated from verified system events.</w:t>
            </w:r>
          </w:p>
        </w:tc>
      </w:tr>
      <w:tr>
        <w:tc>
          <w:tcPr>
            <w:tcW w:type="dxa" w:w="5040"/>
            <w:vAlign w:val="center"/>
          </w:tcPr>
          <w:p>
            <w:pPr>
              <w:spacing w:after="20"/>
            </w:pPr>
            <w:r/>
            <w:r>
              <w:rPr>
                <w:rFonts w:ascii="Aptos" w:hAnsi="Aptos"/>
                <w:b/>
                <w:color w:val="144B73"/>
                <w:sz w:val="18"/>
              </w:rPr>
              <w:t>8. Reporting</w:t>
            </w:r>
          </w:p>
        </w:tc>
        <w:tc>
          <w:tcPr>
            <w:tcW w:type="dxa" w:w="5040"/>
            <w:vAlign w:val="center"/>
          </w:tcPr>
          <w:p>
            <w:pPr>
              <w:spacing w:after="20"/>
            </w:pPr>
            <w:r/>
            <w:r>
              <w:rPr>
                <w:rFonts w:ascii="Aptos" w:hAnsi="Aptos"/>
                <w:b w:val="0"/>
                <w:sz w:val="18"/>
              </w:rPr>
              <w:t>A dashboard reports enquiry volume, lead stages, follow-ups, conversions and payment status.</w:t>
            </w:r>
          </w:p>
        </w:tc>
      </w:tr>
    </w:tbl>
    <w:p>
      <w:pPr>
        <w:pStyle w:val="Heading1"/>
      </w:pPr>
      <w:r>
        <w:t>3. Core functional requirements</w:t>
      </w:r>
    </w:p>
    <w:p>
      <w:pPr>
        <w:pStyle w:val="Heading2"/>
      </w:pPr>
      <w:r>
        <w:t>A. 24/7 WhatsApp AI agent</w:t>
      </w:r>
    </w:p>
    <w:p>
      <w:pPr>
        <w:pStyle w:val="ListBullet"/>
      </w:pPr>
      <w:r>
        <w:t>Automatically answer common enquiries at any time.</w:t>
      </w:r>
    </w:p>
    <w:p>
      <w:pPr>
        <w:pStyle w:val="ListBullet"/>
      </w:pPr>
      <w:r>
        <w:t>Respond to FAQs about products/services, pricing, availability, delivery and business policies using approved information.</w:t>
      </w:r>
    </w:p>
    <w:p>
      <w:pPr>
        <w:pStyle w:val="ListBullet"/>
      </w:pPr>
      <w:r>
        <w:t>Maintain context across messages and understand customer intent, objections, preferences and purchase readiness.</w:t>
      </w:r>
    </w:p>
    <w:p>
      <w:pPr>
        <w:pStyle w:val="ListBullet"/>
      </w:pPr>
      <w:r>
        <w:t>Share relevant product details, links and payment/checkout links when appropriate.</w:t>
      </w:r>
    </w:p>
    <w:p>
      <w:pPr>
        <w:pStyle w:val="Heading2"/>
      </w:pPr>
      <w:r>
        <w:t>B. Multilingual and voice-message understanding</w:t>
      </w:r>
    </w:p>
    <w:p>
      <w:pPr>
        <w:pStyle w:val="ListBullet"/>
      </w:pPr>
      <w:r>
        <w:t>Accept text and WhatsApp voice notes in agreed languages (e.g., Malayalam, English, Hindi and other required languages).</w:t>
      </w:r>
    </w:p>
    <w:p>
      <w:pPr>
        <w:pStyle w:val="ListBullet"/>
      </w:pPr>
      <w:r>
        <w:t>Transcribe voice messages using a suitable speech-to-text model and identify language and intent.</w:t>
      </w:r>
    </w:p>
    <w:p>
      <w:pPr>
        <w:pStyle w:val="ListBullet"/>
      </w:pPr>
      <w:r>
        <w:t>Respond in the customer’s language; support mixed-language messages where technically reliable.</w:t>
      </w:r>
    </w:p>
    <w:p>
      <w:pPr>
        <w:pStyle w:val="ListBullet"/>
      </w:pPr>
      <w:r>
        <w:t>Use text replies by default; voice replies can be added if required.</w:t>
      </w:r>
    </w:p>
    <w:p>
      <w:pPr>
        <w:pStyle w:val="ListBullet"/>
      </w:pPr>
      <w:r>
        <w:t>Handle unclear audio or unsupported languages with a clarification message or fallback workflow.</w:t>
      </w:r>
    </w:p>
    <w:p>
      <w:pPr>
        <w:pStyle w:val="Heading2"/>
      </w:pPr>
      <w:r>
        <w:t>C. Lead qualification and CRM pipeline</w:t>
      </w:r>
    </w:p>
    <w:p>
      <w:pPr>
        <w:pStyle w:val="ListBullet"/>
      </w:pPr>
      <w:r>
        <w:t>Create or update customer records and avoid duplicate leads where possible.</w:t>
      </w:r>
    </w:p>
    <w:p>
      <w:pPr>
        <w:pStyle w:val="ListBullet"/>
      </w:pPr>
      <w:r>
        <w:t>Capture available contact details, ad/source information, campaign, language, customer requirements, conversation history and follow-up status.</w:t>
      </w:r>
    </w:p>
    <w:p>
      <w:pPr>
        <w:pStyle w:val="ListBullet"/>
      </w:pPr>
      <w:r>
        <w:t>Classify leads based on conversation signals and defined business rules.</w:t>
      </w:r>
    </w:p>
    <w:p>
      <w:pPr>
        <w:pStyle w:val="ListBullet"/>
      </w:pPr>
      <w:r>
        <w:t>Suggested stages: New Lead; AI Contacted; Enquiry Understood; Details Shared; Interested/Qualified; Follow-up Pending; Payment Pending; Converted/Paid; Not Interested; Unresponsive/Closed.</w:t>
      </w:r>
    </w:p>
    <w:p>
      <w:pPr>
        <w:pStyle w:val="ListBullet"/>
      </w:pPr>
      <w:r>
        <w:t>Update stages from conversation events, but do not mark a lead as converted or paid without verified evidence.</w:t>
      </w:r>
    </w:p>
    <w:p>
      <w:pPr>
        <w:pStyle w:val="Heading2"/>
      </w:pPr>
      <w:r>
        <w:t>D. Automated follow-ups</w:t>
      </w:r>
    </w:p>
    <w:p>
      <w:pPr>
        <w:pStyle w:val="ListBullet"/>
      </w:pPr>
      <w:r>
        <w:t>Schedule two or three context-aware follow-ups after details are shared and the customer stops responding.</w:t>
      </w:r>
    </w:p>
    <w:p>
      <w:pPr>
        <w:pStyle w:val="ListBullet"/>
      </w:pPr>
      <w:r>
        <w:t>Resume the AI conversation when the customer replies.</w:t>
      </w:r>
    </w:p>
    <w:p>
      <w:pPr>
        <w:pStyle w:val="ListBullet"/>
      </w:pPr>
      <w:r>
        <w:t>Stop scheduled follow-ups when the customer responds, converts, opts out or is marked not interested.</w:t>
      </w:r>
    </w:p>
    <w:p>
      <w:pPr>
        <w:pStyle w:val="ListBullet"/>
      </w:pPr>
      <w:r>
        <w:t>Respect consent, applicable messaging rules, approved template requirements and WhatsApp messaging windows.</w:t>
      </w:r>
    </w:p>
    <w:p>
      <w:pPr>
        <w:pStyle w:val="Heading2"/>
      </w:pPr>
      <w:r>
        <w:t>E. Conversion and payment tracking</w:t>
      </w:r>
    </w:p>
    <w:p>
      <w:pPr>
        <w:pStyle w:val="ListBullet"/>
      </w:pPr>
      <w:r>
        <w:t>Share relevant checkout or payment links and guide the customer through the next step.</w:t>
      </w:r>
    </w:p>
    <w:p>
      <w:pPr>
        <w:pStyle w:val="ListBullet"/>
      </w:pPr>
      <w:r>
        <w:t>Integrate with the selected payment gateway or order-management system.</w:t>
      </w:r>
    </w:p>
    <w:p>
      <w:pPr>
        <w:pStyle w:val="ListBullet"/>
      </w:pPr>
      <w:r>
        <w:t>Update payment status using verified API responses/webhooks, not AI assumptions.</w:t>
      </w:r>
    </w:p>
    <w:p>
      <w:pPr>
        <w:pStyle w:val="ListBullet"/>
      </w:pPr>
      <w:r>
        <w:t>Record applicable statuses such as pending, paid, failed and refunded, and send confirmations after verified payment.</w:t>
      </w:r>
    </w:p>
    <w:p>
      <w:pPr>
        <w:pStyle w:val="Heading2"/>
      </w:pPr>
      <w:r>
        <w:t>F. Dashboard and reporting</w:t>
      </w:r>
    </w:p>
    <w:p>
      <w:pPr>
        <w:pStyle w:val="ListBullet"/>
      </w:pPr>
      <w:r>
        <w:t>Track enquiries by source/campaign, conversations handled, qualified leads and response times.</w:t>
      </w:r>
    </w:p>
    <w:p>
      <w:pPr>
        <w:pStyle w:val="ListBullet"/>
      </w:pPr>
      <w:r>
        <w:t>Show lead-stage distribution, follow-up outcomes, conversion rate and payment status.</w:t>
      </w:r>
    </w:p>
    <w:p>
      <w:pPr>
        <w:pStyle w:val="ListBullet"/>
      </w:pPr>
      <w:r>
        <w:t>Report revenue and acquisition metrics where reliable data is available.</w:t>
      </w:r>
    </w:p>
    <w:p>
      <w:pPr>
        <w:pStyle w:val="ListBullet"/>
      </w:pPr>
      <w:r>
        <w:t>Log failed transcriptions, AI errors, unanswered questions and cases needing intervention.</w:t>
      </w:r>
    </w:p>
    <w:p>
      <w:pPr>
        <w:pStyle w:val="Heading1"/>
      </w:pPr>
      <w:r>
        <w:t>4. Suggested technology stack</w:t>
      </w:r>
    </w:p>
    <w:p>
      <w:r>
        <w:t>The development team should confirm the final stack based on current systems, expected enquiry volume, cost and maintenance requirements.</w:t>
      </w:r>
    </w:p>
    <w:tbl>
      <w:tblPr>
        <w:tblStyle w:val="TableGrid"/>
        <w:tblW w:type="auto" w:w="0"/>
        <w:tblLook w:firstColumn="1" w:firstRow="1" w:lastColumn="0" w:lastRow="0" w:noHBand="0" w:noVBand="1" w:val="04A0"/>
      </w:tblPr>
      <w:tblGrid>
        <w:gridCol w:w="5040"/>
        <w:gridCol w:w="5040"/>
      </w:tblGrid>
      <w:tr>
        <w:tc>
          <w:tcPr>
            <w:tcW w:type="dxa" w:w="5040"/>
            <w:vAlign w:val="center"/>
            <w:shd w:fill="164B73"/>
          </w:tcPr>
          <w:p>
            <w:pPr>
              <w:spacing w:after="20"/>
            </w:pPr>
            <w:r/>
            <w:r>
              <w:rPr>
                <w:rFonts w:ascii="Aptos" w:hAnsi="Aptos"/>
                <w:b/>
                <w:color w:val="FFFFFF"/>
                <w:sz w:val="18"/>
              </w:rPr>
              <w:t>Component</w:t>
            </w:r>
          </w:p>
        </w:tc>
        <w:tc>
          <w:tcPr>
            <w:tcW w:type="dxa" w:w="5040"/>
            <w:vAlign w:val="center"/>
            <w:shd w:fill="164B73"/>
          </w:tcPr>
          <w:p>
            <w:pPr>
              <w:spacing w:after="20"/>
            </w:pPr>
            <w:r/>
            <w:r>
              <w:rPr>
                <w:rFonts w:ascii="Aptos" w:hAnsi="Aptos"/>
                <w:b/>
                <w:color w:val="FFFFFF"/>
                <w:sz w:val="18"/>
              </w:rPr>
              <w:t>Suggested option</w:t>
            </w:r>
          </w:p>
        </w:tc>
      </w:tr>
      <w:tr>
        <w:tc>
          <w:tcPr>
            <w:tcW w:type="dxa" w:w="5040"/>
            <w:vAlign w:val="center"/>
          </w:tcPr>
          <w:p>
            <w:pPr>
              <w:spacing w:after="20"/>
            </w:pPr>
            <w:r/>
            <w:r>
              <w:rPr>
                <w:rFonts w:ascii="Aptos" w:hAnsi="Aptos"/>
                <w:b/>
                <w:sz w:val="18"/>
              </w:rPr>
              <w:t>WhatsApp integration</w:t>
            </w:r>
          </w:p>
        </w:tc>
        <w:tc>
          <w:tcPr>
            <w:tcW w:type="dxa" w:w="5040"/>
            <w:vAlign w:val="center"/>
          </w:tcPr>
          <w:p>
            <w:pPr>
              <w:spacing w:after="20"/>
            </w:pPr>
            <w:r/>
            <w:r>
              <w:rPr>
                <w:rFonts w:ascii="Aptos" w:hAnsi="Aptos"/>
                <w:b w:val="0"/>
                <w:sz w:val="18"/>
              </w:rPr>
              <w:t>Official WhatsApp Business Platform / Cloud API or a suitable Business Solution Provider (BSP).</w:t>
            </w:r>
          </w:p>
        </w:tc>
      </w:tr>
      <w:tr>
        <w:tc>
          <w:tcPr>
            <w:tcW w:type="dxa" w:w="5040"/>
            <w:vAlign w:val="center"/>
          </w:tcPr>
          <w:p>
            <w:pPr>
              <w:spacing w:after="20"/>
            </w:pPr>
            <w:r/>
            <w:r>
              <w:rPr>
                <w:rFonts w:ascii="Aptos" w:hAnsi="Aptos"/>
                <w:b/>
                <w:sz w:val="18"/>
              </w:rPr>
              <w:t>AI conversation and intent</w:t>
            </w:r>
          </w:p>
        </w:tc>
        <w:tc>
          <w:tcPr>
            <w:tcW w:type="dxa" w:w="5040"/>
            <w:vAlign w:val="center"/>
          </w:tcPr>
          <w:p>
            <w:pPr>
              <w:spacing w:after="20"/>
            </w:pPr>
            <w:r/>
            <w:r>
              <w:rPr>
                <w:rFonts w:ascii="Aptos" w:hAnsi="Aptos"/>
                <w:b w:val="0"/>
                <w:sz w:val="18"/>
              </w:rPr>
              <w:t>OpenAI API or another suitable large language model.</w:t>
            </w:r>
          </w:p>
        </w:tc>
      </w:tr>
      <w:tr>
        <w:tc>
          <w:tcPr>
            <w:tcW w:type="dxa" w:w="5040"/>
            <w:vAlign w:val="center"/>
          </w:tcPr>
          <w:p>
            <w:pPr>
              <w:spacing w:after="20"/>
            </w:pPr>
            <w:r/>
            <w:r>
              <w:rPr>
                <w:rFonts w:ascii="Aptos" w:hAnsi="Aptos"/>
                <w:b/>
                <w:sz w:val="18"/>
              </w:rPr>
              <w:t>Voice transcription</w:t>
            </w:r>
          </w:p>
        </w:tc>
        <w:tc>
          <w:tcPr>
            <w:tcW w:type="dxa" w:w="5040"/>
            <w:vAlign w:val="center"/>
          </w:tcPr>
          <w:p>
            <w:pPr>
              <w:spacing w:after="20"/>
            </w:pPr>
            <w:r/>
            <w:r>
              <w:rPr>
                <w:rFonts w:ascii="Aptos" w:hAnsi="Aptos"/>
                <w:b w:val="0"/>
                <w:sz w:val="18"/>
              </w:rPr>
              <w:t>OpenAI speech-to-text or another multilingual speech-recognition model.</w:t>
            </w:r>
          </w:p>
        </w:tc>
      </w:tr>
      <w:tr>
        <w:tc>
          <w:tcPr>
            <w:tcW w:type="dxa" w:w="5040"/>
            <w:vAlign w:val="center"/>
          </w:tcPr>
          <w:p>
            <w:pPr>
              <w:spacing w:after="20"/>
            </w:pPr>
            <w:r/>
            <w:r>
              <w:rPr>
                <w:rFonts w:ascii="Aptos" w:hAnsi="Aptos"/>
                <w:b/>
                <w:sz w:val="18"/>
              </w:rPr>
              <w:t>Workflow orchestration</w:t>
            </w:r>
          </w:p>
        </w:tc>
        <w:tc>
          <w:tcPr>
            <w:tcW w:type="dxa" w:w="5040"/>
            <w:vAlign w:val="center"/>
          </w:tcPr>
          <w:p>
            <w:pPr>
              <w:spacing w:after="20"/>
            </w:pPr>
            <w:r/>
            <w:r>
              <w:rPr>
                <w:rFonts w:ascii="Aptos" w:hAnsi="Aptos"/>
                <w:b w:val="0"/>
                <w:sz w:val="18"/>
              </w:rPr>
              <w:t>n8n or equivalent automation platform.</w:t>
            </w:r>
          </w:p>
        </w:tc>
      </w:tr>
      <w:tr>
        <w:tc>
          <w:tcPr>
            <w:tcW w:type="dxa" w:w="5040"/>
            <w:vAlign w:val="center"/>
          </w:tcPr>
          <w:p>
            <w:pPr>
              <w:spacing w:after="20"/>
            </w:pPr>
            <w:r/>
            <w:r>
              <w:rPr>
                <w:rFonts w:ascii="Aptos" w:hAnsi="Aptos"/>
                <w:b/>
                <w:sz w:val="18"/>
              </w:rPr>
              <w:t>Backend</w:t>
            </w:r>
          </w:p>
        </w:tc>
        <w:tc>
          <w:tcPr>
            <w:tcW w:type="dxa" w:w="5040"/>
            <w:vAlign w:val="center"/>
          </w:tcPr>
          <w:p>
            <w:pPr>
              <w:spacing w:after="20"/>
            </w:pPr>
            <w:r/>
            <w:r>
              <w:rPr>
                <w:rFonts w:ascii="Aptos" w:hAnsi="Aptos"/>
                <w:b w:val="0"/>
                <w:sz w:val="18"/>
              </w:rPr>
              <w:t>Python/FastAPI or Node.js for business logic and integrations.</w:t>
            </w:r>
          </w:p>
        </w:tc>
      </w:tr>
      <w:tr>
        <w:tc>
          <w:tcPr>
            <w:tcW w:type="dxa" w:w="5040"/>
            <w:vAlign w:val="center"/>
          </w:tcPr>
          <w:p>
            <w:pPr>
              <w:spacing w:after="20"/>
            </w:pPr>
            <w:r/>
            <w:r>
              <w:rPr>
                <w:rFonts w:ascii="Aptos" w:hAnsi="Aptos"/>
                <w:b/>
                <w:sz w:val="18"/>
              </w:rPr>
              <w:t>Database</w:t>
            </w:r>
          </w:p>
        </w:tc>
        <w:tc>
          <w:tcPr>
            <w:tcW w:type="dxa" w:w="5040"/>
            <w:vAlign w:val="center"/>
          </w:tcPr>
          <w:p>
            <w:pPr>
              <w:spacing w:after="20"/>
            </w:pPr>
            <w:r/>
            <w:r>
              <w:rPr>
                <w:rFonts w:ascii="Aptos" w:hAnsi="Aptos"/>
                <w:b w:val="0"/>
                <w:sz w:val="18"/>
              </w:rPr>
              <w:t>PostgreSQL or an equivalent managed database.</w:t>
            </w:r>
          </w:p>
        </w:tc>
      </w:tr>
      <w:tr>
        <w:tc>
          <w:tcPr>
            <w:tcW w:type="dxa" w:w="5040"/>
            <w:vAlign w:val="center"/>
          </w:tcPr>
          <w:p>
            <w:pPr>
              <w:spacing w:after="20"/>
            </w:pPr>
            <w:r/>
            <w:r>
              <w:rPr>
                <w:rFonts w:ascii="Aptos" w:hAnsi="Aptos"/>
                <w:b/>
                <w:sz w:val="18"/>
              </w:rPr>
              <w:t>CRM</w:t>
            </w:r>
          </w:p>
        </w:tc>
        <w:tc>
          <w:tcPr>
            <w:tcW w:type="dxa" w:w="5040"/>
            <w:vAlign w:val="center"/>
          </w:tcPr>
          <w:p>
            <w:pPr>
              <w:spacing w:after="20"/>
            </w:pPr>
            <w:r/>
            <w:r>
              <w:rPr>
                <w:rFonts w:ascii="Aptos" w:hAnsi="Aptos"/>
                <w:b w:val="0"/>
                <w:sz w:val="18"/>
              </w:rPr>
              <w:t>Integrate an existing CRM or build a custom CRM after requirements are confirmed.</w:t>
            </w:r>
          </w:p>
        </w:tc>
      </w:tr>
      <w:tr>
        <w:tc>
          <w:tcPr>
            <w:tcW w:type="dxa" w:w="5040"/>
            <w:vAlign w:val="center"/>
          </w:tcPr>
          <w:p>
            <w:pPr>
              <w:spacing w:after="20"/>
            </w:pPr>
            <w:r/>
            <w:r>
              <w:rPr>
                <w:rFonts w:ascii="Aptos" w:hAnsi="Aptos"/>
                <w:b/>
                <w:sz w:val="18"/>
              </w:rPr>
              <w:t>Payments</w:t>
            </w:r>
          </w:p>
        </w:tc>
        <w:tc>
          <w:tcPr>
            <w:tcW w:type="dxa" w:w="5040"/>
            <w:vAlign w:val="center"/>
          </w:tcPr>
          <w:p>
            <w:pPr>
              <w:spacing w:after="20"/>
            </w:pPr>
            <w:r/>
            <w:r>
              <w:rPr>
                <w:rFonts w:ascii="Aptos" w:hAnsi="Aptos"/>
                <w:b w:val="0"/>
                <w:sz w:val="18"/>
              </w:rPr>
              <w:t>Existing payment gateway/order system with verified webhooks.</w:t>
            </w:r>
          </w:p>
        </w:tc>
      </w:tr>
      <w:tr>
        <w:tc>
          <w:tcPr>
            <w:tcW w:type="dxa" w:w="5040"/>
            <w:vAlign w:val="center"/>
          </w:tcPr>
          <w:p>
            <w:pPr>
              <w:spacing w:after="20"/>
            </w:pPr>
            <w:r/>
            <w:r>
              <w:rPr>
                <w:rFonts w:ascii="Aptos" w:hAnsi="Aptos"/>
                <w:b/>
                <w:sz w:val="18"/>
              </w:rPr>
              <w:t>Analytics</w:t>
            </w:r>
          </w:p>
        </w:tc>
        <w:tc>
          <w:tcPr>
            <w:tcW w:type="dxa" w:w="5040"/>
            <w:vAlign w:val="center"/>
          </w:tcPr>
          <w:p>
            <w:pPr>
              <w:spacing w:after="20"/>
            </w:pPr>
            <w:r/>
            <w:r>
              <w:rPr>
                <w:rFonts w:ascii="Aptos" w:hAnsi="Aptos"/>
                <w:b w:val="0"/>
                <w:sz w:val="18"/>
              </w:rPr>
              <w:t>CRM reporting dashboard and/or Looker Studio, depending on the data architecture.</w:t>
            </w:r>
          </w:p>
        </w:tc>
      </w:tr>
    </w:tbl>
    <w:p>
      <w:pPr>
        <w:pStyle w:val="Heading1"/>
      </w:pPr>
      <w:r>
        <w:t>5. Reliability, safety and operational rules</w:t>
      </w:r>
    </w:p>
    <w:p>
      <w:pPr>
        <w:pStyle w:val="ListBullet"/>
      </w:pPr>
      <w:r>
        <w:t>Use an approved knowledge base and business rules; do not invent prices, availability, delivery commitments or policies.</w:t>
      </w:r>
    </w:p>
    <w:p>
      <w:pPr>
        <w:pStyle w:val="ListBullet"/>
      </w:pPr>
      <w:r>
        <w:t>Use structured AI outputs and validation rules before changing CRM stages or triggering actions.</w:t>
      </w:r>
    </w:p>
    <w:p>
      <w:pPr>
        <w:pStyle w:val="ListBullet"/>
      </w:pPr>
      <w:r>
        <w:t>Verify payment and order events independently of the AI conversation.</w:t>
      </w:r>
    </w:p>
    <w:p>
      <w:pPr>
        <w:pStyle w:val="ListBullet"/>
      </w:pPr>
      <w:r>
        <w:t>Protect personal information with access controls, appropriate retention and audit logs.</w:t>
      </w:r>
    </w:p>
    <w:p>
      <w:pPr>
        <w:pStyle w:val="ListBullet"/>
      </w:pPr>
      <w:r>
        <w:t>Provide a fallback for unclear messages, failed integrations, unsupported languages and low-confidence responses.</w:t>
      </w:r>
    </w:p>
    <w:p>
      <w:pPr>
        <w:pStyle w:val="ListBullet"/>
      </w:pPr>
      <w:r>
        <w:t>Support human escalation for complaints, sensitive requests, exceptions or situations outside the agent’s permitted scope. Routine enquiries should not require human involvement.</w:t>
      </w:r>
    </w:p>
    <w:p>
      <w:pPr>
        <w:pStyle w:val="ListBullet"/>
      </w:pPr>
      <w:r>
        <w:t>Track AI actions and message delivery status so the team can audit failures and improve performance.</w:t>
      </w:r>
    </w:p>
    <w:p>
      <w:pPr>
        <w:pStyle w:val="Heading1"/>
      </w:pPr>
      <w:r>
        <w:t>6. Expected deliverables</w:t>
      </w:r>
    </w:p>
    <w:p>
      <w:pPr>
        <w:pStyle w:val="ListBullet"/>
      </w:pPr>
      <w:r>
        <w:t>WhatsApp Business integration and AI conversation workflow.</w:t>
      </w:r>
    </w:p>
    <w:p>
      <w:pPr>
        <w:pStyle w:val="ListBullet"/>
      </w:pPr>
      <w:r>
        <w:t>Multilingual text and voice-note processing.</w:t>
      </w:r>
    </w:p>
    <w:p>
      <w:pPr>
        <w:pStyle w:val="ListBullet"/>
      </w:pPr>
      <w:r>
        <w:t>Lead creation, qualification and automated CRM pipeline updates.</w:t>
      </w:r>
    </w:p>
    <w:p>
      <w:pPr>
        <w:pStyle w:val="ListBullet"/>
      </w:pPr>
      <w:r>
        <w:t>Scheduled follow-up workflow with stop conditions.</w:t>
      </w:r>
    </w:p>
    <w:p>
      <w:pPr>
        <w:pStyle w:val="ListBullet"/>
      </w:pPr>
      <w:r>
        <w:t>Payment/order-status integration where applicable.</w:t>
      </w:r>
    </w:p>
    <w:p>
      <w:pPr>
        <w:pStyle w:val="ListBullet"/>
      </w:pPr>
      <w:r>
        <w:t>Dashboard/reporting and conversation audit logs.</w:t>
      </w:r>
    </w:p>
    <w:p>
      <w:pPr>
        <w:pStyle w:val="ListBullet"/>
      </w:pPr>
      <w:r>
        <w:t>Testing across agreed languages, enquiry types, failure cases and conversion scenarios.</w:t>
      </w:r>
    </w:p>
    <w:p>
      <w:pPr>
        <w:pStyle w:val="ListBullet"/>
      </w:pPr>
      <w:r>
        <w:t>Technical documentation, deployment instructions and handover to the team.</w:t>
      </w:r>
    </w:p>
    <w:p>
      <w:pPr>
        <w:pStyle w:val="Heading1"/>
      </w:pPr>
      <w:r>
        <w:t>7. Meta Conversions API (CAPI) and lead-quality feedback</w:t>
      </w:r>
    </w:p>
    <w:p>
      <w:r>
        <w:t>Integrate Meta Conversions API (CAPI) so the system can send relevant, consented and validated conversion/lead-quality events from the CRM back to Meta. The purpose is to help Meta distinguish low-intent enquiries from qualified leads and downstream outcomes, improving campaign measurement and potentially supporting delivery optimisation when configured correctly.</w:t>
      </w:r>
    </w:p>
    <w:p>
      <w:pPr>
        <w:pStyle w:val="ListBullet"/>
      </w:pPr>
      <w:r>
        <w:rPr>
          <w:b/>
        </w:rPr>
        <w:t xml:space="preserve">AI-based intent classification: </w:t>
      </w:r>
      <w:r>
        <w:t>Use conversation signals and defined qualification rules to classify a lead (for example, enquiry only, interested/qualified, payment initiated, or converted).</w:t>
      </w:r>
    </w:p>
    <w:p>
      <w:pPr>
        <w:pStyle w:val="ListBullet"/>
      </w:pPr>
      <w:r>
        <w:rPr>
          <w:b/>
        </w:rPr>
        <w:t xml:space="preserve">CRM event trigger: </w:t>
      </w:r>
      <w:r>
        <w:t>When a lead reaches a defined stage, trigger the corresponding event to Meta through a secure server-side integration. Avoid sending an event for every message or treating a single positive phrase as proof of purchase intent.</w:t>
      </w:r>
    </w:p>
    <w:p>
      <w:pPr>
        <w:pStyle w:val="ListBullet"/>
      </w:pPr>
      <w:r>
        <w:rPr>
          <w:b/>
        </w:rPr>
        <w:t xml:space="preserve">Event mapping: </w:t>
      </w:r>
      <w:r>
        <w:t>Agree which CRM stages map to Meta-supported standard events or suitable custom events, and send only events that accurately represent the real customer action.</w:t>
      </w:r>
    </w:p>
    <w:p>
      <w:pPr>
        <w:pStyle w:val="ListBullet"/>
      </w:pPr>
      <w:r>
        <w:rPr>
          <w:b/>
        </w:rPr>
        <w:t xml:space="preserve">Matching and attribution: </w:t>
      </w:r>
      <w:r>
        <w:t>Where legally permitted and with the required notice/consent, send supported identifiers and available ad attribution data using Meta's required formatting and hashing rules. Preserve click IDs and browser identifiers when lawfully available.</w:t>
      </w:r>
    </w:p>
    <w:p>
      <w:pPr>
        <w:pStyle w:val="ListBullet"/>
      </w:pPr>
      <w:r>
        <w:rPr>
          <w:b/>
        </w:rPr>
        <w:t xml:space="preserve">Deduplication and reliability: </w:t>
      </w:r>
      <w:r>
        <w:t>Use event IDs and appropriate event timestamps to deduplicate browser Pixel and server CAPI events where both are used. Log delivery errors, retries and event status.</w:t>
      </w:r>
    </w:p>
    <w:p>
      <w:pPr>
        <w:pStyle w:val="ListBullet"/>
      </w:pPr>
      <w:r>
        <w:rPr>
          <w:b/>
        </w:rPr>
        <w:t xml:space="preserve">Quality feedback: </w:t>
      </w:r>
      <w:r>
        <w:t>Track which leads become qualified, pay or convert, then send the relevant event so campaign performance can be evaluated against meaningful outcomes—not just cost per initial enquiry.</w:t>
      </w:r>
    </w:p>
    <w:p>
      <w:pPr>
        <w:pStyle w:val="ListBullet"/>
      </w:pPr>
      <w:r>
        <w:rPr>
          <w:b/>
        </w:rPr>
        <w:t xml:space="preserve">Privacy and governance: </w:t>
      </w:r>
      <w:r>
        <w:t>Apply data minimisation, consent/legal-basis checks, retention limits and access controls. Do not send message transcripts, sensitive details or unnecessary personal data to Meta.</w:t>
      </w:r>
    </w:p>
    <w:p>
      <w:pPr>
        <w:pStyle w:val="Heading1"/>
      </w:pPr>
      <w:r>
        <w:t>8. Scope note</w:t>
      </w:r>
    </w:p>
    <w:p>
      <w:r>
        <w:t>The AI can handle conversations, qualify leads, answer questions, follow up and guide customers toward checkout without routine human involvement. It cannot guarantee that every lead will convert. Actual conversion depends on customer decisions, product/service availability, pricing and successful payment. CRM stages and paid/converted status must reflect verified events.</w:t>
      </w:r>
    </w:p>
    <w:p>
      <w:pPr>
        <w:pStyle w:val="Heading1"/>
      </w:pPr>
      <w:r>
        <w:t>9. Decisions for the development team</w:t>
      </w:r>
    </w:p>
    <w:p>
      <w:pPr>
        <w:pStyle w:val="ListNumber"/>
      </w:pPr>
      <w:r>
        <w:t>Confirm whether to integrate an existing CRM or build a custom CRM.</w:t>
      </w:r>
    </w:p>
    <w:p>
      <w:pPr>
        <w:pStyle w:val="ListNumber"/>
      </w:pPr>
      <w:r>
        <w:t>Confirm WhatsApp Cloud API versus a Business Solution Provider.</w:t>
      </w:r>
    </w:p>
    <w:p>
      <w:pPr>
        <w:pStyle w:val="ListNumber"/>
      </w:pPr>
      <w:r>
        <w:t>Confirm the initial supported languages and whether voice replies are required.</w:t>
      </w:r>
    </w:p>
    <w:p>
      <w:pPr>
        <w:pStyle w:val="ListNumber"/>
      </w:pPr>
      <w:r>
        <w:t>Confirm lead sources, product/service knowledge base and required qualification fields.</w:t>
      </w:r>
    </w:p>
    <w:p>
      <w:pPr>
        <w:pStyle w:val="ListNumber"/>
      </w:pPr>
      <w:r>
        <w:t>Confirm payment gateway, order system, follow-up timing and reporting KPIs.</w:t>
      </w:r>
    </w:p>
    <w:p>
      <w:pPr>
        <w:pStyle w:val="ListNumber"/>
      </w:pPr>
      <w:r>
        <w:t>Define Meta CAPI event mapping, matching fields, consent requirements, deduplication and success monitoring.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AI-Powered WhatsApp Sales &amp; CRM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SYSTEM REQUIREMENTS  |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4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4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4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