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_Hlk491020317"/>
      <w:bookmarkEnd w:id="0"/>
      <w:r>
        <w:rPr>
          <w:b/>
          <w:sz w:val="36"/>
          <w:szCs w:val="36"/>
        </w:rPr>
        <w:t>Learning in Games: Evidence from the 2014 Pokerstars Price Increase</w:t>
      </w:r>
    </w:p>
    <w:p>
      <w:pPr>
        <w:pStyle w:val="Normal"/>
        <w:jc w:val="center"/>
        <w:rPr/>
      </w:pPr>
      <w:r>
        <w:rPr>
          <w:b/>
          <w:sz w:val="24"/>
          <w:szCs w:val="24"/>
        </w:rPr>
        <w:t>Abstract</w:t>
      </w:r>
    </w:p>
    <w:p>
      <w:pPr>
        <w:pStyle w:val="Normal"/>
        <w:spacing w:lineRule="auto" w:line="360"/>
        <w:ind w:left="720" w:hanging="0"/>
        <w:jc w:val="center"/>
        <w:rPr>
          <w:i/>
          <w:i/>
          <w:szCs w:val="36"/>
        </w:rPr>
      </w:pPr>
      <w:r>
        <w:rPr>
          <w:i/>
          <w:szCs w:val="36"/>
        </w:rPr>
        <w:t>We exploit a natural experiment in online poker to identify the empirical credibility of models of learning in game theory to predict player behavior. Controlling for player heterogeneity, we find that player experience based learning rules (such as reinforcement learning or regret minimization) do poorly to explain human learning in complex games with noisy payoffs.</w:t>
      </w:r>
    </w:p>
    <w:p>
      <w:pPr>
        <w:pStyle w:val="Normal"/>
        <w:jc w:val="center"/>
        <w:rPr>
          <w:b/>
          <w:b/>
          <w:sz w:val="36"/>
          <w:szCs w:val="36"/>
        </w:rPr>
      </w:pPr>
      <w:r>
        <w:rPr>
          <w:b/>
          <w:sz w:val="36"/>
          <w:szCs w:val="36"/>
        </w:rPr>
      </w:r>
    </w:p>
    <w:p>
      <w:pPr>
        <w:pStyle w:val="ListParagraph"/>
        <w:numPr>
          <w:ilvl w:val="0"/>
          <w:numId w:val="1"/>
        </w:numPr>
        <w:rPr/>
      </w:pPr>
      <w:r>
        <w:rPr>
          <w:b/>
          <w:sz w:val="32"/>
          <w:szCs w:val="32"/>
        </w:rPr>
        <w:t>Introduction</w:t>
      </w:r>
    </w:p>
    <w:p>
      <w:pPr>
        <w:pStyle w:val="ListParagraph"/>
        <w:rPr>
          <w:b/>
          <w:b/>
          <w:sz w:val="32"/>
          <w:szCs w:val="32"/>
        </w:rPr>
      </w:pPr>
      <w:r>
        <w:rPr>
          <w:b/>
          <w:sz w:val="32"/>
          <w:szCs w:val="32"/>
        </w:rPr>
      </w:r>
    </w:p>
    <w:p>
      <w:pPr>
        <w:pStyle w:val="ListParagraph"/>
        <w:ind w:left="0" w:hanging="0"/>
        <w:rPr/>
      </w:pPr>
      <w:r>
        <w:rPr>
          <w:sz w:val="24"/>
          <w:szCs w:val="24"/>
        </w:rPr>
        <w:t>On October 24</w:t>
      </w:r>
      <w:r>
        <w:rPr>
          <w:sz w:val="24"/>
          <w:szCs w:val="24"/>
          <w:vertAlign w:val="superscript"/>
        </w:rPr>
        <w:t>th</w:t>
      </w:r>
      <w:r>
        <w:rPr>
          <w:sz w:val="24"/>
          <w:szCs w:val="24"/>
        </w:rPr>
        <w:t>, 2014, Pokerstars, the largest online poker room</w:t>
      </w:r>
      <w:r>
        <w:rPr>
          <w:rStyle w:val="FootnoteAnchor"/>
          <w:rStyle w:val="FootnoteAnchor"/>
          <w:sz w:val="24"/>
          <w:szCs w:val="24"/>
        </w:rPr>
        <w:footnoteReference w:id="2"/>
      </w:r>
      <w:r>
        <w:rPr>
          <w:sz w:val="24"/>
          <w:szCs w:val="24"/>
        </w:rPr>
        <w:t>, announced a large increase in its customers’ cost to play poker, to take effect 10 days later. This price increase was exogenous from the poker players’ perspective</w:t>
      </w:r>
      <w:r>
        <w:rPr>
          <w:rStyle w:val="FootnoteAnchor"/>
          <w:rStyle w:val="FootnoteAnchor"/>
          <w:sz w:val="24"/>
          <w:szCs w:val="24"/>
        </w:rPr>
        <w:footnoteReference w:id="3"/>
      </w:r>
      <w:r>
        <w:rPr>
          <w:sz w:val="24"/>
          <w:szCs w:val="24"/>
        </w:rPr>
        <w:t xml:space="preserve"> and reversed approximately two months later for reasons unspecified by Pokerstars management.</w:t>
      </w:r>
    </w:p>
    <w:p>
      <w:pPr>
        <w:pStyle w:val="ListParagraph"/>
        <w:ind w:left="0" w:hanging="0"/>
        <w:rPr>
          <w:sz w:val="24"/>
          <w:szCs w:val="24"/>
        </w:rPr>
      </w:pPr>
      <w:r>
        <w:rPr>
          <w:sz w:val="24"/>
          <w:szCs w:val="24"/>
        </w:rPr>
      </w:r>
    </w:p>
    <w:p>
      <w:pPr>
        <w:pStyle w:val="ListParagraph"/>
        <w:ind w:left="0" w:hanging="0"/>
        <w:rPr/>
      </w:pPr>
      <w:r>
        <w:rPr>
          <w:sz w:val="24"/>
          <w:szCs w:val="24"/>
        </w:rPr>
        <w:t>This price shock serves as a natural experiment to examine the behavioural response of poker players. Because the cost to play online poker is implemented directly on the money wagered by poker players and is collected unevenly in the poker game tree, the price change changes the expected value of some common strategies and not others. This serves as a rare instance of a natural field experiment in behavioral game theory.</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t>We find that, while there is a significant exogenous change in the expected value of some decisions relative to others, poker players under-adapt their strategies, at a significant monetary cost. Players however do adapt their strategies significantly depending on the type of player they are up against. This finding implies that players do not use payoff information significantly in learning when the payoff deviations are not salient, even when the deviation is large.</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t>There is a tendency towards studying simpler games in empirical game theory. This is usually done to ensure all studied players understand the rules of the game and to keep the analysis tractable. No-limit Texas Hold’em, the game played in our dataset, stands in sharp contrast to this trend with a state space of more than 10</w:t>
      </w:r>
      <w:r>
        <w:rPr>
          <w:sz w:val="24"/>
          <w:szCs w:val="24"/>
          <w:vertAlign w:val="superscript"/>
        </w:rPr>
        <w:t>140</w:t>
      </w:r>
      <w:r>
        <w:rPr>
          <w:sz w:val="24"/>
          <w:szCs w:val="24"/>
        </w:rPr>
        <w:t xml:space="preserve"> possible situations (Johansen, 2013). </w:t>
      </w:r>
    </w:p>
    <w:p>
      <w:pPr>
        <w:pStyle w:val="ListParagraph"/>
        <w:ind w:left="0" w:hanging="0"/>
        <w:rPr>
          <w:sz w:val="24"/>
          <w:szCs w:val="24"/>
        </w:rPr>
      </w:pPr>
      <w:r>
        <w:rPr>
          <w:sz w:val="24"/>
          <w:szCs w:val="24"/>
        </w:rPr>
      </w:r>
    </w:p>
    <w:p>
      <w:pPr>
        <w:pStyle w:val="ListParagraph"/>
        <w:ind w:left="0" w:hanging="0"/>
        <w:rPr/>
      </w:pPr>
      <w:r>
        <w:rPr>
          <w:sz w:val="24"/>
          <w:szCs w:val="24"/>
        </w:rPr>
        <w:t xml:space="preserve">This complexity makes many usual avenues of analysis impossible – simply indexing possible strategies is intractable. However, full scale poker games like the one we are studying have historically been considered something of a microcosm of human strategic behavior under imperfect information. For instance, Von Neumann, arguably the founder of game theory, once stated, referring to poker: </w:t>
      </w:r>
      <w:r>
        <w:rPr>
          <w:i/>
          <w:sz w:val="24"/>
          <w:szCs w:val="24"/>
        </w:rPr>
        <w:t xml:space="preserve">“Real life consists of bluffing, of little tactics of deception, of asking yourself what is the other man going to think I mean to do.  And that is what games are about in my theory.” </w:t>
      </w:r>
      <w:r>
        <w:rPr>
          <w:sz w:val="24"/>
          <w:szCs w:val="24"/>
        </w:rPr>
        <w:t>(Bonowski, 1973).</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t xml:space="preserve">The paper is organized as follows. </w:t>
      </w:r>
      <w:r>
        <w:rPr>
          <w:b/>
          <w:sz w:val="24"/>
          <w:szCs w:val="24"/>
        </w:rPr>
        <w:t xml:space="preserve">Section 2 </w:t>
      </w:r>
      <w:r>
        <w:rPr>
          <w:sz w:val="24"/>
          <w:szCs w:val="24"/>
        </w:rPr>
        <w:t xml:space="preserve">reviews the literature of learning dynamics in games. In </w:t>
      </w:r>
      <w:r>
        <w:rPr>
          <w:b/>
          <w:sz w:val="24"/>
          <w:szCs w:val="24"/>
        </w:rPr>
        <w:t>section 3</w:t>
      </w:r>
      <w:r>
        <w:rPr>
          <w:sz w:val="24"/>
          <w:szCs w:val="24"/>
        </w:rPr>
        <w:t xml:space="preserve">, we discuss the data and the 2014 price change. In </w:t>
      </w:r>
      <w:r>
        <w:rPr>
          <w:b/>
          <w:sz w:val="24"/>
          <w:szCs w:val="24"/>
        </w:rPr>
        <w:t>section 4</w:t>
      </w:r>
      <w:r>
        <w:rPr>
          <w:sz w:val="24"/>
          <w:szCs w:val="24"/>
        </w:rPr>
        <w:t xml:space="preserve">, we discuss unobserved heterogeneity in poker players and methods to deal with the problem. In </w:t>
      </w:r>
      <w:r>
        <w:rPr>
          <w:b/>
          <w:sz w:val="24"/>
          <w:szCs w:val="24"/>
        </w:rPr>
        <w:t>section 5</w:t>
      </w:r>
      <w:r>
        <w:rPr>
          <w:sz w:val="24"/>
          <w:szCs w:val="24"/>
        </w:rPr>
        <w:t xml:space="preserve">, we discuss the game structure of poker and the effect of the price change on said structure. In </w:t>
      </w:r>
      <w:r>
        <w:rPr>
          <w:b/>
          <w:sz w:val="24"/>
          <w:szCs w:val="24"/>
        </w:rPr>
        <w:t>section 6.1</w:t>
      </w:r>
      <w:r>
        <w:rPr>
          <w:sz w:val="24"/>
          <w:szCs w:val="24"/>
        </w:rPr>
        <w:t xml:space="preserve">, we present empirical results in the change in value of decisions for players from the price change. In </w:t>
      </w:r>
      <w:r>
        <w:rPr>
          <w:b/>
          <w:sz w:val="24"/>
          <w:szCs w:val="24"/>
        </w:rPr>
        <w:t xml:space="preserve">section 6.2, </w:t>
      </w:r>
      <w:r>
        <w:rPr>
          <w:sz w:val="24"/>
          <w:szCs w:val="24"/>
        </w:rPr>
        <w:t xml:space="preserve">we present empirical results on the change in behavior from players. </w:t>
      </w:r>
      <w:r>
        <w:rPr>
          <w:b/>
          <w:sz w:val="24"/>
          <w:szCs w:val="24"/>
        </w:rPr>
        <w:t xml:space="preserve">Section 7 </w:t>
      </w:r>
      <w:r>
        <w:rPr>
          <w:sz w:val="24"/>
          <w:szCs w:val="24"/>
        </w:rPr>
        <w:t xml:space="preserve">estimates how large the strategy change should have been given empirically observed values. </w:t>
      </w:r>
      <w:r>
        <w:rPr>
          <w:b/>
          <w:sz w:val="24"/>
          <w:szCs w:val="24"/>
        </w:rPr>
        <w:t xml:space="preserve">Section 8 </w:t>
      </w:r>
      <w:r>
        <w:rPr>
          <w:sz w:val="24"/>
          <w:szCs w:val="24"/>
        </w:rPr>
        <w:t>concludes.</w:t>
      </w:r>
    </w:p>
    <w:p>
      <w:pPr>
        <w:pStyle w:val="ListParagraph"/>
        <w:ind w:left="0" w:hanging="0"/>
        <w:rPr>
          <w:sz w:val="24"/>
          <w:szCs w:val="24"/>
        </w:rPr>
      </w:pPr>
      <w:r>
        <w:rPr>
          <w:sz w:val="24"/>
          <w:szCs w:val="24"/>
        </w:rPr>
      </w:r>
    </w:p>
    <w:p>
      <w:pPr>
        <w:pStyle w:val="ListParagraph"/>
        <w:numPr>
          <w:ilvl w:val="0"/>
          <w:numId w:val="1"/>
        </w:numPr>
        <w:rPr/>
      </w:pPr>
      <w:r>
        <w:rPr>
          <w:b/>
          <w:sz w:val="32"/>
          <w:szCs w:val="32"/>
        </w:rPr>
        <w:t>Learning in games</w:t>
      </w:r>
    </w:p>
    <w:p>
      <w:pPr>
        <w:pStyle w:val="ListParagraph"/>
        <w:ind w:left="0" w:hanging="0"/>
        <w:rPr>
          <w:b/>
          <w:b/>
          <w:sz w:val="24"/>
          <w:szCs w:val="24"/>
        </w:rPr>
      </w:pPr>
      <w:r>
        <w:rPr>
          <w:b/>
          <w:sz w:val="24"/>
          <w:szCs w:val="24"/>
        </w:rPr>
      </w:r>
    </w:p>
    <w:p>
      <w:pPr>
        <w:pStyle w:val="ListParagraph"/>
        <w:ind w:left="0" w:hanging="0"/>
        <w:rPr>
          <w:b/>
          <w:b/>
          <w:i/>
          <w:i/>
          <w:sz w:val="24"/>
          <w:szCs w:val="24"/>
        </w:rPr>
      </w:pPr>
      <w:r>
        <w:rPr>
          <w:sz w:val="24"/>
          <w:szCs w:val="24"/>
        </w:rPr>
        <w:t>Assuming players are at equilibrium in a game (Nash or otherwise) is normally a very strong assumption. This assumption is instead a completely unreasonable one in our case, as the equilibrium is cannot be computed by the best current supercomputers, let alone human players.</w:t>
      </w:r>
    </w:p>
    <w:p>
      <w:pPr>
        <w:pStyle w:val="ListParagraph"/>
        <w:ind w:left="0" w:hanging="0"/>
        <w:rPr>
          <w:rFonts w:cs="Calibri"/>
          <w:sz w:val="24"/>
          <w:szCs w:val="24"/>
        </w:rPr>
      </w:pPr>
      <w:r>
        <w:rPr>
          <w:rFonts w:cs="Calibri"/>
          <w:sz w:val="24"/>
          <w:szCs w:val="24"/>
        </w:rPr>
      </w:r>
    </w:p>
    <w:p>
      <w:pPr>
        <w:pStyle w:val="ListParagraph"/>
        <w:ind w:left="0" w:hanging="0"/>
        <w:rPr>
          <w:rStyle w:val="Fontstyle01"/>
          <w:rFonts w:ascii="Calibri" w:hAnsi="Calibri" w:cs="Calibri"/>
          <w:color w:val="00000A"/>
          <w:sz w:val="24"/>
          <w:szCs w:val="24"/>
        </w:rPr>
      </w:pPr>
      <w:r>
        <w:rPr>
          <w:rFonts w:cs="Calibri"/>
          <w:sz w:val="24"/>
          <w:szCs w:val="24"/>
        </w:rPr>
        <w:t>Instead, assuming players are playing in the process of learning their strategies is a more reasonable approach. However, Fudenberg &amp; Levine (2016) note that</w:t>
      </w:r>
      <w:r>
        <w:rPr>
          <w:rStyle w:val="Fontstyle01"/>
          <w:rFonts w:cs="Calibri"/>
          <w:color w:val="00000A"/>
          <w:sz w:val="24"/>
          <w:szCs w:val="24"/>
        </w:rPr>
        <w:t xml:space="preserve"> </w:t>
      </w:r>
      <w:r>
        <w:rPr>
          <w:rStyle w:val="Fontstyle01"/>
          <w:rFonts w:cs="Calibri"/>
          <w:sz w:val="24"/>
          <w:szCs w:val="24"/>
        </w:rPr>
        <w:t>the predictive power of learning models depends on circumstances</w:t>
      </w:r>
      <w:r>
        <w:rPr>
          <w:rFonts w:cs="Calibri"/>
          <w:color w:val="000000"/>
          <w:sz w:val="24"/>
          <w:szCs w:val="24"/>
        </w:rPr>
        <w:t xml:space="preserve">, and that </w:t>
      </w:r>
      <w:r>
        <w:rPr>
          <w:rStyle w:val="Fontstyle01"/>
          <w:rFonts w:cs="Calibri"/>
          <w:sz w:val="24"/>
          <w:szCs w:val="24"/>
        </w:rPr>
        <w:t>we do not yet have a good understanding of which performs well when.</w:t>
      </w:r>
    </w:p>
    <w:p>
      <w:pPr>
        <w:pStyle w:val="ListParagraph"/>
        <w:ind w:left="0" w:hanging="0"/>
        <w:rPr>
          <w:rStyle w:val="Fontstyle01"/>
          <w:rFonts w:ascii="Calibri" w:hAnsi="Calibri" w:cs="Calibri"/>
          <w:sz w:val="24"/>
          <w:szCs w:val="24"/>
        </w:rPr>
      </w:pPr>
      <w:r>
        <w:rPr>
          <w:rFonts w:cs="Calibri"/>
          <w:sz w:val="24"/>
          <w:szCs w:val="24"/>
        </w:rPr>
      </w:r>
    </w:p>
    <w:p>
      <w:pPr>
        <w:pStyle w:val="ListParagraph"/>
        <w:ind w:left="0" w:hanging="0"/>
        <w:rPr>
          <w:rStyle w:val="Fontstyle01"/>
          <w:rFonts w:ascii="Calibri" w:hAnsi="Calibri" w:cs="Calibri"/>
          <w:sz w:val="24"/>
          <w:szCs w:val="24"/>
        </w:rPr>
      </w:pPr>
      <w:r>
        <w:rPr>
          <w:rStyle w:val="Fontstyle01"/>
          <w:rFonts w:cs="Calibri"/>
          <w:sz w:val="24"/>
          <w:szCs w:val="24"/>
        </w:rPr>
        <w:t xml:space="preserve">The problem of circumstantial performance of learning models is formalized by strong negative theoretical results. Hart &amp; Mas-Collel (2003) show that no strategy adjustment rules that consider only one’s own payoff function can lead to Nash equilibrium in all games. Furthermore, Babichenko &amp; Rubinstein (2016) prove that no learning rule using information from previous games will converge to an </w:t>
      </w:r>
      <w:r>
        <w:rPr>
          <w:rStyle w:val="Fontstyle01"/>
          <w:rFonts w:cs="Calibri"/>
          <w:sz w:val="24"/>
          <w:szCs w:val="24"/>
        </w:rPr>
      </w:r>
      <m:oMath xmlns:m="http://schemas.openxmlformats.org/officeDocument/2006/math">
        <m:r>
          <w:rPr>
            <w:rFonts w:ascii="Cambria Math" w:hAnsi="Cambria Math"/>
          </w:rPr>
          <m:t xml:space="preserve">ε</m:t>
        </m:r>
      </m:oMath>
      <w:r>
        <w:rPr>
          <w:rStyle w:val="Fontstyle01"/>
          <w:rFonts w:cs="Calibri"/>
          <w:sz w:val="24"/>
          <w:szCs w:val="24"/>
        </w:rPr>
        <w:t>-Nash equilibrium in reasonable timeframes for every possible game.</w:t>
      </w:r>
    </w:p>
    <w:p>
      <w:pPr>
        <w:pStyle w:val="ListParagraph"/>
        <w:ind w:left="0" w:hanging="0"/>
        <w:rPr>
          <w:sz w:val="24"/>
          <w:szCs w:val="24"/>
        </w:rPr>
      </w:pPr>
      <w:r>
        <w:rPr>
          <w:sz w:val="24"/>
          <w:szCs w:val="24"/>
        </w:rPr>
        <w:t>There are two classes of learning models in economics. The first is experience based learning, where a player learns based on his experience playing the game. The second is observation based learning, where a player learns the game by observing the behavior of other players.</w:t>
      </w:r>
    </w:p>
    <w:p>
      <w:pPr>
        <w:pStyle w:val="ListParagraph"/>
        <w:ind w:left="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0" w:hanging="0"/>
        <w:rPr>
          <w:sz w:val="24"/>
          <w:szCs w:val="24"/>
        </w:rPr>
      </w:pPr>
      <w:r>
        <w:rPr>
          <w:sz w:val="24"/>
          <w:szCs w:val="24"/>
        </w:rPr>
        <w:t>The two most popular models of learning use to predict player behavior in repeated games are belief learning and reinforcement learning. These represent observation and experience based learning respectively. In belief learning</w:t>
      </w:r>
      <w:r>
        <w:rPr>
          <w:b/>
          <w:sz w:val="24"/>
          <w:szCs w:val="24"/>
        </w:rPr>
        <w:t xml:space="preserve">, </w:t>
      </w:r>
      <w:r>
        <w:rPr>
          <w:sz w:val="24"/>
          <w:szCs w:val="24"/>
        </w:rPr>
        <w:t xml:space="preserve">a player learns about what his opponent is likely to do and uses this belief to decide on his strategy. The most popular belief learning model is Fictitious Play (Shapley, 1964), where players best respond to the empirical mixed strategy observed by the opponent in previous play. </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t>Reinforcement learning (Roth &amp; Erev 1995) is inspired by the psychology literature and has a player update his strategy based on the empirical utility the strategy provided. In the simple reinforcement learning model, the only action whose mixed strategy probably is updated in a round of a repeated game is the one for the action taken in that round.</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t>Belief learning and reinforcement learning are combined by Camerer &amp; al. (1999) in a model called “Experience Weighed Attraction” (EWA) which can act as either model or a combination of both based on a free parameter. EWA models transcend “observation vs experience” classification and have had success in predicting players behavior in simple games (SOURCE). However, fitting a EWA model to full scale poker in our dataset is computationally intractable. Moreover, EWA’s reinforcement learning side relies on the simple reinforcement learning model (SOURCE), which is unreasonable in large games.</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t>The critical problem with simple reinforcement learning in games with a large action space is that actions unexplored will never be reinforced. For example, Mohlin, Ostling and Wang (2015) use this argument to demonstrate that simple reinforcement learning cannot explain empirical behavior in field data in a comparatively small game. In the game studied here, where it’s impossible to explore the action space in a human lifespan, the model is clearly inadequate</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t>Another popular learning rule is called</w:t>
      </w:r>
      <w:r>
        <w:rPr>
          <w:i/>
          <w:sz w:val="24"/>
          <w:szCs w:val="24"/>
        </w:rPr>
        <w:t xml:space="preserve"> regret matching</w:t>
      </w:r>
      <w:r>
        <w:rPr>
          <w:sz w:val="24"/>
          <w:szCs w:val="24"/>
        </w:rPr>
        <w:t>, introduced by Hart &amp; Mas-Collel (2000), has been outstandingly effective to create computer poker agents. In regret matching, a player plays a strategy proportional to the counterfactual accumulated payoff had he played his other possible strategies in past rounds. Intuitively, instead of myopically considering the action taken, the regret matching player can reflect ex-post of the counterfactual performance of his other options. The regret matching algorithm has been used to solve the Nash equilibrium Limit-Hold’em (UALBERTA 2014), one of the largest games ever solved. It is also used in artificial game playing intelligence to beat the top human experts in 1 vs 1 No-Limit Texas Hold’em (Brown and Sandholm, 2017).</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t xml:space="preserve">Minimizing regret has many desirable properties for a learning rule. First, strategies that minimize regret have proven performance guarantees:  those strategies’ value exceeds the minimax value of the game in all zero-sum games (Blum &amp; Mansour, 2007). Moreover, regret matching, like fictitious play, are part of the general class of </w:t>
      </w:r>
      <w:r>
        <w:rPr>
          <w:i/>
          <w:sz w:val="24"/>
          <w:szCs w:val="24"/>
        </w:rPr>
        <w:t xml:space="preserve">multiplicative weights update </w:t>
      </w:r>
      <w:r>
        <w:rPr>
          <w:sz w:val="24"/>
          <w:szCs w:val="24"/>
        </w:rPr>
        <w:t>(MWU) algorithms (SOURCE) which have proven performance guarantees even against adversaries who know the player’s strategy and update method. MWU algorithms are also proven to converge to Nash equilibria in all zero sum games. For these reasons, regret is considered a basic notion in the literature in prediction and learning in games (Cesa-Bianchi &amp; Lugosi, 2006) and is used to model off equilibrium behavior in various games, for example in online auctions (Caragiannis et al., 2015). However, regret matching has not been as popular as EWA in empirically predicting the behavior of players. This is likely because it makes very sharp predictions of future play which turn out to poorly forecast human player behavior.</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t>While we will not test specific models of learning, we can use our data to coarsely test the empirical performance of experience-based learning rules against observation-based rules by exploiting the exogenous change in payoffs.</w:t>
      </w:r>
    </w:p>
    <w:p>
      <w:pPr>
        <w:pStyle w:val="ListParagraph"/>
        <w:ind w:left="0" w:hanging="0"/>
        <w:rPr>
          <w:sz w:val="24"/>
          <w:szCs w:val="24"/>
        </w:rPr>
      </w:pPr>
      <w:r>
        <w:rPr>
          <w:sz w:val="24"/>
          <w:szCs w:val="24"/>
        </w:rPr>
      </w:r>
    </w:p>
    <w:p>
      <w:pPr>
        <w:pStyle w:val="ListParagraph"/>
        <w:numPr>
          <w:ilvl w:val="0"/>
          <w:numId w:val="1"/>
        </w:numPr>
        <w:rPr/>
      </w:pPr>
      <w:r>
        <w:rPr>
          <w:b/>
          <w:sz w:val="32"/>
          <w:szCs w:val="32"/>
        </w:rPr>
        <w:t>Data and the 2014 Pokerstars price change</w:t>
      </w:r>
    </w:p>
    <w:p>
      <w:pPr>
        <w:pStyle w:val="Normal"/>
        <w:spacing w:before="6556" w:after="160"/>
        <w:rPr/>
      </w:pPr>
      <w:r>
        <w:drawing>
          <wp:anchor behindDoc="0" distT="0" distB="7620" distL="114300" distR="114300" simplePos="0" locked="0" layoutInCell="1" allowOverlap="1" relativeHeight="5">
            <wp:simplePos x="0" y="0"/>
            <wp:positionH relativeFrom="page">
              <wp:posOffset>317500</wp:posOffset>
            </wp:positionH>
            <wp:positionV relativeFrom="paragraph">
              <wp:posOffset>695960</wp:posOffset>
            </wp:positionV>
            <wp:extent cx="3569335" cy="2068830"/>
            <wp:effectExtent l="0" t="0" r="0" b="0"/>
            <wp:wrapTopAndBottom/>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3569335" cy="2068830"/>
                    </a:xfrm>
                    <a:prstGeom prst="rect">
                      <a:avLst/>
                    </a:prstGeom>
                  </pic:spPr>
                </pic:pic>
              </a:graphicData>
            </a:graphic>
          </wp:anchor>
        </w:drawing>
        <w:drawing>
          <wp:anchor behindDoc="0" distT="0" distB="1270" distL="114300" distR="114300" simplePos="0" locked="0" layoutInCell="1" allowOverlap="1" relativeHeight="6">
            <wp:simplePos x="0" y="0"/>
            <wp:positionH relativeFrom="column">
              <wp:posOffset>3022600</wp:posOffset>
            </wp:positionH>
            <wp:positionV relativeFrom="paragraph">
              <wp:posOffset>671830</wp:posOffset>
            </wp:positionV>
            <wp:extent cx="3492500" cy="2094230"/>
            <wp:effectExtent l="0" t="0" r="0" b="0"/>
            <wp:wrapTopAndBottom/>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3492500" cy="2094230"/>
                    </a:xfrm>
                    <a:prstGeom prst="rect">
                      <a:avLst/>
                    </a:prstGeom>
                  </pic:spPr>
                </pic:pic>
              </a:graphicData>
            </a:graphic>
          </wp:anchor>
        </w:drawing>
      </w:r>
      <w:r>
        <w:rPr>
          <w:b/>
          <w:sz w:val="24"/>
          <w:szCs w:val="24"/>
        </w:rPr>
        <w:t>F</w:t>
      </w:r>
      <w:r>
        <w:rPr>
          <w:b/>
          <w:sz w:val="24"/>
          <w:szCs w:val="24"/>
        </w:rPr>
        <w:t>igure 1</w:t>
      </w:r>
      <w:r>
        <w:rPr>
          <w:sz w:val="24"/>
          <w:szCs w:val="24"/>
        </w:rPr>
        <w:t xml:space="preserve">. </w:t>
      </w:r>
      <w:r>
        <w:rPr>
          <w:i/>
          <w:sz w:val="23"/>
          <w:szCs w:val="23"/>
        </w:rPr>
        <w:t>Daily money collected from players and daily poker hands played in the data. Increase in price is visible between 11/03/2014 and 01/06/2015.</w:t>
      </w:r>
    </w:p>
    <w:p>
      <w:pPr>
        <w:pStyle w:val="Normal"/>
        <w:spacing w:before="6556" w:after="160"/>
        <w:rPr/>
      </w:pPr>
      <w:r>
        <w:rPr>
          <w:sz w:val="24"/>
          <w:szCs w:val="24"/>
        </w:rPr>
        <w:t xml:space="preserve">The data is collected by the poker data-mining service </w:t>
      </w:r>
      <w:r>
        <w:rPr>
          <w:i/>
          <w:sz w:val="24"/>
          <w:szCs w:val="24"/>
        </w:rPr>
        <w:t>hhdealer.com</w:t>
      </w:r>
      <w:r>
        <w:rPr>
          <w:sz w:val="24"/>
          <w:szCs w:val="24"/>
        </w:rPr>
        <w:t>. The data details 4.9 million hands played by 12,000 players, between 09/01/2014 and 02/28/2015 on Pokerstars in 1 vs. 1 No LimitTexas Hold’em tables at two different stakes ranging in buy-in from $80 to $400.</w:t>
      </w:r>
    </w:p>
    <w:p>
      <w:pPr>
        <w:pStyle w:val="Normal"/>
        <w:rPr>
          <w:sz w:val="24"/>
          <w:szCs w:val="24"/>
        </w:rPr>
      </w:pPr>
      <w:r>
        <w:rPr>
          <w:sz w:val="24"/>
          <w:szCs w:val="24"/>
        </w:rPr>
        <w:t xml:space="preserve">These games were chosen because they are some of the lowest stakes where professionals online poker players are known to play full time. As such, the price change should have the largest relative effect at these tables. 1 vs 1 tables were chosen because strategic differences are more easily identifiable in this format. </w:t>
      </w:r>
    </w:p>
    <w:p>
      <w:pPr>
        <w:pStyle w:val="Normal"/>
        <w:rPr>
          <w:sz w:val="24"/>
          <w:szCs w:val="24"/>
        </w:rPr>
      </w:pPr>
      <w:r>
        <w:rPr>
          <w:sz w:val="24"/>
          <w:szCs w:val="24"/>
        </w:rPr>
        <w:t xml:space="preserve">The data is collected in raw text format, logged by Pokerstars for archival purposes. This raw text is parsed and processed into numerical form by a poker database software called </w:t>
      </w:r>
      <w:r>
        <w:rPr>
          <w:i/>
          <w:sz w:val="24"/>
          <w:szCs w:val="24"/>
        </w:rPr>
        <w:t>PokerTracker</w:t>
      </w:r>
      <w:r>
        <w:rPr>
          <w:sz w:val="24"/>
          <w:szCs w:val="24"/>
        </w:rPr>
        <w:t>. Importantly, the data maintains information on all strategic decisions taken by the players in our population. It observes the frequency at which strategic actions are taken, which represents the mixed strategy of a player against his opponent population.</w:t>
      </w:r>
      <w:r>
        <w:rPr>
          <w:rStyle w:val="FootnoteAnchor"/>
          <w:rStyle w:val="FootnoteAnchor"/>
          <w:sz w:val="24"/>
          <w:szCs w:val="24"/>
        </w:rPr>
        <w:footnoteReference w:id="4"/>
      </w:r>
      <w:r>
        <w:rPr>
          <w:sz w:val="24"/>
          <w:szCs w:val="24"/>
        </w:rPr>
        <w:t xml:space="preserve"> </w:t>
      </w:r>
    </w:p>
    <w:p>
      <w:pPr>
        <w:pStyle w:val="Normal"/>
        <w:rPr/>
      </w:pPr>
      <w:r>
        <w:rPr>
          <w:sz w:val="24"/>
          <w:szCs w:val="24"/>
        </w:rPr>
        <w:t xml:space="preserve">The price increase was introduced by Pokerstars on </w:t>
      </w:r>
      <w:r>
        <w:rPr>
          <w:i/>
          <w:sz w:val="24"/>
          <w:szCs w:val="24"/>
        </w:rPr>
        <w:t>November 3</w:t>
      </w:r>
      <w:r>
        <w:rPr>
          <w:i/>
          <w:sz w:val="24"/>
          <w:szCs w:val="24"/>
          <w:vertAlign w:val="superscript"/>
        </w:rPr>
        <w:t>rd</w:t>
      </w:r>
      <w:r>
        <w:rPr>
          <w:i/>
          <w:sz w:val="24"/>
          <w:szCs w:val="24"/>
        </w:rPr>
        <w:t>, 2014</w:t>
      </w:r>
      <w:r>
        <w:rPr>
          <w:sz w:val="24"/>
          <w:szCs w:val="24"/>
        </w:rPr>
        <w:t xml:space="preserve"> and repealed on </w:t>
      </w:r>
      <w:r>
        <w:rPr>
          <w:i/>
          <w:sz w:val="24"/>
          <w:szCs w:val="24"/>
        </w:rPr>
        <w:t>January 6</w:t>
      </w:r>
      <w:r>
        <w:rPr>
          <w:i/>
          <w:sz w:val="24"/>
          <w:szCs w:val="24"/>
          <w:vertAlign w:val="superscript"/>
        </w:rPr>
        <w:t>th</w:t>
      </w:r>
      <w:r>
        <w:rPr>
          <w:i/>
          <w:sz w:val="24"/>
          <w:szCs w:val="24"/>
        </w:rPr>
        <w:t>, 2015.</w:t>
      </w:r>
      <w:r>
        <w:rPr>
          <w:sz w:val="24"/>
          <w:szCs w:val="24"/>
        </w:rPr>
        <w:t xml:space="preserve"> </w:t>
      </w:r>
      <w:r>
        <w:rPr>
          <w:b/>
          <w:sz w:val="24"/>
          <w:szCs w:val="24"/>
        </w:rPr>
        <w:t>Figure 1</w:t>
      </w:r>
      <w:r>
        <w:rPr>
          <w:sz w:val="24"/>
          <w:szCs w:val="24"/>
        </w:rPr>
        <w:t xml:space="preserve"> shows the aggregate number of hands played each day and the amount collectively lost by players (conversely, the amount made by Pokerstars) in our data’s population, where the price increase is visible. There is no clearly visible change in the amount of hands played in our population.</w:t>
      </w:r>
    </w:p>
    <w:p>
      <w:pPr>
        <w:pStyle w:val="Normal"/>
        <w:rPr>
          <w:sz w:val="24"/>
          <w:szCs w:val="24"/>
        </w:rPr>
      </w:pPr>
      <w:r>
        <w:rPr>
          <w:sz w:val="24"/>
          <w:szCs w:val="24"/>
        </w:rPr>
        <w:t xml:space="preserve">The initial price increase should be considered exogenous from the players point of view. However, the repeal of the price increase was only explained by Pokerstars as being based on </w:t>
      </w:r>
      <w:r>
        <w:rPr>
          <w:i/>
          <w:sz w:val="24"/>
          <w:szCs w:val="24"/>
        </w:rPr>
        <w:t>“</w:t>
      </w:r>
      <w:r>
        <w:rPr>
          <w:i/>
        </w:rPr>
        <w:t xml:space="preserve">additional analysis and consideration” </w:t>
      </w:r>
      <w:r>
        <w:rPr>
          <w:rStyle w:val="FootnoteAnchor"/>
          <w:rStyle w:val="FootnoteAnchor"/>
          <w:i/>
        </w:rPr>
        <w:footnoteReference w:id="5"/>
      </w:r>
      <w:r>
        <w:rPr>
          <w:i/>
          <w:sz w:val="24"/>
          <w:szCs w:val="24"/>
        </w:rPr>
        <w:t xml:space="preserve"> </w:t>
      </w:r>
      <w:r>
        <w:rPr>
          <w:sz w:val="24"/>
          <w:szCs w:val="24"/>
        </w:rPr>
        <w:t>and should be considered an endogenous response to the effects of the price change. This is initially puzzling, given that the price increase has no measurable impact on the amount of hands of poker played or minutes at the table (see figure 1 for example). This conundrum is resolved with further analysis which shows that lower skill players overwhelmingly shoulder the burden of the price increase (see section 4 and section 6</w:t>
      </w:r>
      <w:bookmarkStart w:id="1" w:name="__DdeLink__973_1478647503"/>
      <w:bookmarkEnd w:id="1"/>
      <w:r>
        <w:rPr>
          <w:sz w:val="24"/>
          <w:szCs w:val="24"/>
        </w:rPr>
        <w:t>.1)</w:t>
      </w:r>
    </w:p>
    <w:p>
      <w:pPr>
        <w:pStyle w:val="ListParagraph"/>
        <w:numPr>
          <w:ilvl w:val="0"/>
          <w:numId w:val="1"/>
        </w:numPr>
        <w:rPr>
          <w:b/>
          <w:b/>
          <w:sz w:val="32"/>
          <w:szCs w:val="32"/>
        </w:rPr>
      </w:pPr>
      <w:r>
        <w:rPr>
          <w:b/>
          <w:sz w:val="32"/>
          <w:szCs w:val="32"/>
        </w:rPr>
        <w:t>Heterogeneity in poker players</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t>Like other popular table games, poker has a population of highly skilled professional players. Professional poker players are also reputed for having desirable behavioral traits. For instance, Levitt, List &amp; Reiley (2010) use professional players as a test group with “unrivaled experience applying analytical thought to card games.” Linnet et al. (2010) find experienced poker players have lower cognitive bias in probability estimation and choice making than unexperienced players.</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t>In game playing artificial intelligence, Moravcik et al. (2017) as well as Brown and Sandholm (2017) use professional human players as the ultimate benchmark against which to test their computer poker agents.</w:t>
      </w:r>
    </w:p>
    <w:p>
      <w:pPr>
        <w:pStyle w:val="ListParagraph"/>
        <w:ind w:left="0" w:hanging="0"/>
        <w:rPr>
          <w:sz w:val="24"/>
          <w:szCs w:val="24"/>
        </w:rPr>
      </w:pPr>
      <w:r>
        <w:rPr>
          <w:sz w:val="24"/>
          <w:szCs w:val="24"/>
        </w:rPr>
      </w:r>
    </w:p>
    <w:p>
      <w:pPr>
        <w:pStyle w:val="ListParagraph"/>
        <w:ind w:left="0" w:hanging="0"/>
        <w:rPr/>
      </w:pPr>
      <w:r>
        <w:rPr>
          <w:sz w:val="24"/>
          <w:szCs w:val="24"/>
        </w:rPr>
        <w:t xml:space="preserve">Because professional players present in our dataset are qualitatively different and their status is </w:t>
      </w:r>
      <w:r>
        <w:rPr>
          <w:i/>
          <w:sz w:val="24"/>
          <w:szCs w:val="24"/>
        </w:rPr>
        <w:t>a priori</w:t>
      </w:r>
      <w:r>
        <w:rPr>
          <w:sz w:val="24"/>
          <w:szCs w:val="24"/>
        </w:rPr>
        <w:t xml:space="preserve"> unobservable, the heterogeneity of players is dealt with in the following ways:</w:t>
      </w:r>
    </w:p>
    <w:p>
      <w:pPr>
        <w:pStyle w:val="ListParagraph"/>
        <w:ind w:left="0" w:hanging="0"/>
        <w:rPr>
          <w:sz w:val="24"/>
          <w:szCs w:val="24"/>
        </w:rPr>
      </w:pPr>
      <w:r>
        <w:rPr>
          <w:sz w:val="24"/>
          <w:szCs w:val="24"/>
        </w:rPr>
      </w:r>
    </w:p>
    <w:p>
      <w:pPr>
        <w:pStyle w:val="ListParagraph"/>
        <w:ind w:left="0" w:hanging="0"/>
        <w:rPr/>
      </w:pPr>
      <w:r>
        <w:rPr>
          <w:sz w:val="24"/>
          <w:szCs w:val="24"/>
        </w:rPr>
        <w:t xml:space="preserve">First, of the 12,000 players in our population, approximately 2500 player played both during the price increase and either before or after. These 2500 players are labeled our </w:t>
      </w:r>
      <w:r>
        <w:rPr>
          <w:b/>
          <w:sz w:val="24"/>
          <w:szCs w:val="24"/>
        </w:rPr>
        <w:t>treatment group</w:t>
      </w:r>
      <w:r>
        <w:rPr>
          <w:sz w:val="24"/>
          <w:szCs w:val="24"/>
        </w:rPr>
        <w:t xml:space="preserve">. The 9,500 remaining players only played in one of the three treatment periods and are labeled as the non-treatment group, or </w:t>
      </w:r>
      <w:r>
        <w:rPr>
          <w:b/>
          <w:sz w:val="24"/>
          <w:szCs w:val="24"/>
        </w:rPr>
        <w:t>ephemeral players</w:t>
      </w:r>
      <w:r>
        <w:rPr>
          <w:sz w:val="24"/>
          <w:szCs w:val="24"/>
        </w:rPr>
        <w:t>.</w:t>
      </w:r>
    </w:p>
    <w:p>
      <w:pPr>
        <w:pStyle w:val="ListParagraph"/>
        <w:ind w:left="0" w:hanging="0"/>
        <w:rPr>
          <w:sz w:val="24"/>
          <w:szCs w:val="24"/>
        </w:rPr>
      </w:pPr>
      <w:r>
        <w:rPr>
          <w:sz w:val="24"/>
          <w:szCs w:val="24"/>
        </w:rPr>
      </w:r>
    </w:p>
    <w:p>
      <w:pPr>
        <w:pStyle w:val="ListParagraph"/>
        <w:ind w:left="0" w:hanging="0"/>
        <w:rPr>
          <w:sz w:val="24"/>
          <w:szCs w:val="24"/>
        </w:rPr>
      </w:pPr>
      <w:bookmarkStart w:id="2" w:name="__DdeLink__1026_398404155"/>
      <w:r>
        <w:rPr>
          <w:sz w:val="24"/>
          <w:szCs w:val="24"/>
        </w:rPr>
        <w:t>Three alternative methods are used to control for the unobserved heterogeneity in the treatment group:</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t xml:space="preserve">The first method is to </w:t>
      </w:r>
      <w:r>
        <w:rPr>
          <w:i/>
          <w:sz w:val="24"/>
          <w:szCs w:val="24"/>
        </w:rPr>
        <w:t xml:space="preserve">cluster </w:t>
      </w:r>
      <w:r>
        <w:rPr>
          <w:sz w:val="24"/>
          <w:szCs w:val="24"/>
        </w:rPr>
        <w:t xml:space="preserve">the dataset into </w:t>
      </w:r>
      <w:r>
        <w:rPr>
          <w:b/>
          <w:sz w:val="24"/>
          <w:szCs w:val="24"/>
        </w:rPr>
        <w:t>K</w:t>
      </w:r>
      <w:r>
        <w:rPr>
          <w:sz w:val="24"/>
          <w:szCs w:val="24"/>
        </w:rPr>
        <w:t xml:space="preserve"> groups, by using a clustering algorithm. Variants of this method have recently gained popularity in econometrics to control for unobserved heterogeneity, for example in Lin &amp; Ng (2012), Bonhomme &amp; Manresa (2015) and Bonhomme, Lamandon &amp; Marsenna (2017). Econometricians generally favor the K-means algorithm (Steinley, 2006) to achieve the clustering. We also use the K-Hierarchical agglomerative clustering algorithm (Hastie &amp; Tishranie, 2009) as an alternative cluster specification.</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t xml:space="preserve">The clusters presented for the rest of the paper use 15 variables of interest to cluster individuals: The total number of hands played, minutes played, and total winnings, the average of the previous three variables per session played, as well as 9 statistics of strategic behavior at the table pulled from </w:t>
      </w:r>
      <w:r>
        <w:rPr>
          <w:i/>
          <w:sz w:val="24"/>
          <w:szCs w:val="24"/>
        </w:rPr>
        <w:t>PokerTracker</w:t>
      </w:r>
      <w:r>
        <w:rPr>
          <w:rStyle w:val="FootnoteAnchor"/>
          <w:rStyle w:val="FootnoteAnchor"/>
          <w:i/>
          <w:sz w:val="24"/>
          <w:szCs w:val="24"/>
        </w:rPr>
        <w:footnoteReference w:id="6"/>
      </w:r>
      <w:r>
        <w:rPr>
          <w:sz w:val="24"/>
          <w:szCs w:val="24"/>
        </w:rPr>
        <w:t>. These are chosen to best represent player behavior. Results using other cluster specifications are shown in the appendix.</w:t>
      </w:r>
      <w:bookmarkEnd w:id="2"/>
    </w:p>
    <w:p>
      <w:pPr>
        <w:pStyle w:val="ListParagraph"/>
        <w:spacing w:before="3543" w:after="160"/>
        <w:ind w:left="0" w:hanging="0"/>
        <w:contextualSpacing/>
        <w:rPr>
          <w:sz w:val="24"/>
          <w:szCs w:val="24"/>
        </w:rPr>
      </w:pPr>
      <w:r>
        <w:rPr>
          <w:sz w:val="24"/>
          <w:szCs w:val="24"/>
        </w:rPr>
        <w:drawing>
          <wp:anchor behindDoc="0" distT="0" distB="0" distL="114300" distR="114300" simplePos="0" locked="0" layoutInCell="1" allowOverlap="1" relativeHeight="4">
            <wp:simplePos x="0" y="0"/>
            <wp:positionH relativeFrom="margin">
              <wp:posOffset>-882650</wp:posOffset>
            </wp:positionH>
            <wp:positionV relativeFrom="paragraph">
              <wp:posOffset>370840</wp:posOffset>
            </wp:positionV>
            <wp:extent cx="7593965" cy="2207260"/>
            <wp:effectExtent l="0" t="0" r="0" b="0"/>
            <wp:wrapSquare wrapText="bothSides"/>
            <wp:docPr id="3" name="Picture 16" descr="C:\Users\Matt\AppData\Local\Microsoft\Windows\INetCache\Content.Word\k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descr="C:\Users\Matt\AppData\Local\Microsoft\Windows\INetCache\Content.Word\kmc.png"/>
                    <pic:cNvPicPr>
                      <a:picLocks noChangeAspect="1" noChangeArrowheads="1"/>
                    </pic:cNvPicPr>
                  </pic:nvPicPr>
                  <pic:blipFill>
                    <a:blip r:embed="rId4"/>
                    <a:stretch>
                      <a:fillRect/>
                    </a:stretch>
                  </pic:blipFill>
                  <pic:spPr bwMode="auto">
                    <a:xfrm>
                      <a:off x="0" y="0"/>
                      <a:ext cx="7593965" cy="2207260"/>
                    </a:xfrm>
                    <a:prstGeom prst="rect">
                      <a:avLst/>
                    </a:prstGeom>
                  </pic:spPr>
                </pic:pic>
              </a:graphicData>
            </a:graphic>
          </wp:anchor>
        </w:drawing>
      </w:r>
    </w:p>
    <w:p>
      <w:pPr>
        <w:pStyle w:val="ListParagraph"/>
        <w:ind w:left="0" w:hanging="0"/>
        <w:jc w:val="center"/>
        <w:rPr>
          <w:b/>
          <w:b/>
          <w:sz w:val="24"/>
          <w:szCs w:val="24"/>
        </w:rPr>
      </w:pPr>
      <w:r>
        <w:rPr>
          <w:b/>
          <w:sz w:val="24"/>
          <w:szCs w:val="24"/>
        </w:rPr>
      </w:r>
    </w:p>
    <w:p>
      <w:pPr>
        <w:pStyle w:val="ListParagraph"/>
        <w:ind w:left="0" w:hanging="0"/>
        <w:jc w:val="center"/>
        <w:rPr>
          <w:i/>
          <w:i/>
          <w:sz w:val="23"/>
          <w:szCs w:val="23"/>
        </w:rPr>
      </w:pPr>
      <w:r>
        <w:rPr>
          <w:b/>
          <w:sz w:val="24"/>
          <w:szCs w:val="24"/>
        </w:rPr>
        <w:t xml:space="preserve">Figure 2. </w:t>
      </w:r>
      <w:r>
        <w:rPr>
          <w:i/>
          <w:sz w:val="23"/>
          <w:szCs w:val="23"/>
        </w:rPr>
        <w:t>Clusters of high skill players (purple) and others (yellow) in the treatment group, as defined by the k-means algorithm and likelihood of being a winning player, respectively</w:t>
      </w:r>
    </w:p>
    <w:p>
      <w:pPr>
        <w:pStyle w:val="ListParagraph"/>
        <w:ind w:left="0" w:hanging="0"/>
        <w:rPr>
          <w:sz w:val="24"/>
          <w:szCs w:val="24"/>
        </w:rPr>
      </w:pPr>
      <w:r>
        <w:rPr>
          <w:sz w:val="24"/>
          <w:szCs w:val="24"/>
        </w:rPr>
        <w:t>The second method is to employ a latent class model by using a finite mixture of Gaussian distributions (SOURCE). This method retrieves the parameters for each group, but leaves it difficult to retrieve group membership for individuals in the dataset. Because the behavior of individuals in the dataset is of interest to us, this method will be used mainly as a robustness check.</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t>The last method is to partition the dataset between players who are likely professional players by a t-statistic on their likelihood of being winning players. Because players who played very few hands may pass this test we impose the additional restriction that the players labeled “professionals” by this method have played more than 60 hours in the 6 months observed in the data (a generous average of 2.5 hours per week). The t-statistic is calculated by:</w:t>
      </w:r>
    </w:p>
    <w:p>
      <w:pPr>
        <w:pStyle w:val="ListParagraph"/>
        <w:ind w:left="0" w:hanging="0"/>
        <w:rPr>
          <w:sz w:val="24"/>
          <w:szCs w:val="24"/>
        </w:rPr>
      </w:pP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wintot</m:t>
        </m:r>
        <m:r>
          <w:rPr>
            <w:rFonts w:ascii="Cambria Math" w:hAnsi="Cambria Math"/>
          </w:rPr>
          <m:t xml:space="preserve">÷</m:t>
        </m:r>
        <m:rad>
          <m:radPr>
            <m:degHide m:val="1"/>
          </m:radPr>
          <m:deg/>
          <m:e>
            <m:r>
              <w:rPr>
                <w:rFonts w:ascii="Cambria Math" w:hAnsi="Cambria Math"/>
              </w:rPr>
              <m:t xml:space="preserve">handstot</m:t>
            </m:r>
            <m:r>
              <w:rPr>
                <w:rFonts w:ascii="Cambria Math" w:hAnsi="Cambria Math"/>
              </w:rPr>
              <m:t xml:space="preserve">∗</m:t>
            </m:r>
            <m:d>
              <m:dPr>
                <m:begChr m:val="("/>
                <m:endChr m:val=")"/>
              </m:dPr>
              <m:e>
                <m:sSup>
                  <m:e>
                    <m:r>
                      <w:rPr>
                        <w:rFonts w:ascii="Cambria Math" w:hAnsi="Cambria Math"/>
                      </w:rPr>
                      <m:t xml:space="preserve">SE</m:t>
                    </m:r>
                  </m:e>
                  <m:sup>
                    <m:r>
                      <w:rPr>
                        <w:rFonts w:ascii="Cambria Math" w:hAnsi="Cambria Math"/>
                      </w:rPr>
                      <m:t xml:space="preserve">2</m:t>
                    </m:r>
                  </m:sup>
                </m:sSup>
              </m:e>
            </m:d>
          </m:e>
        </m:rad>
      </m:oMath>
    </w:p>
    <w:p>
      <w:pPr>
        <w:pStyle w:val="ListParagraph"/>
        <w:spacing w:before="6844" w:after="160"/>
        <w:ind w:left="0" w:hanging="0"/>
        <w:contextualSpacing/>
        <w:rPr>
          <w:sz w:val="24"/>
          <w:szCs w:val="24"/>
        </w:rPr>
      </w:pPr>
      <w:r>
        <w:drawing>
          <wp:anchor behindDoc="0" distT="0" distB="0" distL="114300" distR="114300" simplePos="0" locked="0" layoutInCell="1" allowOverlap="1" relativeHeight="3">
            <wp:simplePos x="0" y="0"/>
            <wp:positionH relativeFrom="rightMargin">
              <wp:posOffset>0</wp:posOffset>
            </wp:positionH>
            <wp:positionV relativeFrom="paragraph">
              <wp:posOffset>923925</wp:posOffset>
            </wp:positionV>
            <wp:extent cx="7734300" cy="4345940"/>
            <wp:effectExtent l="0" t="0" r="0" b="0"/>
            <wp:wrapSquare wrapText="bothSides"/>
            <wp:docPr id="4" name="Picture 9" descr="C:\Users\Matt\AppData\Local\Microsoft\Windows\INetCache\Content.Word\hour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C:\Users\Matt\AppData\Local\Microsoft\Windows\INetCache\Content.Word\hourly.png"/>
                    <pic:cNvPicPr>
                      <a:picLocks noChangeAspect="1" noChangeArrowheads="1"/>
                    </pic:cNvPicPr>
                  </pic:nvPicPr>
                  <pic:blipFill>
                    <a:blip r:embed="rId5"/>
                    <a:stretch>
                      <a:fillRect/>
                    </a:stretch>
                  </pic:blipFill>
                  <pic:spPr bwMode="auto">
                    <a:xfrm>
                      <a:off x="0" y="0"/>
                      <a:ext cx="7734300" cy="4345940"/>
                    </a:xfrm>
                    <a:prstGeom prst="rect">
                      <a:avLst/>
                    </a:prstGeom>
                  </pic:spPr>
                </pic:pic>
              </a:graphicData>
            </a:graphic>
          </wp:anchor>
        </w:drawing>
      </w:r>
      <w:r>
        <w:rPr>
          <w:sz w:val="24"/>
          <w:szCs w:val="24"/>
        </w:rPr>
        <w:t>W</w:t>
      </w:r>
      <w:r>
        <w:rPr>
          <w:sz w:val="24"/>
          <w:szCs w:val="24"/>
        </w:rPr>
        <w:t xml:space="preserve">here </w:t>
      </w:r>
      <w:r>
        <w:rPr>
          <w:i/>
          <w:sz w:val="24"/>
          <w:szCs w:val="24"/>
        </w:rPr>
        <w:t>wintot</w:t>
      </w:r>
      <w:r>
        <w:rPr>
          <w:sz w:val="24"/>
          <w:szCs w:val="24"/>
        </w:rPr>
        <w:t xml:space="preserve"> is the total poker winnings (positive or negative) of the player in the dataset in US dollars, </w:t>
      </w:r>
      <w:r>
        <w:rPr>
          <w:i/>
          <w:sz w:val="24"/>
          <w:szCs w:val="24"/>
        </w:rPr>
        <w:t>handstot</w:t>
      </w:r>
      <w:r>
        <w:rPr>
          <w:sz w:val="24"/>
          <w:szCs w:val="24"/>
        </w:rPr>
        <w:t xml:space="preserve"> is the total number of hands played and </w:t>
      </w:r>
      <w:r>
        <w:rPr>
          <w:i/>
          <w:sz w:val="24"/>
          <w:szCs w:val="24"/>
        </w:rPr>
        <w:t>SE</w:t>
      </w:r>
      <w:r>
        <w:rPr>
          <w:sz w:val="24"/>
          <w:szCs w:val="24"/>
        </w:rPr>
        <w:t xml:space="preserve"> is the standard deviation in US dollars of winnings per hand. A player is considered a professional by this method if he has played enough hours and has </w:t>
      </w:r>
      <w:r>
        <w:rPr>
          <w:i/>
          <w:sz w:val="24"/>
          <w:szCs w:val="24"/>
        </w:rPr>
        <w:t>t &gt; 1.645</w:t>
      </w:r>
      <w:r>
        <w:rPr>
          <w:sz w:val="24"/>
          <w:szCs w:val="24"/>
        </w:rPr>
        <w:t xml:space="preserve">.  </w:t>
      </w:r>
    </w:p>
    <w:p>
      <w:pPr>
        <w:pStyle w:val="ListParagraph"/>
        <w:ind w:left="0" w:hanging="0"/>
        <w:rPr>
          <w:sz w:val="24"/>
          <w:szCs w:val="24"/>
        </w:rPr>
      </w:pPr>
      <w:r>
        <w:rPr>
          <w:b/>
          <w:sz w:val="24"/>
          <w:szCs w:val="24"/>
        </w:rPr>
        <w:t xml:space="preserve">Figure 3. </w:t>
      </w:r>
      <w:r>
        <w:rPr>
          <w:sz w:val="24"/>
          <w:szCs w:val="24"/>
        </w:rPr>
        <w:t>Average $ earned per hour playing poker per group during regular and increased price periods. High skill players seem unaffected, unlike low skill players.</w:t>
      </w:r>
    </w:p>
    <w:p>
      <w:pPr>
        <w:pStyle w:val="ListParagraph"/>
        <w:ind w:left="0" w:hanging="0"/>
        <w:rPr>
          <w:sz w:val="24"/>
          <w:szCs w:val="24"/>
        </w:rPr>
      </w:pPr>
      <w:r>
        <w:rPr>
          <w:b/>
          <w:sz w:val="24"/>
          <w:szCs w:val="24"/>
        </w:rPr>
        <w:t>Figure 2</w:t>
      </w:r>
      <w:r>
        <w:rPr>
          <w:sz w:val="24"/>
          <w:szCs w:val="24"/>
        </w:rPr>
        <w:t xml:space="preserve"> plots the hands played and winnings in US dollars for the treatment group in our dataset. On the left,</w:t>
      </w:r>
      <w:r>
        <w:rPr>
          <w:b/>
          <w:sz w:val="24"/>
          <w:szCs w:val="24"/>
        </w:rPr>
        <w:t xml:space="preserve"> </w:t>
      </w:r>
      <w:r>
        <w:rPr>
          <w:sz w:val="24"/>
          <w:szCs w:val="24"/>
        </w:rPr>
        <w:t>purple dots are individuals classed in the high skill cluster by the K-means algorithm used in the 15 dimensions described above projected into two dimensions. On the right, purple players are professional as defined by the statistical test above.</w:t>
        <w:tab/>
        <w:tab/>
        <w:tab/>
      </w:r>
    </w:p>
    <w:p>
      <w:pPr>
        <w:pStyle w:val="ListParagraph"/>
        <w:ind w:left="0" w:hanging="0"/>
        <w:rPr>
          <w:sz w:val="24"/>
          <w:szCs w:val="24"/>
        </w:rPr>
      </w:pPr>
      <w:r>
        <w:rPr>
          <w:sz w:val="24"/>
          <w:szCs w:val="24"/>
        </w:rPr>
      </w:r>
    </w:p>
    <w:p>
      <w:pPr>
        <w:pStyle w:val="ListParagraph"/>
        <w:ind w:left="0" w:hanging="0"/>
        <w:rPr>
          <w:sz w:val="24"/>
          <w:szCs w:val="24"/>
        </w:rPr>
      </w:pPr>
      <w:r>
        <w:rPr>
          <w:sz w:val="24"/>
          <w:szCs w:val="24"/>
        </w:rPr>
        <w:t xml:space="preserve">Next, </w:t>
      </w:r>
      <w:r>
        <w:rPr>
          <w:b/>
          <w:sz w:val="24"/>
          <w:szCs w:val="24"/>
        </w:rPr>
        <w:t xml:space="preserve">figure 3 </w:t>
      </w:r>
      <w:r>
        <w:rPr>
          <w:sz w:val="24"/>
          <w:szCs w:val="24"/>
        </w:rPr>
        <w:t>demonstrates the change in players’ hourly wage by group. High skill players are unaffected by the change in price, while low skill players in the treatment group and ephemeral players are heavily affected. These stylized facts are robust to specifications of the clustering method and restrictions on the number hours played for statistical partitioning.</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t>Low skill players in the treatment group are especially affected by the change, going from marginal winners as a group to clear losers, losing upwards of $50 per hour at the table under the increased price. Ephemeral players as a group are clear losers both before and after the change, losing hundreds of dollars per hour at the table.</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t xml:space="preserve">These results explain the decision by Pokerstars to reverse the price change despite its profitability. The net depositors on the site (low skill and ephemeral players) are shouldering the entire burden of the price change, while net creditors (professional players) are unaffected. </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t>The reason why high skill players’ bottom line is unaffected by the price change is discussed in section 6.2.</w:t>
      </w:r>
    </w:p>
    <w:p>
      <w:pPr>
        <w:pStyle w:val="ListParagraph"/>
        <w:ind w:left="0" w:hanging="0"/>
        <w:rPr>
          <w:sz w:val="24"/>
          <w:szCs w:val="24"/>
        </w:rPr>
      </w:pPr>
      <w:r>
        <w:rPr>
          <w:sz w:val="24"/>
          <w:szCs w:val="24"/>
        </w:rPr>
      </w:r>
    </w:p>
    <w:p>
      <w:pPr>
        <w:pStyle w:val="ListParagraph"/>
        <w:numPr>
          <w:ilvl w:val="0"/>
          <w:numId w:val="1"/>
        </w:numPr>
        <w:rPr/>
      </w:pPr>
      <w:r>
        <w:rPr>
          <w:b/>
          <w:sz w:val="32"/>
          <w:szCs w:val="32"/>
        </w:rPr>
        <w:t>The effect of the price change on poker’s game structure</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t>Most online poker rooms, including Pokerstars, charge poker players using a system called “the rake”, where small amount of money removed from the contested pot of money at each hand and appropriated as revenue for the host of the game. The rake is collected at a rate of 5% of the size of the pot up to a maximum of $0.5 per hand in our sampled games. This maximum is increased to $1 during the period of increased pricing.</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t>Pokerstars employs a policy called “</w:t>
      </w:r>
      <w:r>
        <w:rPr>
          <w:i/>
          <w:sz w:val="24"/>
          <w:szCs w:val="24"/>
        </w:rPr>
        <w:t>No Flop, No Drop”</w:t>
      </w:r>
      <w:r>
        <w:rPr>
          <w:sz w:val="24"/>
          <w:szCs w:val="24"/>
        </w:rPr>
        <w:t>, which states that hands that conclude before a flop is dealt are not charged. A flop is dealt when the first round of betting concludes without a player forfeiting by electing to fold his private cards.</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t>For a constant sum game, any subtree of the game will have the same strategies be optimal regardless of the constant, if the relative size of payoffs is respected. This is the case for the change in price after the flop in our data: if two players reach a post-flop situation with the same information and possible cards held before or after the price change, their strategies should not change.</w:t>
      </w:r>
    </w:p>
    <w:p>
      <w:pPr>
        <w:pStyle w:val="ListParagraph"/>
        <w:ind w:left="0" w:hanging="0"/>
        <w:rPr>
          <w:sz w:val="24"/>
          <w:szCs w:val="24"/>
        </w:rPr>
      </w:pPr>
      <w:r>
        <w:rPr>
          <w:sz w:val="24"/>
          <w:szCs w:val="24"/>
        </w:rPr>
      </w:r>
    </w:p>
    <w:p>
      <w:pPr>
        <w:pStyle w:val="ListParagraph"/>
        <w:spacing w:before="7418" w:after="160"/>
        <w:ind w:left="0" w:hanging="0"/>
        <w:contextualSpacing/>
        <w:rPr>
          <w:sz w:val="24"/>
          <w:szCs w:val="24"/>
        </w:rPr>
      </w:pPr>
      <w:r>
        <w:drawing>
          <wp:anchor behindDoc="0" distT="0" distB="0" distL="114300" distR="0" simplePos="0" locked="0" layoutInCell="1" allowOverlap="1" relativeHeight="2">
            <wp:simplePos x="0" y="0"/>
            <wp:positionH relativeFrom="margin">
              <wp:align>right</wp:align>
            </wp:positionH>
            <wp:positionV relativeFrom="paragraph">
              <wp:posOffset>433070</wp:posOffset>
            </wp:positionV>
            <wp:extent cx="5943600" cy="4710430"/>
            <wp:effectExtent l="0" t="0" r="0" b="0"/>
            <wp:wrapSquare wrapText="bothSides"/>
            <wp:docPr id="5" name="Picture 1" descr="C:\Users\Matt\AppData\Local\Microsoft\Windows\INetCache\Content.Word\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Matt\AppData\Local\Microsoft\Windows\INetCache\Content.Word\tree.jpg"/>
                    <pic:cNvPicPr>
                      <a:picLocks noChangeAspect="1" noChangeArrowheads="1"/>
                    </pic:cNvPicPr>
                  </pic:nvPicPr>
                  <pic:blipFill>
                    <a:blip r:embed="rId6"/>
                    <a:stretch>
                      <a:fillRect/>
                    </a:stretch>
                  </pic:blipFill>
                  <pic:spPr bwMode="auto">
                    <a:xfrm>
                      <a:off x="0" y="0"/>
                      <a:ext cx="5943600" cy="4710430"/>
                    </a:xfrm>
                    <a:prstGeom prst="rect">
                      <a:avLst/>
                    </a:prstGeom>
                  </pic:spPr>
                </pic:pic>
              </a:graphicData>
            </a:graphic>
          </wp:anchor>
        </w:drawing>
      </w:r>
      <w:r>
        <w:rPr>
          <w:sz w:val="24"/>
          <w:szCs w:val="24"/>
        </w:rPr>
        <w:t>B</w:t>
      </w:r>
      <w:r>
        <w:rPr>
          <w:sz w:val="24"/>
          <w:szCs w:val="24"/>
        </w:rPr>
        <w:t>ecause of the intractable complexity of the game, we will concentrate on a restricted set of the most commonly encountered decisions.</w:t>
      </w:r>
    </w:p>
    <w:p>
      <w:pPr>
        <w:pStyle w:val="ListParagraph"/>
        <w:ind w:left="0" w:hanging="0"/>
        <w:jc w:val="center"/>
        <w:rPr>
          <w:sz w:val="24"/>
          <w:szCs w:val="24"/>
        </w:rPr>
      </w:pPr>
      <w:r>
        <w:rPr>
          <w:b/>
          <w:sz w:val="24"/>
          <w:szCs w:val="24"/>
        </w:rPr>
        <w:t xml:space="preserve">Figure 4. </w:t>
      </w:r>
      <w:r>
        <w:rPr>
          <w:i/>
          <w:sz w:val="23"/>
          <w:szCs w:val="23"/>
        </w:rPr>
        <w:t>Simplified game tree of the first decisions in 1 vs 1 Texas Hold’em poker, after players have been dealt their private cards.</w:t>
      </w:r>
    </w:p>
    <w:p>
      <w:pPr>
        <w:pStyle w:val="ListParagraph"/>
        <w:ind w:left="0" w:hanging="0"/>
        <w:rPr>
          <w:b/>
          <w:b/>
          <w:sz w:val="24"/>
          <w:szCs w:val="24"/>
        </w:rPr>
      </w:pPr>
      <w:r>
        <w:rPr>
          <w:b/>
          <w:sz w:val="24"/>
          <w:szCs w:val="24"/>
        </w:rPr>
      </w:r>
    </w:p>
    <w:p>
      <w:pPr>
        <w:pStyle w:val="ListParagraph"/>
        <w:ind w:left="0" w:hanging="0"/>
        <w:rPr>
          <w:sz w:val="24"/>
          <w:szCs w:val="24"/>
        </w:rPr>
      </w:pPr>
      <w:r>
        <w:rPr>
          <w:b/>
          <w:sz w:val="24"/>
          <w:szCs w:val="24"/>
        </w:rPr>
        <w:t xml:space="preserve">Figure 4. </w:t>
      </w:r>
      <w:r>
        <w:rPr>
          <w:sz w:val="24"/>
          <w:szCs w:val="24"/>
        </w:rPr>
        <w:t>shows the simplified game tree of the first few decisions after receiving cards. End nodes labeled “flop” lead to subtrees which have strictly worse payoffs for both players under the higher price. After player 1’s first decision node, all further decision nodes share similar structure to the “facing raise” node. Choosing to fold leads to the same payoff regardless of Pokerstars’ current price, call leads to a flop node, and raise leads the opposing player to a similar situation.</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t xml:space="preserve">The node we are interested in is labeled </w:t>
      </w:r>
      <w:r>
        <w:rPr>
          <w:i/>
          <w:sz w:val="24"/>
          <w:szCs w:val="24"/>
        </w:rPr>
        <w:t>“2</w:t>
      </w:r>
      <w:r>
        <w:rPr>
          <w:i/>
          <w:sz w:val="24"/>
          <w:szCs w:val="24"/>
          <w:vertAlign w:val="superscript"/>
        </w:rPr>
        <w:t>nd</w:t>
      </w:r>
      <w:r>
        <w:rPr>
          <w:i/>
          <w:sz w:val="24"/>
          <w:szCs w:val="24"/>
        </w:rPr>
        <w:t xml:space="preserve"> to act facing raise.”</w:t>
      </w:r>
      <w:r>
        <w:rPr>
          <w:sz w:val="24"/>
          <w:szCs w:val="24"/>
        </w:rPr>
        <w:t xml:space="preserve"> It is the node where the choice between strategies has the largest change in expected value from the price increase implemented at the flop. Moreover, it is the most common node to be reached barring the initial decision node. Electing to “complete” when first to act is rarely seen in the data as it is considered a bad strategy by poker players</w:t>
      </w:r>
      <w:r>
        <w:rPr>
          <w:rStyle w:val="FootnoteAnchor"/>
          <w:rStyle w:val="FootnoteAnchor"/>
          <w:sz w:val="24"/>
          <w:szCs w:val="24"/>
        </w:rPr>
        <w:footnoteReference w:id="7"/>
      </w:r>
      <w:r>
        <w:rPr>
          <w:sz w:val="24"/>
          <w:szCs w:val="24"/>
        </w:rPr>
        <w:t>, so most poker hands begin with a raise by player 1 and player 2 facing the raise.</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r>
    </w:p>
    <w:p>
      <w:pPr>
        <w:pStyle w:val="ListParagraph"/>
        <w:numPr>
          <w:ilvl w:val="1"/>
          <w:numId w:val="2"/>
        </w:numPr>
        <w:rPr>
          <w:b/>
          <w:b/>
          <w:sz w:val="32"/>
          <w:szCs w:val="24"/>
        </w:rPr>
      </w:pPr>
      <w:r>
        <w:rPr>
          <w:b/>
          <w:sz w:val="32"/>
          <w:szCs w:val="24"/>
        </w:rPr>
        <w:t>Empirical effect on expected value of strategies</w:t>
      </w:r>
    </w:p>
    <w:p>
      <w:pPr>
        <w:pStyle w:val="Normal"/>
        <w:rPr>
          <w:sz w:val="24"/>
          <w:szCs w:val="24"/>
        </w:rPr>
      </w:pPr>
      <w:r>
        <w:rPr>
          <w:sz w:val="24"/>
          <w:szCs w:val="24"/>
        </w:rPr>
        <w:t>Even if the expected value of continuing the hand when 2</w:t>
      </w:r>
      <w:r>
        <w:rPr>
          <w:sz w:val="24"/>
          <w:szCs w:val="24"/>
          <w:vertAlign w:val="superscript"/>
        </w:rPr>
        <w:t>nd</w:t>
      </w:r>
      <w:r>
        <w:rPr>
          <w:sz w:val="24"/>
          <w:szCs w:val="24"/>
        </w:rPr>
        <w:t xml:space="preserve"> player to act facing a raise should diminish in theory, we would prefer empirical confirmation. To verify this, we regress the average winnings when a player is in this situation in a panel model with fixed effects:</w:t>
      </w:r>
    </w:p>
    <w:p>
      <w:pPr>
        <w:pStyle w:val="ListParagraph"/>
        <w:ind w:left="0" w:hanging="0"/>
        <w:rPr>
          <w:sz w:val="24"/>
          <w:szCs w:val="24"/>
        </w:rPr>
      </w:pPr>
      <w:r>
        <w:rPr>
          <w:sz w:val="24"/>
          <w:szCs w:val="24"/>
        </w:rPr>
        <w:t xml:space="preserve">                                       </w:t>
      </w:r>
      <w:r>
        <w:rPr>
          <w:sz w:val="24"/>
          <w:szCs w:val="24"/>
        </w:rPr>
      </w:r>
      <m:oMath xmlns:m="http://schemas.openxmlformats.org/officeDocument/2006/math">
        <m:sSub>
          <m:e>
            <m:r>
              <w:rPr>
                <w:rFonts w:ascii="Cambria Math" w:hAnsi="Cambria Math"/>
              </w:rPr>
              <m:t xml:space="preserve">Y</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τ</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Treat</m:t>
        </m:r>
        <m:r>
          <w:rPr>
            <w:rFonts w:ascii="Cambria Math" w:hAnsi="Cambria Math"/>
          </w:rPr>
          <m:t xml:space="preserve">+</m:t>
        </m:r>
        <m:r>
          <w:rPr>
            <w:rFonts w:ascii="Cambria Math" w:hAnsi="Cambria Math"/>
          </w:rPr>
          <m:t xml:space="preserve">β</m:t>
        </m:r>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r>
          <w:rPr>
            <w:rFonts w:ascii="Cambria Math" w:hAnsi="Cambria Math"/>
          </w:rPr>
          <m:t xml:space="preserve">+</m:t>
        </m:r>
        <m:r>
          <w:rPr>
            <w:rFonts w:ascii="Cambria Math" w:hAnsi="Cambria Math"/>
          </w:rPr>
          <m:t xml:space="preserve">ε</m:t>
        </m:r>
      </m:oMath>
      <w:r>
        <w:rPr>
          <w:sz w:val="24"/>
          <w:szCs w:val="24"/>
        </w:rPr>
        <w:t xml:space="preserve">                                  </w:t>
      </w:r>
      <w:r>
        <w:rPr>
          <w:sz w:val="24"/>
          <w:szCs w:val="24"/>
        </w:rPr>
        <w:t>(1)</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t xml:space="preserve">This regression is run separately on partitions of the dataset as discussed in section 3. </w:t>
      </w:r>
      <w:r>
        <w:rPr>
          <w:sz w:val="24"/>
          <w:szCs w:val="24"/>
        </w:rPr>
      </w:r>
      <m:oMath xmlns:m="http://schemas.openxmlformats.org/officeDocument/2006/math">
        <m:sSub>
          <m:e>
            <m:r>
              <w:rPr>
                <w:rFonts w:ascii="Cambria Math" w:hAnsi="Cambria Math"/>
              </w:rPr>
              <m:t xml:space="preserve">Y</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oMath>
      <w:r>
        <w:rPr>
          <w:sz w:val="24"/>
          <w:szCs w:val="24"/>
        </w:rPr>
        <w:t xml:space="preserve"> is the average value of a re-raise or call action when second to act for player </w:t>
      </w:r>
      <w:r>
        <w:rPr>
          <w:i/>
          <w:sz w:val="24"/>
          <w:szCs w:val="24"/>
        </w:rPr>
        <w:t xml:space="preserve">i </w:t>
      </w:r>
      <w:r>
        <w:rPr>
          <w:sz w:val="24"/>
          <w:szCs w:val="24"/>
        </w:rPr>
        <w:t xml:space="preserve">at time </w:t>
      </w:r>
      <w:r>
        <w:rPr>
          <w:i/>
          <w:sz w:val="24"/>
          <w:szCs w:val="24"/>
        </w:rPr>
        <w:t>t.</w:t>
      </w:r>
      <w:r>
        <w:rPr>
          <w:sz w:val="24"/>
          <w:szCs w:val="24"/>
        </w:rPr>
        <w:t xml:space="preserve"> Each observation is a continuous poker “session” starting at the first hand and stopping when one of the two players exits the virtual poker table. Fixed effect controlling for player characteristics are </w:t>
      </w:r>
      <w:r>
        <w:rPr>
          <w:sz w:val="24"/>
          <w:szCs w:val="24"/>
        </w:rPr>
      </w:r>
      <m:oMath xmlns:m="http://schemas.openxmlformats.org/officeDocument/2006/math">
        <m:sSub>
          <m:e>
            <m:r>
              <w:rPr>
                <w:rFonts w:ascii="Cambria Math" w:hAnsi="Cambria Math"/>
              </w:rPr>
              <m:t xml:space="preserve">α</m:t>
            </m:r>
          </m:e>
          <m:sub>
            <m:r>
              <w:rPr>
                <w:rFonts w:ascii="Cambria Math" w:hAnsi="Cambria Math"/>
              </w:rPr>
              <m:t xml:space="preserve">i</m:t>
            </m:r>
          </m:sub>
        </m:sSub>
      </m:oMath>
      <w:r>
        <w:rPr>
          <w:sz w:val="24"/>
          <w:szCs w:val="24"/>
        </w:rPr>
        <w:t xml:space="preserve"> and controls for the opponent are </w:t>
      </w:r>
      <w:r>
        <w:rPr>
          <w:sz w:val="24"/>
          <w:szCs w:val="24"/>
        </w:rPr>
      </w:r>
      <m:oMath xmlns:m="http://schemas.openxmlformats.org/officeDocument/2006/math">
        <m:sSub>
          <m:e>
            <m:r>
              <w:rPr>
                <w:rFonts w:ascii="Cambria Math" w:hAnsi="Cambria Math"/>
              </w:rPr>
              <m:t xml:space="preserve">τ</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oMath>
      <w:r>
        <w:rPr>
          <w:sz w:val="24"/>
          <w:szCs w:val="24"/>
        </w:rPr>
        <w:t xml:space="preserve">. The variable indicating the increase in price is </w:t>
      </w:r>
      <w:r>
        <w:rPr>
          <w:i/>
          <w:sz w:val="24"/>
          <w:szCs w:val="24"/>
        </w:rPr>
        <w:t>Treat</w:t>
      </w:r>
      <w:r>
        <w:rPr>
          <w:sz w:val="24"/>
          <w:szCs w:val="24"/>
        </w:rPr>
        <w:t xml:space="preserve"> and controls for the skill group of the opponent, as well as interaction effects between the two are found in </w:t>
      </w:r>
      <w:r>
        <w:rPr>
          <w:i/>
          <w:sz w:val="24"/>
          <w:szCs w:val="24"/>
        </w:rPr>
        <w:t xml:space="preserve">X. </w:t>
      </w:r>
      <w:r>
        <w:rPr>
          <w:sz w:val="24"/>
          <w:szCs w:val="24"/>
        </w:rPr>
        <w:t>Seasonality controls based on time (time of day, day of the week, etc.) were found insignificant in all specifications.</w:t>
      </w:r>
    </w:p>
    <w:p>
      <w:pPr>
        <w:pStyle w:val="ListParagraph"/>
        <w:ind w:left="0" w:hanging="0"/>
        <w:rPr>
          <w:sz w:val="24"/>
          <w:szCs w:val="24"/>
        </w:rPr>
      </w:pPr>
      <w:r>
        <w:rPr>
          <w:sz w:val="24"/>
          <w:szCs w:val="24"/>
        </w:rPr>
      </w:r>
    </w:p>
    <w:p>
      <w:pPr>
        <w:pStyle w:val="ListParagraph"/>
        <w:ind w:left="0" w:hanging="0"/>
        <w:rPr>
          <w:sz w:val="24"/>
          <w:szCs w:val="24"/>
        </w:rPr>
      </w:pPr>
      <w:r>
        <w:rPr>
          <w:b/>
          <w:sz w:val="24"/>
          <w:szCs w:val="24"/>
        </w:rPr>
        <w:t>Table 1</w:t>
      </w:r>
      <w:r>
        <w:rPr>
          <w:sz w:val="24"/>
          <w:szCs w:val="24"/>
        </w:rPr>
        <w:t xml:space="preserve"> shows the average winnings of each group of players (as defined in section 3) when electing to call or re-raise in this position during both pricing periods. The expected value is denominated in the minimum bet of the game to control for the heterogenous stakes in the games in dollar terms (the minimum bet is either $2 or $4 in our data).</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t>We can see that there is a large effect on low-skill regular players, and no significant effect on high skill players. Ephemeral players are also unaffected by the change, even when aggregated as a group. Importantly, low skill players’ expected value goes from slightly positive to significantly negative, implying that many individual holdings become unprofitable to continue playing with.</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r>
    </w:p>
    <w:p>
      <w:pPr>
        <w:pStyle w:val="ListParagraph"/>
        <w:ind w:left="0" w:hanging="0"/>
        <w:rPr>
          <w:sz w:val="24"/>
          <w:szCs w:val="24"/>
        </w:rPr>
      </w:pPr>
      <w:r>
        <w:rPr>
          <w:sz w:val="24"/>
          <w:szCs w:val="24"/>
        </w:rPr>
      </w:r>
    </w:p>
    <w:p>
      <w:pPr>
        <w:pStyle w:val="ListParagraph"/>
        <w:ind w:left="0" w:hanging="0"/>
        <w:rPr>
          <w:sz w:val="24"/>
          <w:szCs w:val="24"/>
        </w:rPr>
      </w:pPr>
      <w:r>
        <w:rPr>
          <w:sz w:val="24"/>
          <w:szCs w:val="24"/>
        </w:rPr>
      </w:r>
    </w:p>
    <w:p>
      <w:pPr>
        <w:pStyle w:val="ListParagraph"/>
        <w:ind w:left="0" w:hanging="0"/>
        <w:rPr>
          <w:sz w:val="24"/>
          <w:szCs w:val="24"/>
        </w:rPr>
      </w:pPr>
      <w:r>
        <w:rPr>
          <w:sz w:val="24"/>
          <w:szCs w:val="24"/>
        </w:rPr>
      </w:r>
    </w:p>
    <w:tbl>
      <w:tblPr>
        <w:tblStyle w:val="TableGrid"/>
        <w:tblpPr w:bottomFromText="0" w:horzAnchor="margin" w:leftFromText="180" w:rightFromText="180" w:tblpX="0" w:tblpXSpec="center" w:tblpY="-579" w:topFromText="0" w:vertAnchor="text"/>
        <w:tblW w:w="12044" w:type="dxa"/>
        <w:jc w:val="center"/>
        <w:tblInd w:w="0" w:type="dxa"/>
        <w:tblCellMar>
          <w:top w:w="0" w:type="dxa"/>
          <w:left w:w="78" w:type="dxa"/>
          <w:bottom w:w="0" w:type="dxa"/>
          <w:right w:w="108" w:type="dxa"/>
        </w:tblCellMar>
        <w:tblLook w:firstRow="1" w:noVBand="1" w:lastRow="0" w:firstColumn="1" w:lastColumn="0" w:noHBand="0" w:val="04a0"/>
      </w:tblPr>
      <w:tblGrid>
        <w:gridCol w:w="1411"/>
        <w:gridCol w:w="1550"/>
        <w:gridCol w:w="1414"/>
        <w:gridCol w:w="1283"/>
        <w:gridCol w:w="1416"/>
        <w:gridCol w:w="1418"/>
        <w:gridCol w:w="1291"/>
        <w:gridCol w:w="1273"/>
        <w:gridCol w:w="986"/>
      </w:tblGrid>
      <w:tr>
        <w:trPr>
          <w:trHeight w:val="833" w:hRule="atLeast"/>
        </w:trPr>
        <w:tc>
          <w:tcPr>
            <w:tcW w:w="1411" w:type="dxa"/>
            <w:tcBorders>
              <w:bottom w:val="single" w:sz="12" w:space="0" w:color="00000A"/>
              <w:insideH w:val="single" w:sz="12" w:space="0" w:color="00000A"/>
            </w:tcBorders>
            <w:shd w:color="auto" w:fill="8EAADB" w:themeFill="accent1" w:themeFillTint="99" w:val="clear"/>
            <w:vAlign w:val="center"/>
          </w:tcPr>
          <w:p>
            <w:pPr>
              <w:pStyle w:val="ListParagraph"/>
              <w:ind w:left="0" w:hanging="0"/>
              <w:jc w:val="center"/>
              <w:rPr>
                <w:b/>
                <w:b/>
                <w:i/>
                <w:i/>
                <w:sz w:val="24"/>
                <w:szCs w:val="24"/>
              </w:rPr>
            </w:pPr>
            <w:r>
              <w:rPr>
                <w:b/>
                <w:i/>
                <w:sz w:val="24"/>
                <w:szCs w:val="24"/>
              </w:rPr>
              <w:t xml:space="preserve">BB </w:t>
            </w:r>
          </w:p>
          <w:p>
            <w:pPr>
              <w:pStyle w:val="ListParagraph"/>
              <w:ind w:left="0" w:hanging="0"/>
              <w:jc w:val="center"/>
              <w:rPr>
                <w:b/>
                <w:b/>
                <w:i/>
                <w:i/>
                <w:sz w:val="24"/>
                <w:szCs w:val="24"/>
              </w:rPr>
            </w:pPr>
            <w:r>
              <w:rPr>
                <w:b/>
                <w:i/>
                <w:sz w:val="24"/>
                <w:szCs w:val="24"/>
              </w:rPr>
              <w:t xml:space="preserve">continue </w:t>
            </w:r>
          </w:p>
          <w:p>
            <w:pPr>
              <w:pStyle w:val="ListParagraph"/>
              <w:spacing w:before="0" w:after="160"/>
              <w:ind w:left="0" w:hanging="0"/>
              <w:contextualSpacing/>
              <w:jc w:val="center"/>
              <w:rPr>
                <w:b/>
                <w:b/>
                <w:i/>
                <w:i/>
                <w:sz w:val="24"/>
                <w:szCs w:val="24"/>
              </w:rPr>
            </w:pPr>
            <w:r>
              <w:rPr>
                <w:b/>
                <w:i/>
                <w:sz w:val="24"/>
                <w:szCs w:val="24"/>
              </w:rPr>
              <w:t>EV</w:t>
            </w:r>
          </w:p>
        </w:tc>
        <w:tc>
          <w:tcPr>
            <w:tcW w:w="1550" w:type="dxa"/>
            <w:tcBorders>
              <w:left w:val="single" w:sz="12" w:space="0" w:color="00000A"/>
              <w:bottom w:val="single" w:sz="12" w:space="0" w:color="00000A"/>
              <w:right w:val="single" w:sz="12" w:space="0" w:color="00000A"/>
              <w:insideH w:val="single" w:sz="12" w:space="0" w:color="00000A"/>
              <w:insideV w:val="single" w:sz="12" w:space="0" w:color="00000A"/>
            </w:tcBorders>
            <w:shd w:color="auto" w:fill="8EAADB" w:themeFill="accent1" w:themeFillTint="99" w:val="clear"/>
            <w:vAlign w:val="center"/>
          </w:tcPr>
          <w:p>
            <w:pPr>
              <w:pStyle w:val="ListParagraph"/>
              <w:spacing w:before="0" w:after="160"/>
              <w:ind w:left="0" w:hanging="0"/>
              <w:contextualSpacing/>
              <w:jc w:val="center"/>
              <w:rPr>
                <w:b/>
                <w:b/>
                <w:sz w:val="24"/>
                <w:szCs w:val="24"/>
              </w:rPr>
            </w:pPr>
            <w:r>
              <w:rPr>
                <w:b/>
                <w:sz w:val="24"/>
                <w:szCs w:val="24"/>
              </w:rPr>
            </w:r>
          </w:p>
        </w:tc>
        <w:tc>
          <w:tcPr>
            <w:tcW w:w="1414" w:type="dxa"/>
            <w:tcBorders>
              <w:left w:val="single" w:sz="12" w:space="0" w:color="00000A"/>
              <w:bottom w:val="single" w:sz="12" w:space="0" w:color="00000A"/>
              <w:insideH w:val="single" w:sz="12" w:space="0" w:color="00000A"/>
            </w:tcBorders>
            <w:shd w:color="auto" w:fill="8EAADB" w:themeFill="accent1" w:themeFillTint="99" w:val="clear"/>
            <w:vAlign w:val="center"/>
          </w:tcPr>
          <w:p>
            <w:pPr>
              <w:pStyle w:val="ListParagraph"/>
              <w:spacing w:before="0" w:after="160"/>
              <w:ind w:left="0" w:hanging="0"/>
              <w:contextualSpacing/>
              <w:jc w:val="center"/>
              <w:rPr>
                <w:b/>
                <w:b/>
                <w:sz w:val="24"/>
                <w:szCs w:val="24"/>
              </w:rPr>
            </w:pPr>
            <w:r>
              <w:rPr>
                <w:b/>
                <w:sz w:val="24"/>
                <w:szCs w:val="24"/>
              </w:rPr>
              <w:t>Constant</w:t>
            </w:r>
          </w:p>
        </w:tc>
        <w:tc>
          <w:tcPr>
            <w:tcW w:w="1283" w:type="dxa"/>
            <w:tcBorders>
              <w:bottom w:val="single" w:sz="12" w:space="0" w:color="00000A"/>
              <w:insideH w:val="single" w:sz="12" w:space="0" w:color="00000A"/>
            </w:tcBorders>
            <w:shd w:color="auto" w:fill="8EAADB" w:themeFill="accent1" w:themeFillTint="99" w:val="clear"/>
            <w:vAlign w:val="center"/>
          </w:tcPr>
          <w:p>
            <w:pPr>
              <w:pStyle w:val="ListParagraph"/>
              <w:ind w:left="0" w:hanging="0"/>
              <w:jc w:val="center"/>
              <w:rPr>
                <w:b/>
                <w:b/>
                <w:sz w:val="24"/>
                <w:szCs w:val="24"/>
              </w:rPr>
            </w:pPr>
            <w:r>
              <w:rPr>
                <w:b/>
                <w:sz w:val="24"/>
                <w:szCs w:val="24"/>
              </w:rPr>
              <w:t xml:space="preserve">Increased </w:t>
            </w:r>
          </w:p>
          <w:p>
            <w:pPr>
              <w:pStyle w:val="ListParagraph"/>
              <w:spacing w:before="0" w:after="160"/>
              <w:ind w:left="0" w:hanging="0"/>
              <w:contextualSpacing/>
              <w:jc w:val="center"/>
              <w:rPr>
                <w:b/>
                <w:b/>
                <w:sz w:val="24"/>
                <w:szCs w:val="24"/>
              </w:rPr>
            </w:pPr>
            <w:r>
              <w:rPr>
                <w:b/>
                <w:sz w:val="24"/>
                <w:szCs w:val="24"/>
              </w:rPr>
              <w:t>Price</w:t>
            </w:r>
          </w:p>
        </w:tc>
        <w:tc>
          <w:tcPr>
            <w:tcW w:w="1416" w:type="dxa"/>
            <w:tcBorders>
              <w:bottom w:val="single" w:sz="12" w:space="0" w:color="00000A"/>
              <w:insideH w:val="single" w:sz="12" w:space="0" w:color="00000A"/>
            </w:tcBorders>
            <w:shd w:color="auto" w:fill="8EAADB" w:themeFill="accent1" w:themeFillTint="99" w:val="clear"/>
            <w:vAlign w:val="center"/>
          </w:tcPr>
          <w:p>
            <w:pPr>
              <w:pStyle w:val="ListParagraph"/>
              <w:spacing w:before="0" w:after="160"/>
              <w:ind w:left="0" w:hanging="0"/>
              <w:contextualSpacing/>
              <w:jc w:val="center"/>
              <w:rPr>
                <w:b/>
                <w:b/>
                <w:sz w:val="24"/>
                <w:szCs w:val="24"/>
              </w:rPr>
            </w:pPr>
            <w:r>
              <w:rPr>
                <w:b/>
                <w:sz w:val="24"/>
                <w:szCs w:val="24"/>
              </w:rPr>
              <w:t>High Skill Opponent</w:t>
            </w:r>
          </w:p>
        </w:tc>
        <w:tc>
          <w:tcPr>
            <w:tcW w:w="1418" w:type="dxa"/>
            <w:tcBorders>
              <w:bottom w:val="single" w:sz="12" w:space="0" w:color="00000A"/>
              <w:insideH w:val="single" w:sz="12" w:space="0" w:color="00000A"/>
            </w:tcBorders>
            <w:shd w:color="auto" w:fill="8EAADB" w:themeFill="accent1" w:themeFillTint="99" w:val="clear"/>
            <w:vAlign w:val="center"/>
          </w:tcPr>
          <w:p>
            <w:pPr>
              <w:pStyle w:val="ListParagraph"/>
              <w:spacing w:before="0" w:after="160"/>
              <w:ind w:left="0" w:hanging="0"/>
              <w:contextualSpacing/>
              <w:jc w:val="center"/>
              <w:rPr>
                <w:b/>
                <w:b/>
                <w:sz w:val="24"/>
                <w:szCs w:val="24"/>
              </w:rPr>
            </w:pPr>
            <w:r>
              <w:rPr>
                <w:b/>
                <w:sz w:val="24"/>
                <w:szCs w:val="24"/>
              </w:rPr>
              <w:t>Ephemeral Opponent</w:t>
            </w:r>
          </w:p>
        </w:tc>
        <w:tc>
          <w:tcPr>
            <w:tcW w:w="1291" w:type="dxa"/>
            <w:tcBorders>
              <w:bottom w:val="single" w:sz="12" w:space="0" w:color="00000A"/>
              <w:insideH w:val="single" w:sz="12" w:space="0" w:color="00000A"/>
            </w:tcBorders>
            <w:shd w:color="auto" w:fill="8EAADB" w:themeFill="accent1" w:themeFillTint="99" w:val="clear"/>
            <w:vAlign w:val="center"/>
          </w:tcPr>
          <w:p>
            <w:pPr>
              <w:pStyle w:val="ListParagraph"/>
              <w:ind w:left="0" w:hanging="0"/>
              <w:jc w:val="center"/>
              <w:rPr>
                <w:b/>
                <w:b/>
                <w:sz w:val="24"/>
                <w:szCs w:val="24"/>
              </w:rPr>
            </w:pPr>
            <w:r>
              <w:rPr>
                <w:b/>
                <w:sz w:val="24"/>
                <w:szCs w:val="24"/>
              </w:rPr>
              <w:t>Ephemeral</w:t>
            </w:r>
          </w:p>
          <w:p>
            <w:pPr>
              <w:pStyle w:val="ListParagraph"/>
              <w:ind w:left="0" w:hanging="0"/>
              <w:jc w:val="center"/>
              <w:rPr>
                <w:b/>
                <w:b/>
                <w:sz w:val="24"/>
                <w:szCs w:val="24"/>
              </w:rPr>
            </w:pPr>
            <w:r>
              <w:rPr>
                <w:b/>
                <w:sz w:val="24"/>
                <w:szCs w:val="24"/>
              </w:rPr>
              <w:t>Opponent</w:t>
            </w:r>
          </w:p>
          <w:p>
            <w:pPr>
              <w:pStyle w:val="ListParagraph"/>
              <w:spacing w:before="0" w:after="160"/>
              <w:ind w:left="0" w:hanging="0"/>
              <w:contextualSpacing/>
              <w:jc w:val="center"/>
              <w:rPr>
                <w:b/>
                <w:b/>
                <w:sz w:val="24"/>
                <w:szCs w:val="24"/>
              </w:rPr>
            </w:pPr>
            <w:r>
              <w:rPr>
                <w:b/>
                <w:sz w:val="24"/>
                <w:szCs w:val="24"/>
              </w:rPr>
              <w:t>x Treat</w:t>
            </w:r>
          </w:p>
        </w:tc>
        <w:tc>
          <w:tcPr>
            <w:tcW w:w="1273" w:type="dxa"/>
            <w:tcBorders>
              <w:bottom w:val="single" w:sz="12" w:space="0" w:color="00000A"/>
              <w:insideH w:val="single" w:sz="12" w:space="0" w:color="00000A"/>
            </w:tcBorders>
            <w:shd w:color="auto" w:fill="8EAADB" w:themeFill="accent1" w:themeFillTint="99" w:val="clear"/>
          </w:tcPr>
          <w:p>
            <w:pPr>
              <w:pStyle w:val="ListParagraph"/>
              <w:ind w:left="0" w:hanging="0"/>
              <w:jc w:val="center"/>
              <w:rPr>
                <w:b/>
                <w:b/>
                <w:sz w:val="24"/>
                <w:szCs w:val="24"/>
              </w:rPr>
            </w:pPr>
            <w:r>
              <w:rPr>
                <w:b/>
                <w:sz w:val="24"/>
                <w:szCs w:val="24"/>
              </w:rPr>
              <w:t>Low skill</w:t>
            </w:r>
          </w:p>
          <w:p>
            <w:pPr>
              <w:pStyle w:val="ListParagraph"/>
              <w:spacing w:before="0" w:after="160"/>
              <w:ind w:left="0" w:hanging="0"/>
              <w:contextualSpacing/>
              <w:jc w:val="center"/>
              <w:rPr>
                <w:b/>
                <w:b/>
                <w:sz w:val="24"/>
                <w:szCs w:val="24"/>
              </w:rPr>
            </w:pPr>
            <w:r>
              <w:rPr>
                <w:b/>
                <w:sz w:val="24"/>
                <w:szCs w:val="24"/>
              </w:rPr>
              <w:t>x Treat</w:t>
            </w:r>
          </w:p>
        </w:tc>
        <w:tc>
          <w:tcPr>
            <w:tcW w:w="986" w:type="dxa"/>
            <w:tcBorders>
              <w:bottom w:val="single" w:sz="12" w:space="0" w:color="00000A"/>
              <w:insideH w:val="single" w:sz="12" w:space="0" w:color="00000A"/>
            </w:tcBorders>
            <w:shd w:color="auto" w:fill="8EAADB" w:themeFill="accent1" w:themeFillTint="99" w:val="clear"/>
          </w:tcPr>
          <w:p>
            <w:pPr>
              <w:pStyle w:val="ListParagraph"/>
              <w:spacing w:before="0" w:after="160"/>
              <w:ind w:left="0" w:hanging="0"/>
              <w:contextualSpacing/>
              <w:jc w:val="center"/>
              <w:rPr>
                <w:b/>
                <w:b/>
                <w:sz w:val="24"/>
                <w:szCs w:val="24"/>
              </w:rPr>
            </w:pPr>
            <w:r>
              <w:rPr>
                <w:b/>
                <w:sz w:val="24"/>
                <w:szCs w:val="24"/>
              </w:rPr>
              <w:t>High Skill x treat</w:t>
            </w:r>
          </w:p>
        </w:tc>
      </w:tr>
      <w:tr>
        <w:trPr>
          <w:trHeight w:val="739" w:hRule="atLeast"/>
        </w:trPr>
        <w:tc>
          <w:tcPr>
            <w:tcW w:w="1411" w:type="dxa"/>
            <w:vMerge w:val="restart"/>
            <w:tcBorders>
              <w:top w:val="single" w:sz="12" w:space="0" w:color="00000A"/>
            </w:tcBorders>
            <w:shd w:color="auto" w:fill="8EAADB" w:themeFill="accent1" w:themeFillTint="99" w:val="clear"/>
            <w:vAlign w:val="center"/>
          </w:tcPr>
          <w:p>
            <w:pPr>
              <w:pStyle w:val="ListParagraph"/>
              <w:ind w:left="0" w:hanging="0"/>
              <w:jc w:val="center"/>
              <w:rPr>
                <w:b/>
                <w:b/>
                <w:sz w:val="24"/>
                <w:szCs w:val="24"/>
              </w:rPr>
            </w:pPr>
            <w:r>
              <w:rPr>
                <w:b/>
                <w:sz w:val="24"/>
                <w:szCs w:val="24"/>
              </w:rPr>
              <w:t>Treatment</w:t>
            </w:r>
          </w:p>
          <w:p>
            <w:pPr>
              <w:pStyle w:val="ListParagraph"/>
              <w:spacing w:before="0" w:after="160"/>
              <w:ind w:left="0" w:hanging="0"/>
              <w:contextualSpacing/>
              <w:jc w:val="center"/>
              <w:rPr>
                <w:b/>
                <w:b/>
                <w:sz w:val="24"/>
                <w:szCs w:val="24"/>
              </w:rPr>
            </w:pPr>
            <w:r>
              <w:rPr>
                <w:b/>
                <w:sz w:val="24"/>
                <w:szCs w:val="24"/>
              </w:rPr>
              <w:t>Group</w:t>
            </w:r>
          </w:p>
        </w:tc>
        <w:tc>
          <w:tcPr>
            <w:tcW w:w="1550" w:type="dxa"/>
            <w:tcBorders>
              <w:top w:val="single" w:sz="12" w:space="0" w:color="00000A"/>
              <w:left w:val="single" w:sz="12" w:space="0" w:color="00000A"/>
              <w:right w:val="single" w:sz="12" w:space="0" w:color="00000A"/>
              <w:insideV w:val="single" w:sz="12" w:space="0" w:color="00000A"/>
            </w:tcBorders>
            <w:shd w:color="auto" w:fill="8EAADB" w:themeFill="accent1" w:themeFillTint="99" w:val="clear"/>
            <w:vAlign w:val="center"/>
          </w:tcPr>
          <w:p>
            <w:pPr>
              <w:pStyle w:val="ListParagraph"/>
              <w:spacing w:before="0" w:after="160"/>
              <w:ind w:left="0" w:hanging="0"/>
              <w:contextualSpacing/>
              <w:jc w:val="center"/>
              <w:rPr>
                <w:b/>
                <w:b/>
                <w:sz w:val="24"/>
                <w:szCs w:val="24"/>
              </w:rPr>
            </w:pPr>
            <w:r>
              <w:rPr>
                <w:b/>
                <w:sz w:val="24"/>
                <w:szCs w:val="24"/>
              </w:rPr>
              <w:t>All</w:t>
            </w:r>
          </w:p>
        </w:tc>
        <w:tc>
          <w:tcPr>
            <w:tcW w:w="1414" w:type="dxa"/>
            <w:tcBorders>
              <w:top w:val="single" w:sz="12" w:space="0" w:color="00000A"/>
              <w:left w:val="single" w:sz="12" w:space="0" w:color="00000A"/>
            </w:tcBorders>
            <w:shd w:color="auto" w:fill="D9E2F3" w:themeFill="accent1" w:themeFillTint="33" w:val="clear"/>
            <w:vAlign w:val="center"/>
          </w:tcPr>
          <w:p>
            <w:pPr>
              <w:pStyle w:val="ListParagraph"/>
              <w:ind w:left="0" w:hanging="0"/>
              <w:jc w:val="center"/>
              <w:rPr>
                <w:sz w:val="24"/>
                <w:szCs w:val="24"/>
              </w:rPr>
            </w:pPr>
            <w:r>
              <w:rPr>
                <w:sz w:val="24"/>
                <w:szCs w:val="24"/>
              </w:rPr>
              <w:t>0.555***</w:t>
            </w:r>
          </w:p>
          <w:p>
            <w:pPr>
              <w:pStyle w:val="ListParagraph"/>
              <w:spacing w:before="0" w:after="160"/>
              <w:ind w:left="0" w:hanging="0"/>
              <w:contextualSpacing/>
              <w:jc w:val="center"/>
              <w:rPr>
                <w:sz w:val="24"/>
                <w:szCs w:val="24"/>
              </w:rPr>
            </w:pPr>
            <w:r>
              <w:rPr>
                <w:sz w:val="24"/>
                <w:szCs w:val="24"/>
              </w:rPr>
              <w:t>(0.151)</w:t>
            </w:r>
          </w:p>
        </w:tc>
        <w:tc>
          <w:tcPr>
            <w:tcW w:w="1283" w:type="dxa"/>
            <w:tcBorders>
              <w:top w:val="single" w:sz="12" w:space="0" w:color="00000A"/>
            </w:tcBorders>
            <w:shd w:color="auto" w:fill="D9E2F3" w:themeFill="accent1" w:themeFillTint="33" w:val="clear"/>
            <w:vAlign w:val="center"/>
          </w:tcPr>
          <w:p>
            <w:pPr>
              <w:pStyle w:val="ListParagraph"/>
              <w:ind w:left="0" w:hanging="0"/>
              <w:jc w:val="center"/>
              <w:rPr>
                <w:sz w:val="24"/>
                <w:szCs w:val="24"/>
              </w:rPr>
            </w:pPr>
            <w:r>
              <w:rPr>
                <w:sz w:val="24"/>
                <w:szCs w:val="24"/>
              </w:rPr>
              <w:t>-0.582**</w:t>
            </w:r>
          </w:p>
          <w:p>
            <w:pPr>
              <w:pStyle w:val="ListParagraph"/>
              <w:spacing w:before="0" w:after="160"/>
              <w:ind w:left="0" w:hanging="0"/>
              <w:contextualSpacing/>
              <w:jc w:val="center"/>
              <w:rPr>
                <w:sz w:val="24"/>
                <w:szCs w:val="24"/>
              </w:rPr>
            </w:pPr>
            <w:r>
              <w:rPr>
                <w:sz w:val="24"/>
                <w:szCs w:val="24"/>
              </w:rPr>
              <w:t>(0.238)</w:t>
            </w:r>
          </w:p>
        </w:tc>
        <w:tc>
          <w:tcPr>
            <w:tcW w:w="1416" w:type="dxa"/>
            <w:tcBorders>
              <w:top w:val="single" w:sz="12" w:space="0" w:color="00000A"/>
            </w:tcBorders>
            <w:shd w:color="auto" w:fill="D9E2F3" w:themeFill="accent1" w:themeFillTint="33" w:val="clear"/>
            <w:vAlign w:val="center"/>
          </w:tcPr>
          <w:p>
            <w:pPr>
              <w:pStyle w:val="ListParagraph"/>
              <w:ind w:left="0" w:hanging="0"/>
              <w:jc w:val="center"/>
              <w:rPr>
                <w:sz w:val="24"/>
                <w:szCs w:val="24"/>
              </w:rPr>
            </w:pPr>
            <w:r>
              <w:rPr>
                <w:sz w:val="24"/>
                <w:szCs w:val="24"/>
              </w:rPr>
              <w:t>-1.410***</w:t>
            </w:r>
          </w:p>
          <w:p>
            <w:pPr>
              <w:pStyle w:val="ListParagraph"/>
              <w:spacing w:before="0" w:after="160"/>
              <w:ind w:left="0" w:hanging="0"/>
              <w:contextualSpacing/>
              <w:jc w:val="center"/>
              <w:rPr>
                <w:sz w:val="24"/>
                <w:szCs w:val="24"/>
              </w:rPr>
            </w:pPr>
            <w:r>
              <w:rPr>
                <w:sz w:val="24"/>
                <w:szCs w:val="24"/>
              </w:rPr>
              <w:t>(0.285)</w:t>
            </w:r>
          </w:p>
        </w:tc>
        <w:tc>
          <w:tcPr>
            <w:tcW w:w="1418" w:type="dxa"/>
            <w:tcBorders>
              <w:top w:val="single" w:sz="12" w:space="0" w:color="00000A"/>
            </w:tcBorders>
            <w:shd w:color="auto" w:fill="D9E2F3" w:themeFill="accent1" w:themeFillTint="33" w:val="clear"/>
            <w:vAlign w:val="center"/>
          </w:tcPr>
          <w:p>
            <w:pPr>
              <w:pStyle w:val="ListParagraph"/>
              <w:ind w:left="0" w:hanging="0"/>
              <w:jc w:val="center"/>
              <w:rPr>
                <w:sz w:val="24"/>
                <w:szCs w:val="24"/>
              </w:rPr>
            </w:pPr>
            <w:r>
              <w:rPr>
                <w:sz w:val="24"/>
                <w:szCs w:val="24"/>
              </w:rPr>
              <w:t>-0.017</w:t>
            </w:r>
          </w:p>
          <w:p>
            <w:pPr>
              <w:pStyle w:val="ListParagraph"/>
              <w:spacing w:before="0" w:after="160"/>
              <w:ind w:left="0" w:hanging="0"/>
              <w:contextualSpacing/>
              <w:jc w:val="center"/>
              <w:rPr>
                <w:sz w:val="24"/>
                <w:szCs w:val="24"/>
              </w:rPr>
            </w:pPr>
            <w:r>
              <w:rPr>
                <w:sz w:val="24"/>
                <w:szCs w:val="24"/>
              </w:rPr>
              <w:t>(0.190)</w:t>
            </w:r>
          </w:p>
        </w:tc>
        <w:tc>
          <w:tcPr>
            <w:tcW w:w="1291" w:type="dxa"/>
            <w:tcBorders>
              <w:top w:val="single" w:sz="12" w:space="0" w:color="00000A"/>
            </w:tcBorders>
            <w:shd w:color="auto" w:fill="D9E2F3" w:themeFill="accent1" w:themeFillTint="33" w:val="clear"/>
          </w:tcPr>
          <w:p>
            <w:pPr>
              <w:pStyle w:val="ListParagraph"/>
              <w:ind w:left="0" w:hanging="0"/>
              <w:jc w:val="center"/>
              <w:rPr>
                <w:sz w:val="24"/>
                <w:szCs w:val="24"/>
              </w:rPr>
            </w:pPr>
            <w:r>
              <w:rPr>
                <w:sz w:val="24"/>
                <w:szCs w:val="24"/>
              </w:rPr>
              <w:t>0.468</w:t>
            </w:r>
          </w:p>
          <w:p>
            <w:pPr>
              <w:pStyle w:val="ListParagraph"/>
              <w:spacing w:before="0" w:after="160"/>
              <w:ind w:left="0" w:hanging="0"/>
              <w:contextualSpacing/>
              <w:jc w:val="center"/>
              <w:rPr>
                <w:sz w:val="24"/>
                <w:szCs w:val="24"/>
              </w:rPr>
            </w:pPr>
            <w:r>
              <w:rPr>
                <w:sz w:val="24"/>
                <w:szCs w:val="24"/>
              </w:rPr>
              <w:t>(0.465)</w:t>
            </w:r>
          </w:p>
        </w:tc>
        <w:tc>
          <w:tcPr>
            <w:tcW w:w="1273" w:type="dxa"/>
            <w:tcBorders>
              <w:top w:val="single" w:sz="12" w:space="0" w:color="00000A"/>
            </w:tcBorders>
            <w:shd w:color="auto" w:fill="D9E2F3" w:themeFill="accent1" w:themeFillTint="33" w:val="clear"/>
          </w:tcPr>
          <w:p>
            <w:pPr>
              <w:pStyle w:val="ListParagraph"/>
              <w:ind w:left="0" w:hanging="0"/>
              <w:jc w:val="center"/>
              <w:rPr>
                <w:sz w:val="24"/>
                <w:szCs w:val="24"/>
              </w:rPr>
            </w:pPr>
            <w:r>
              <w:rPr>
                <w:sz w:val="24"/>
                <w:szCs w:val="24"/>
              </w:rPr>
              <w:t>-0.271</w:t>
            </w:r>
          </w:p>
          <w:p>
            <w:pPr>
              <w:pStyle w:val="ListParagraph"/>
              <w:spacing w:before="0" w:after="160"/>
              <w:ind w:left="0" w:hanging="0"/>
              <w:contextualSpacing/>
              <w:jc w:val="center"/>
              <w:rPr>
                <w:sz w:val="24"/>
                <w:szCs w:val="24"/>
              </w:rPr>
            </w:pPr>
            <w:r>
              <w:rPr>
                <w:sz w:val="24"/>
                <w:szCs w:val="24"/>
              </w:rPr>
              <w:t>(0.319)</w:t>
            </w:r>
          </w:p>
        </w:tc>
        <w:tc>
          <w:tcPr>
            <w:tcW w:w="986" w:type="dxa"/>
            <w:tcBorders>
              <w:top w:val="single" w:sz="12" w:space="0" w:color="00000A"/>
            </w:tcBorders>
            <w:shd w:color="auto" w:fill="D9E2F3" w:themeFill="accent1" w:themeFillTint="33" w:val="clear"/>
          </w:tcPr>
          <w:p>
            <w:pPr>
              <w:pStyle w:val="ListParagraph"/>
              <w:ind w:left="0" w:hanging="0"/>
              <w:jc w:val="center"/>
              <w:rPr>
                <w:sz w:val="24"/>
                <w:szCs w:val="24"/>
              </w:rPr>
            </w:pPr>
            <w:r>
              <w:rPr>
                <w:sz w:val="24"/>
                <w:szCs w:val="24"/>
              </w:rPr>
              <w:t>-0.311</w:t>
            </w:r>
          </w:p>
          <w:p>
            <w:pPr>
              <w:pStyle w:val="ListParagraph"/>
              <w:spacing w:before="0" w:after="160"/>
              <w:ind w:left="0" w:hanging="0"/>
              <w:contextualSpacing/>
              <w:jc w:val="center"/>
              <w:rPr>
                <w:sz w:val="24"/>
                <w:szCs w:val="24"/>
              </w:rPr>
            </w:pPr>
            <w:r>
              <w:rPr>
                <w:sz w:val="24"/>
                <w:szCs w:val="24"/>
              </w:rPr>
              <w:t>(0.427)</w:t>
            </w:r>
          </w:p>
        </w:tc>
      </w:tr>
      <w:tr>
        <w:trPr>
          <w:trHeight w:val="623" w:hRule="atLeast"/>
        </w:trPr>
        <w:tc>
          <w:tcPr>
            <w:tcW w:w="1411" w:type="dxa"/>
            <w:vMerge w:val="continue"/>
            <w:tcBorders/>
            <w:shd w:color="auto" w:fill="8EAADB" w:themeFill="accent1" w:themeFillTint="99" w:val="clear"/>
            <w:vAlign w:val="center"/>
          </w:tcPr>
          <w:p>
            <w:pPr>
              <w:pStyle w:val="ListParagraph"/>
              <w:spacing w:before="0" w:after="160"/>
              <w:ind w:left="0" w:hanging="0"/>
              <w:contextualSpacing/>
              <w:jc w:val="center"/>
              <w:rPr>
                <w:b/>
                <w:b/>
                <w:sz w:val="24"/>
                <w:szCs w:val="24"/>
              </w:rPr>
            </w:pPr>
            <w:r>
              <w:rPr>
                <w:b/>
                <w:sz w:val="24"/>
                <w:szCs w:val="24"/>
              </w:rPr>
            </w:r>
          </w:p>
        </w:tc>
        <w:tc>
          <w:tcPr>
            <w:tcW w:w="1550" w:type="dxa"/>
            <w:tcBorders>
              <w:left w:val="single" w:sz="12" w:space="0" w:color="00000A"/>
              <w:right w:val="single" w:sz="12" w:space="0" w:color="00000A"/>
              <w:insideV w:val="single" w:sz="12" w:space="0" w:color="00000A"/>
            </w:tcBorders>
            <w:shd w:color="auto" w:fill="8EAADB" w:themeFill="accent1" w:themeFillTint="99" w:val="clear"/>
            <w:vAlign w:val="center"/>
          </w:tcPr>
          <w:p>
            <w:pPr>
              <w:pStyle w:val="ListParagraph"/>
              <w:ind w:left="0" w:hanging="0"/>
              <w:jc w:val="center"/>
              <w:rPr>
                <w:b/>
                <w:b/>
                <w:sz w:val="24"/>
                <w:szCs w:val="24"/>
              </w:rPr>
            </w:pPr>
            <w:r>
              <w:rPr>
                <w:b/>
                <w:sz w:val="24"/>
                <w:szCs w:val="24"/>
              </w:rPr>
              <w:t>High skill</w:t>
            </w:r>
          </w:p>
          <w:p>
            <w:pPr>
              <w:pStyle w:val="ListParagraph"/>
              <w:spacing w:before="0" w:after="160"/>
              <w:ind w:left="0" w:hanging="0"/>
              <w:contextualSpacing/>
              <w:jc w:val="center"/>
              <w:rPr>
                <w:b/>
                <w:b/>
                <w:sz w:val="24"/>
                <w:szCs w:val="24"/>
              </w:rPr>
            </w:pPr>
            <w:r>
              <w:rPr>
                <w:b/>
                <w:sz w:val="24"/>
                <w:szCs w:val="24"/>
              </w:rPr>
              <w:t>(k-means)</w:t>
            </w:r>
          </w:p>
        </w:tc>
        <w:tc>
          <w:tcPr>
            <w:tcW w:w="1414" w:type="dxa"/>
            <w:tcBorders>
              <w:left w:val="single" w:sz="12" w:space="0" w:color="00000A"/>
            </w:tcBorders>
            <w:shd w:color="auto" w:fill="D9E2F3" w:themeFill="accent1" w:themeFillTint="33" w:val="clear"/>
            <w:vAlign w:val="center"/>
          </w:tcPr>
          <w:p>
            <w:pPr>
              <w:pStyle w:val="ListParagraph"/>
              <w:ind w:left="0" w:hanging="0"/>
              <w:jc w:val="center"/>
              <w:rPr>
                <w:sz w:val="24"/>
                <w:szCs w:val="24"/>
              </w:rPr>
            </w:pPr>
            <w:r>
              <w:rPr>
                <w:sz w:val="24"/>
                <w:szCs w:val="24"/>
              </w:rPr>
              <w:t>2.291***</w:t>
            </w:r>
          </w:p>
          <w:p>
            <w:pPr>
              <w:pStyle w:val="ListParagraph"/>
              <w:spacing w:before="0" w:after="160"/>
              <w:ind w:left="0" w:hanging="0"/>
              <w:contextualSpacing/>
              <w:jc w:val="center"/>
              <w:rPr>
                <w:sz w:val="24"/>
                <w:szCs w:val="24"/>
              </w:rPr>
            </w:pPr>
            <w:r>
              <w:rPr>
                <w:sz w:val="24"/>
                <w:szCs w:val="24"/>
              </w:rPr>
              <w:t>(0.321)</w:t>
            </w:r>
          </w:p>
        </w:tc>
        <w:tc>
          <w:tcPr>
            <w:tcW w:w="1283" w:type="dxa"/>
            <w:tcBorders/>
            <w:shd w:color="auto" w:fill="D9E2F3" w:themeFill="accent1" w:themeFillTint="33" w:val="clear"/>
            <w:vAlign w:val="center"/>
          </w:tcPr>
          <w:p>
            <w:pPr>
              <w:pStyle w:val="ListParagraph"/>
              <w:ind w:left="0" w:hanging="0"/>
              <w:jc w:val="center"/>
              <w:rPr>
                <w:sz w:val="24"/>
                <w:szCs w:val="24"/>
              </w:rPr>
            </w:pPr>
            <w:r>
              <w:rPr>
                <w:sz w:val="24"/>
                <w:szCs w:val="24"/>
              </w:rPr>
              <w:t>-0.325</w:t>
            </w:r>
          </w:p>
          <w:p>
            <w:pPr>
              <w:pStyle w:val="ListParagraph"/>
              <w:spacing w:before="0" w:after="160"/>
              <w:ind w:left="0" w:hanging="0"/>
              <w:contextualSpacing/>
              <w:jc w:val="center"/>
              <w:rPr>
                <w:sz w:val="24"/>
                <w:szCs w:val="24"/>
              </w:rPr>
            </w:pPr>
            <w:r>
              <w:rPr>
                <w:sz w:val="24"/>
                <w:szCs w:val="24"/>
              </w:rPr>
              <w:t>(0.371)</w:t>
            </w:r>
          </w:p>
        </w:tc>
        <w:tc>
          <w:tcPr>
            <w:tcW w:w="1416" w:type="dxa"/>
            <w:tcBorders/>
            <w:shd w:color="auto" w:fill="D9E2F3" w:themeFill="accent1" w:themeFillTint="33" w:val="clear"/>
            <w:vAlign w:val="center"/>
          </w:tcPr>
          <w:p>
            <w:pPr>
              <w:pStyle w:val="ListParagraph"/>
              <w:ind w:left="0" w:hanging="0"/>
              <w:jc w:val="center"/>
              <w:rPr>
                <w:sz w:val="24"/>
                <w:szCs w:val="24"/>
              </w:rPr>
            </w:pPr>
            <w:r>
              <w:rPr>
                <w:sz w:val="24"/>
                <w:szCs w:val="24"/>
              </w:rPr>
              <w:t>- 1.567***</w:t>
            </w:r>
          </w:p>
          <w:p>
            <w:pPr>
              <w:pStyle w:val="ListParagraph"/>
              <w:spacing w:before="0" w:after="160"/>
              <w:ind w:left="0" w:hanging="0"/>
              <w:contextualSpacing/>
              <w:jc w:val="center"/>
              <w:rPr>
                <w:sz w:val="24"/>
                <w:szCs w:val="24"/>
              </w:rPr>
            </w:pPr>
            <w:r>
              <w:rPr>
                <w:sz w:val="24"/>
                <w:szCs w:val="24"/>
              </w:rPr>
              <w:t>(0.486)</w:t>
            </w:r>
          </w:p>
        </w:tc>
        <w:tc>
          <w:tcPr>
            <w:tcW w:w="1418" w:type="dxa"/>
            <w:tcBorders/>
            <w:shd w:color="auto" w:fill="D9E2F3" w:themeFill="accent1" w:themeFillTint="33" w:val="clear"/>
            <w:vAlign w:val="center"/>
          </w:tcPr>
          <w:p>
            <w:pPr>
              <w:pStyle w:val="ListParagraph"/>
              <w:ind w:left="0" w:hanging="0"/>
              <w:jc w:val="center"/>
              <w:rPr>
                <w:sz w:val="24"/>
                <w:szCs w:val="24"/>
              </w:rPr>
            </w:pPr>
            <w:r>
              <w:rPr>
                <w:sz w:val="24"/>
                <w:szCs w:val="24"/>
              </w:rPr>
              <w:t>-1.007**</w:t>
            </w:r>
          </w:p>
          <w:p>
            <w:pPr>
              <w:pStyle w:val="ListParagraph"/>
              <w:spacing w:before="0" w:after="160"/>
              <w:ind w:left="0" w:hanging="0"/>
              <w:contextualSpacing/>
              <w:jc w:val="center"/>
              <w:rPr>
                <w:sz w:val="24"/>
                <w:szCs w:val="24"/>
              </w:rPr>
            </w:pPr>
            <w:r>
              <w:rPr>
                <w:sz w:val="24"/>
                <w:szCs w:val="24"/>
              </w:rPr>
              <w:t>(0.363)</w:t>
            </w:r>
          </w:p>
        </w:tc>
        <w:tc>
          <w:tcPr>
            <w:tcW w:w="1291" w:type="dxa"/>
            <w:tcBorders/>
            <w:shd w:color="auto" w:fill="D9E2F3" w:themeFill="accent1" w:themeFillTint="33" w:val="clear"/>
          </w:tcPr>
          <w:p>
            <w:pPr>
              <w:pStyle w:val="ListParagraph"/>
              <w:ind w:left="0" w:hanging="0"/>
              <w:jc w:val="center"/>
              <w:rPr>
                <w:sz w:val="24"/>
                <w:szCs w:val="24"/>
              </w:rPr>
            </w:pPr>
            <w:r>
              <w:rPr>
                <w:sz w:val="24"/>
                <w:szCs w:val="24"/>
              </w:rPr>
              <w:t>0.741</w:t>
            </w:r>
          </w:p>
          <w:p>
            <w:pPr>
              <w:pStyle w:val="ListParagraph"/>
              <w:spacing w:before="0" w:after="160"/>
              <w:ind w:left="0" w:hanging="0"/>
              <w:contextualSpacing/>
              <w:jc w:val="center"/>
              <w:rPr>
                <w:sz w:val="24"/>
                <w:szCs w:val="24"/>
              </w:rPr>
            </w:pPr>
            <w:r>
              <w:rPr>
                <w:sz w:val="24"/>
                <w:szCs w:val="24"/>
              </w:rPr>
              <w:t>(0.838)</w:t>
            </w:r>
          </w:p>
        </w:tc>
        <w:tc>
          <w:tcPr>
            <w:tcW w:w="1273" w:type="dxa"/>
            <w:tcBorders/>
            <w:shd w:color="auto" w:fill="D9E2F3" w:themeFill="accent1" w:themeFillTint="33" w:val="clear"/>
          </w:tcPr>
          <w:p>
            <w:pPr>
              <w:pStyle w:val="ListParagraph"/>
              <w:ind w:left="0" w:hanging="0"/>
              <w:jc w:val="center"/>
              <w:rPr>
                <w:sz w:val="24"/>
                <w:szCs w:val="24"/>
              </w:rPr>
            </w:pPr>
            <w:r>
              <w:rPr>
                <w:sz w:val="24"/>
                <w:szCs w:val="24"/>
              </w:rPr>
              <w:t>-0.630</w:t>
            </w:r>
          </w:p>
          <w:p>
            <w:pPr>
              <w:pStyle w:val="ListParagraph"/>
              <w:spacing w:before="0" w:after="160"/>
              <w:ind w:left="0" w:hanging="0"/>
              <w:contextualSpacing/>
              <w:jc w:val="center"/>
              <w:rPr>
                <w:sz w:val="24"/>
                <w:szCs w:val="24"/>
              </w:rPr>
            </w:pPr>
            <w:r>
              <w:rPr>
                <w:sz w:val="24"/>
                <w:szCs w:val="24"/>
              </w:rPr>
              <w:t>(0.573)</w:t>
            </w:r>
          </w:p>
        </w:tc>
        <w:tc>
          <w:tcPr>
            <w:tcW w:w="986" w:type="dxa"/>
            <w:tcBorders/>
            <w:shd w:color="auto" w:fill="D9E2F3" w:themeFill="accent1" w:themeFillTint="33" w:val="clear"/>
          </w:tcPr>
          <w:p>
            <w:pPr>
              <w:pStyle w:val="ListParagraph"/>
              <w:ind w:left="0" w:hanging="0"/>
              <w:jc w:val="center"/>
              <w:rPr>
                <w:sz w:val="24"/>
                <w:szCs w:val="24"/>
              </w:rPr>
            </w:pPr>
            <w:r>
              <w:rPr>
                <w:sz w:val="24"/>
                <w:szCs w:val="24"/>
              </w:rPr>
              <w:t>0.304</w:t>
            </w:r>
          </w:p>
          <w:p>
            <w:pPr>
              <w:pStyle w:val="ListParagraph"/>
              <w:spacing w:before="0" w:after="160"/>
              <w:ind w:left="0" w:hanging="0"/>
              <w:contextualSpacing/>
              <w:jc w:val="center"/>
              <w:rPr>
                <w:sz w:val="24"/>
                <w:szCs w:val="24"/>
              </w:rPr>
            </w:pPr>
            <w:r>
              <w:rPr>
                <w:sz w:val="24"/>
                <w:szCs w:val="24"/>
              </w:rPr>
              <w:t>(0.600)</w:t>
            </w:r>
          </w:p>
        </w:tc>
      </w:tr>
      <w:tr>
        <w:trPr>
          <w:trHeight w:val="673" w:hRule="atLeast"/>
        </w:trPr>
        <w:tc>
          <w:tcPr>
            <w:tcW w:w="1411" w:type="dxa"/>
            <w:vMerge w:val="continue"/>
            <w:tcBorders/>
            <w:shd w:color="auto" w:fill="8EAADB" w:themeFill="accent1" w:themeFillTint="99" w:val="clear"/>
            <w:vAlign w:val="center"/>
          </w:tcPr>
          <w:p>
            <w:pPr>
              <w:pStyle w:val="ListParagraph"/>
              <w:spacing w:before="0" w:after="160"/>
              <w:ind w:left="0" w:hanging="0"/>
              <w:contextualSpacing/>
              <w:jc w:val="center"/>
              <w:rPr>
                <w:b/>
                <w:b/>
                <w:sz w:val="24"/>
                <w:szCs w:val="24"/>
              </w:rPr>
            </w:pPr>
            <w:r>
              <w:rPr>
                <w:b/>
                <w:sz w:val="24"/>
                <w:szCs w:val="24"/>
              </w:rPr>
            </w:r>
          </w:p>
        </w:tc>
        <w:tc>
          <w:tcPr>
            <w:tcW w:w="1550" w:type="dxa"/>
            <w:tcBorders>
              <w:left w:val="single" w:sz="12" w:space="0" w:color="00000A"/>
              <w:right w:val="single" w:sz="12" w:space="0" w:color="00000A"/>
              <w:insideV w:val="single" w:sz="12" w:space="0" w:color="00000A"/>
            </w:tcBorders>
            <w:shd w:color="auto" w:fill="8EAADB" w:themeFill="accent1" w:themeFillTint="99" w:val="clear"/>
            <w:vAlign w:val="center"/>
          </w:tcPr>
          <w:p>
            <w:pPr>
              <w:pStyle w:val="ListParagraph"/>
              <w:ind w:left="0" w:hanging="0"/>
              <w:jc w:val="center"/>
              <w:rPr>
                <w:b/>
                <w:b/>
                <w:sz w:val="24"/>
                <w:szCs w:val="24"/>
              </w:rPr>
            </w:pPr>
            <w:r>
              <w:rPr>
                <w:b/>
                <w:sz w:val="24"/>
                <w:szCs w:val="24"/>
              </w:rPr>
              <w:t>Low skill</w:t>
            </w:r>
          </w:p>
          <w:p>
            <w:pPr>
              <w:pStyle w:val="ListParagraph"/>
              <w:spacing w:before="0" w:after="160"/>
              <w:ind w:left="0" w:hanging="0"/>
              <w:contextualSpacing/>
              <w:jc w:val="center"/>
              <w:rPr>
                <w:b/>
                <w:b/>
                <w:sz w:val="24"/>
                <w:szCs w:val="24"/>
              </w:rPr>
            </w:pPr>
            <w:r>
              <w:rPr>
                <w:b/>
                <w:sz w:val="24"/>
                <w:szCs w:val="24"/>
              </w:rPr>
              <w:t>(k-means)</w:t>
            </w:r>
          </w:p>
        </w:tc>
        <w:tc>
          <w:tcPr>
            <w:tcW w:w="1414" w:type="dxa"/>
            <w:tcBorders>
              <w:left w:val="single" w:sz="12" w:space="0" w:color="00000A"/>
            </w:tcBorders>
            <w:shd w:color="auto" w:fill="D9E2F3" w:themeFill="accent1" w:themeFillTint="33" w:val="clear"/>
            <w:vAlign w:val="center"/>
          </w:tcPr>
          <w:p>
            <w:pPr>
              <w:pStyle w:val="ListParagraph"/>
              <w:ind w:left="0" w:hanging="0"/>
              <w:jc w:val="center"/>
              <w:rPr>
                <w:sz w:val="24"/>
                <w:szCs w:val="24"/>
              </w:rPr>
            </w:pPr>
            <w:r>
              <w:rPr>
                <w:sz w:val="24"/>
                <w:szCs w:val="24"/>
              </w:rPr>
              <w:t>0.059</w:t>
            </w:r>
          </w:p>
          <w:p>
            <w:pPr>
              <w:pStyle w:val="ListParagraph"/>
              <w:spacing w:before="0" w:after="160"/>
              <w:ind w:left="0" w:hanging="0"/>
              <w:contextualSpacing/>
              <w:jc w:val="center"/>
              <w:rPr>
                <w:sz w:val="24"/>
                <w:szCs w:val="24"/>
              </w:rPr>
            </w:pPr>
            <w:r>
              <w:rPr>
                <w:sz w:val="24"/>
                <w:szCs w:val="24"/>
              </w:rPr>
              <w:t>(0.171)</w:t>
            </w:r>
          </w:p>
        </w:tc>
        <w:tc>
          <w:tcPr>
            <w:tcW w:w="1283" w:type="dxa"/>
            <w:tcBorders/>
            <w:shd w:color="auto" w:fill="D9E2F3" w:themeFill="accent1" w:themeFillTint="33" w:val="clear"/>
            <w:vAlign w:val="center"/>
          </w:tcPr>
          <w:p>
            <w:pPr>
              <w:pStyle w:val="ListParagraph"/>
              <w:ind w:left="0" w:hanging="0"/>
              <w:jc w:val="center"/>
              <w:rPr>
                <w:sz w:val="24"/>
                <w:szCs w:val="24"/>
              </w:rPr>
            </w:pPr>
            <w:r>
              <w:rPr>
                <w:sz w:val="24"/>
                <w:szCs w:val="24"/>
              </w:rPr>
              <w:t>-0.711**</w:t>
            </w:r>
          </w:p>
          <w:p>
            <w:pPr>
              <w:pStyle w:val="ListParagraph"/>
              <w:spacing w:before="0" w:after="160"/>
              <w:ind w:left="0" w:hanging="0"/>
              <w:contextualSpacing/>
              <w:jc w:val="center"/>
              <w:rPr>
                <w:sz w:val="24"/>
                <w:szCs w:val="24"/>
              </w:rPr>
            </w:pPr>
            <w:r>
              <w:rPr>
                <w:sz w:val="24"/>
                <w:szCs w:val="24"/>
              </w:rPr>
              <w:t>(0.321)</w:t>
            </w:r>
          </w:p>
        </w:tc>
        <w:tc>
          <w:tcPr>
            <w:tcW w:w="1416" w:type="dxa"/>
            <w:tcBorders/>
            <w:shd w:color="auto" w:fill="D9E2F3" w:themeFill="accent1" w:themeFillTint="33" w:val="clear"/>
            <w:vAlign w:val="center"/>
          </w:tcPr>
          <w:p>
            <w:pPr>
              <w:pStyle w:val="ListParagraph"/>
              <w:ind w:left="0" w:hanging="0"/>
              <w:jc w:val="center"/>
              <w:rPr>
                <w:sz w:val="24"/>
                <w:szCs w:val="24"/>
              </w:rPr>
            </w:pPr>
            <w:r>
              <w:rPr>
                <w:sz w:val="24"/>
                <w:szCs w:val="24"/>
              </w:rPr>
              <w:t>-1.861***</w:t>
            </w:r>
          </w:p>
          <w:p>
            <w:pPr>
              <w:pStyle w:val="ListParagraph"/>
              <w:spacing w:before="0" w:after="160"/>
              <w:ind w:left="0" w:hanging="0"/>
              <w:contextualSpacing/>
              <w:jc w:val="center"/>
              <w:rPr>
                <w:sz w:val="24"/>
                <w:szCs w:val="24"/>
              </w:rPr>
            </w:pPr>
            <w:r>
              <w:rPr>
                <w:sz w:val="24"/>
                <w:szCs w:val="24"/>
              </w:rPr>
              <w:t>(0.362)</w:t>
            </w:r>
          </w:p>
        </w:tc>
        <w:tc>
          <w:tcPr>
            <w:tcW w:w="1418" w:type="dxa"/>
            <w:tcBorders/>
            <w:shd w:color="auto" w:fill="D9E2F3" w:themeFill="accent1" w:themeFillTint="33" w:val="clear"/>
            <w:vAlign w:val="center"/>
          </w:tcPr>
          <w:p>
            <w:pPr>
              <w:pStyle w:val="ListParagraph"/>
              <w:ind w:left="0" w:hanging="0"/>
              <w:jc w:val="center"/>
              <w:rPr>
                <w:sz w:val="24"/>
                <w:szCs w:val="24"/>
              </w:rPr>
            </w:pPr>
            <w:r>
              <w:rPr>
                <w:sz w:val="24"/>
                <w:szCs w:val="24"/>
              </w:rPr>
              <w:t>0.020</w:t>
            </w:r>
          </w:p>
          <w:p>
            <w:pPr>
              <w:pStyle w:val="ListParagraph"/>
              <w:spacing w:before="0" w:after="160"/>
              <w:ind w:left="0" w:hanging="0"/>
              <w:contextualSpacing/>
              <w:jc w:val="center"/>
              <w:rPr>
                <w:sz w:val="24"/>
                <w:szCs w:val="24"/>
              </w:rPr>
            </w:pPr>
            <w:r>
              <w:rPr>
                <w:sz w:val="24"/>
                <w:szCs w:val="24"/>
              </w:rPr>
              <w:t>(0.230)</w:t>
            </w:r>
          </w:p>
        </w:tc>
        <w:tc>
          <w:tcPr>
            <w:tcW w:w="1291" w:type="dxa"/>
            <w:tcBorders/>
            <w:shd w:color="auto" w:fill="D9E2F3" w:themeFill="accent1" w:themeFillTint="33" w:val="clear"/>
          </w:tcPr>
          <w:p>
            <w:pPr>
              <w:pStyle w:val="ListParagraph"/>
              <w:ind w:left="0" w:hanging="0"/>
              <w:jc w:val="center"/>
              <w:rPr>
                <w:sz w:val="24"/>
                <w:szCs w:val="24"/>
              </w:rPr>
            </w:pPr>
            <w:r>
              <w:rPr>
                <w:sz w:val="24"/>
                <w:szCs w:val="24"/>
              </w:rPr>
              <w:t>0.093</w:t>
            </w:r>
          </w:p>
          <w:p>
            <w:pPr>
              <w:pStyle w:val="ListParagraph"/>
              <w:spacing w:before="0" w:after="160"/>
              <w:ind w:left="0" w:hanging="0"/>
              <w:contextualSpacing/>
              <w:jc w:val="center"/>
              <w:rPr>
                <w:sz w:val="24"/>
                <w:szCs w:val="24"/>
              </w:rPr>
            </w:pPr>
            <w:r>
              <w:rPr>
                <w:sz w:val="24"/>
                <w:szCs w:val="24"/>
              </w:rPr>
              <w:t>(0.611)</w:t>
            </w:r>
          </w:p>
        </w:tc>
        <w:tc>
          <w:tcPr>
            <w:tcW w:w="1273" w:type="dxa"/>
            <w:tcBorders/>
            <w:shd w:color="auto" w:fill="D9E2F3" w:themeFill="accent1" w:themeFillTint="33" w:val="clear"/>
          </w:tcPr>
          <w:p>
            <w:pPr>
              <w:pStyle w:val="ListParagraph"/>
              <w:ind w:left="0" w:hanging="0"/>
              <w:jc w:val="center"/>
              <w:rPr>
                <w:sz w:val="24"/>
                <w:szCs w:val="24"/>
              </w:rPr>
            </w:pPr>
            <w:r>
              <w:rPr>
                <w:sz w:val="24"/>
                <w:szCs w:val="24"/>
              </w:rPr>
              <w:t>0.026</w:t>
            </w:r>
          </w:p>
          <w:p>
            <w:pPr>
              <w:pStyle w:val="ListParagraph"/>
              <w:spacing w:before="0" w:after="160"/>
              <w:ind w:left="0" w:hanging="0"/>
              <w:contextualSpacing/>
              <w:jc w:val="center"/>
              <w:rPr>
                <w:sz w:val="24"/>
                <w:szCs w:val="24"/>
              </w:rPr>
            </w:pPr>
            <w:r>
              <w:rPr>
                <w:sz w:val="24"/>
                <w:szCs w:val="24"/>
              </w:rPr>
              <w:t>(0.407)</w:t>
            </w:r>
          </w:p>
        </w:tc>
        <w:tc>
          <w:tcPr>
            <w:tcW w:w="986" w:type="dxa"/>
            <w:tcBorders/>
            <w:shd w:color="auto" w:fill="D9E2F3" w:themeFill="accent1" w:themeFillTint="33" w:val="clear"/>
          </w:tcPr>
          <w:p>
            <w:pPr>
              <w:pStyle w:val="ListParagraph"/>
              <w:ind w:left="0" w:hanging="0"/>
              <w:jc w:val="center"/>
              <w:rPr>
                <w:sz w:val="24"/>
                <w:szCs w:val="24"/>
              </w:rPr>
            </w:pPr>
            <w:r>
              <w:rPr>
                <w:sz w:val="24"/>
                <w:szCs w:val="24"/>
              </w:rPr>
              <w:t>-0.736</w:t>
            </w:r>
          </w:p>
          <w:p>
            <w:pPr>
              <w:pStyle w:val="ListParagraph"/>
              <w:spacing w:before="0" w:after="160"/>
              <w:ind w:left="0" w:hanging="0"/>
              <w:contextualSpacing/>
              <w:jc w:val="center"/>
              <w:rPr>
                <w:sz w:val="24"/>
                <w:szCs w:val="24"/>
              </w:rPr>
            </w:pPr>
            <w:r>
              <w:rPr>
                <w:sz w:val="24"/>
                <w:szCs w:val="24"/>
              </w:rPr>
              <w:t>(0.592)</w:t>
            </w:r>
          </w:p>
        </w:tc>
      </w:tr>
      <w:tr>
        <w:trPr>
          <w:trHeight w:val="672" w:hRule="atLeast"/>
        </w:trPr>
        <w:tc>
          <w:tcPr>
            <w:tcW w:w="1411" w:type="dxa"/>
            <w:vMerge w:val="continue"/>
            <w:tcBorders/>
            <w:shd w:color="auto" w:fill="8EAADB" w:themeFill="accent1" w:themeFillTint="99" w:val="clear"/>
            <w:vAlign w:val="center"/>
          </w:tcPr>
          <w:p>
            <w:pPr>
              <w:pStyle w:val="ListParagraph"/>
              <w:spacing w:before="0" w:after="160"/>
              <w:ind w:left="0" w:hanging="0"/>
              <w:contextualSpacing/>
              <w:jc w:val="center"/>
              <w:rPr>
                <w:b/>
                <w:b/>
                <w:sz w:val="24"/>
                <w:szCs w:val="24"/>
              </w:rPr>
            </w:pPr>
            <w:r>
              <w:rPr>
                <w:b/>
                <w:sz w:val="24"/>
                <w:szCs w:val="24"/>
              </w:rPr>
            </w:r>
          </w:p>
        </w:tc>
        <w:tc>
          <w:tcPr>
            <w:tcW w:w="1550" w:type="dxa"/>
            <w:tcBorders>
              <w:left w:val="single" w:sz="12" w:space="0" w:color="00000A"/>
              <w:right w:val="single" w:sz="12" w:space="0" w:color="00000A"/>
              <w:insideV w:val="single" w:sz="12" w:space="0" w:color="00000A"/>
            </w:tcBorders>
            <w:shd w:color="auto" w:fill="8EAADB" w:themeFill="accent1" w:themeFillTint="99" w:val="clear"/>
            <w:vAlign w:val="center"/>
          </w:tcPr>
          <w:p>
            <w:pPr>
              <w:pStyle w:val="ListParagraph"/>
              <w:ind w:left="0" w:hanging="0"/>
              <w:jc w:val="center"/>
              <w:rPr>
                <w:b/>
                <w:b/>
                <w:sz w:val="24"/>
                <w:szCs w:val="24"/>
              </w:rPr>
            </w:pPr>
            <w:r>
              <w:rPr>
                <w:b/>
                <w:sz w:val="24"/>
                <w:szCs w:val="24"/>
              </w:rPr>
              <w:t>High skill</w:t>
            </w:r>
          </w:p>
          <w:p>
            <w:pPr>
              <w:pStyle w:val="ListParagraph"/>
              <w:spacing w:before="0" w:after="160"/>
              <w:ind w:left="0" w:hanging="0"/>
              <w:contextualSpacing/>
              <w:jc w:val="center"/>
              <w:rPr>
                <w:b/>
                <w:b/>
                <w:sz w:val="24"/>
                <w:szCs w:val="24"/>
              </w:rPr>
            </w:pPr>
            <w:r>
              <w:rPr>
                <w:b/>
                <w:sz w:val="24"/>
                <w:szCs w:val="24"/>
              </w:rPr>
              <w:t>(t-stat)</w:t>
            </w:r>
          </w:p>
        </w:tc>
        <w:tc>
          <w:tcPr>
            <w:tcW w:w="1414" w:type="dxa"/>
            <w:tcBorders>
              <w:left w:val="single" w:sz="12" w:space="0" w:color="00000A"/>
            </w:tcBorders>
            <w:shd w:color="auto" w:fill="D9E2F3" w:themeFill="accent1" w:themeFillTint="33" w:val="clear"/>
            <w:vAlign w:val="center"/>
          </w:tcPr>
          <w:p>
            <w:pPr>
              <w:pStyle w:val="ListParagraph"/>
              <w:ind w:left="0" w:hanging="0"/>
              <w:jc w:val="center"/>
              <w:rPr>
                <w:sz w:val="24"/>
                <w:szCs w:val="24"/>
              </w:rPr>
            </w:pPr>
            <w:r>
              <w:rPr>
                <w:sz w:val="24"/>
                <w:szCs w:val="24"/>
              </w:rPr>
              <w:t>2.531***</w:t>
            </w:r>
          </w:p>
          <w:p>
            <w:pPr>
              <w:pStyle w:val="ListParagraph"/>
              <w:spacing w:before="0" w:after="160"/>
              <w:ind w:left="0" w:hanging="0"/>
              <w:contextualSpacing/>
              <w:jc w:val="center"/>
              <w:rPr>
                <w:sz w:val="24"/>
                <w:szCs w:val="24"/>
              </w:rPr>
            </w:pPr>
            <w:r>
              <w:rPr>
                <w:sz w:val="24"/>
                <w:szCs w:val="24"/>
              </w:rPr>
              <w:t>(0.426)</w:t>
            </w:r>
          </w:p>
        </w:tc>
        <w:tc>
          <w:tcPr>
            <w:tcW w:w="1283" w:type="dxa"/>
            <w:tcBorders/>
            <w:shd w:color="auto" w:fill="D9E2F3" w:themeFill="accent1" w:themeFillTint="33" w:val="clear"/>
            <w:vAlign w:val="center"/>
          </w:tcPr>
          <w:p>
            <w:pPr>
              <w:pStyle w:val="ListParagraph"/>
              <w:ind w:left="0" w:hanging="0"/>
              <w:jc w:val="center"/>
              <w:rPr>
                <w:sz w:val="24"/>
                <w:szCs w:val="24"/>
              </w:rPr>
            </w:pPr>
            <w:r>
              <w:rPr>
                <w:sz w:val="24"/>
                <w:szCs w:val="24"/>
              </w:rPr>
              <w:t>0.503</w:t>
            </w:r>
          </w:p>
          <w:p>
            <w:pPr>
              <w:pStyle w:val="ListParagraph"/>
              <w:spacing w:before="0" w:after="160"/>
              <w:ind w:left="0" w:hanging="0"/>
              <w:contextualSpacing/>
              <w:jc w:val="center"/>
              <w:rPr>
                <w:sz w:val="24"/>
                <w:szCs w:val="24"/>
              </w:rPr>
            </w:pPr>
            <w:r>
              <w:rPr>
                <w:sz w:val="24"/>
                <w:szCs w:val="24"/>
              </w:rPr>
              <w:t>(0.549)</w:t>
            </w:r>
          </w:p>
        </w:tc>
        <w:tc>
          <w:tcPr>
            <w:tcW w:w="1416" w:type="dxa"/>
            <w:tcBorders/>
            <w:shd w:color="auto" w:fill="D9E2F3" w:themeFill="accent1" w:themeFillTint="33" w:val="clear"/>
            <w:vAlign w:val="center"/>
          </w:tcPr>
          <w:p>
            <w:pPr>
              <w:pStyle w:val="ListParagraph"/>
              <w:ind w:left="0" w:hanging="0"/>
              <w:jc w:val="center"/>
              <w:rPr>
                <w:sz w:val="24"/>
                <w:szCs w:val="24"/>
              </w:rPr>
            </w:pPr>
            <w:r>
              <w:rPr>
                <w:sz w:val="24"/>
                <w:szCs w:val="24"/>
              </w:rPr>
              <w:t>-0.688</w:t>
            </w:r>
          </w:p>
          <w:p>
            <w:pPr>
              <w:pStyle w:val="ListParagraph"/>
              <w:spacing w:before="0" w:after="160"/>
              <w:ind w:left="0" w:hanging="0"/>
              <w:contextualSpacing/>
              <w:jc w:val="center"/>
              <w:rPr>
                <w:sz w:val="24"/>
                <w:szCs w:val="24"/>
              </w:rPr>
            </w:pPr>
            <w:r>
              <w:rPr>
                <w:sz w:val="24"/>
                <w:szCs w:val="24"/>
              </w:rPr>
              <w:t>(0.669)</w:t>
            </w:r>
          </w:p>
        </w:tc>
        <w:tc>
          <w:tcPr>
            <w:tcW w:w="1418" w:type="dxa"/>
            <w:tcBorders/>
            <w:shd w:color="auto" w:fill="D9E2F3" w:themeFill="accent1" w:themeFillTint="33" w:val="clear"/>
            <w:vAlign w:val="center"/>
          </w:tcPr>
          <w:p>
            <w:pPr>
              <w:pStyle w:val="ListParagraph"/>
              <w:ind w:left="0" w:hanging="0"/>
              <w:jc w:val="center"/>
              <w:rPr>
                <w:sz w:val="24"/>
                <w:szCs w:val="24"/>
              </w:rPr>
            </w:pPr>
            <w:r>
              <w:rPr>
                <w:sz w:val="24"/>
                <w:szCs w:val="24"/>
              </w:rPr>
              <w:t>-1.010**</w:t>
            </w:r>
          </w:p>
          <w:p>
            <w:pPr>
              <w:pStyle w:val="ListParagraph"/>
              <w:spacing w:before="0" w:after="160"/>
              <w:ind w:left="0" w:hanging="0"/>
              <w:contextualSpacing/>
              <w:jc w:val="center"/>
              <w:rPr>
                <w:sz w:val="24"/>
                <w:szCs w:val="24"/>
              </w:rPr>
            </w:pPr>
            <w:r>
              <w:rPr>
                <w:sz w:val="24"/>
                <w:szCs w:val="24"/>
              </w:rPr>
              <w:t>(0.478)</w:t>
            </w:r>
          </w:p>
        </w:tc>
        <w:tc>
          <w:tcPr>
            <w:tcW w:w="1291" w:type="dxa"/>
            <w:tcBorders/>
            <w:shd w:color="auto" w:fill="D9E2F3" w:themeFill="accent1" w:themeFillTint="33" w:val="clear"/>
          </w:tcPr>
          <w:p>
            <w:pPr>
              <w:pStyle w:val="ListParagraph"/>
              <w:ind w:left="0" w:hanging="0"/>
              <w:jc w:val="center"/>
              <w:rPr>
                <w:sz w:val="24"/>
                <w:szCs w:val="24"/>
              </w:rPr>
            </w:pPr>
            <w:r>
              <w:rPr>
                <w:sz w:val="24"/>
                <w:szCs w:val="24"/>
              </w:rPr>
              <w:t>-2.053*</w:t>
            </w:r>
          </w:p>
          <w:p>
            <w:pPr>
              <w:pStyle w:val="ListParagraph"/>
              <w:spacing w:before="0" w:after="160"/>
              <w:ind w:left="0" w:hanging="0"/>
              <w:contextualSpacing/>
              <w:jc w:val="center"/>
              <w:rPr>
                <w:sz w:val="24"/>
                <w:szCs w:val="24"/>
              </w:rPr>
            </w:pPr>
            <w:r>
              <w:rPr>
                <w:sz w:val="24"/>
                <w:szCs w:val="24"/>
              </w:rPr>
              <w:t>(1.090)</w:t>
            </w:r>
          </w:p>
        </w:tc>
        <w:tc>
          <w:tcPr>
            <w:tcW w:w="1273" w:type="dxa"/>
            <w:tcBorders/>
            <w:shd w:color="auto" w:fill="D9E2F3" w:themeFill="accent1" w:themeFillTint="33" w:val="clear"/>
          </w:tcPr>
          <w:p>
            <w:pPr>
              <w:pStyle w:val="ListParagraph"/>
              <w:ind w:left="0" w:hanging="0"/>
              <w:jc w:val="center"/>
              <w:rPr>
                <w:sz w:val="24"/>
                <w:szCs w:val="24"/>
              </w:rPr>
            </w:pPr>
            <w:r>
              <w:rPr>
                <w:sz w:val="24"/>
                <w:szCs w:val="24"/>
              </w:rPr>
              <w:t>1.378*</w:t>
            </w:r>
          </w:p>
          <w:p>
            <w:pPr>
              <w:pStyle w:val="ListParagraph"/>
              <w:spacing w:before="0" w:after="160"/>
              <w:ind w:left="0" w:hanging="0"/>
              <w:contextualSpacing/>
              <w:jc w:val="center"/>
              <w:rPr>
                <w:sz w:val="24"/>
                <w:szCs w:val="24"/>
              </w:rPr>
            </w:pPr>
            <w:r>
              <w:rPr>
                <w:sz w:val="24"/>
                <w:szCs w:val="24"/>
              </w:rPr>
              <w:t>(0.785)</w:t>
            </w:r>
          </w:p>
        </w:tc>
        <w:tc>
          <w:tcPr>
            <w:tcW w:w="986" w:type="dxa"/>
            <w:tcBorders/>
            <w:shd w:color="auto" w:fill="D9E2F3" w:themeFill="accent1" w:themeFillTint="33" w:val="clear"/>
          </w:tcPr>
          <w:p>
            <w:pPr>
              <w:pStyle w:val="ListParagraph"/>
              <w:ind w:left="0" w:hanging="0"/>
              <w:jc w:val="center"/>
              <w:rPr>
                <w:sz w:val="24"/>
                <w:szCs w:val="24"/>
              </w:rPr>
            </w:pPr>
            <w:r>
              <w:rPr>
                <w:sz w:val="24"/>
                <w:szCs w:val="24"/>
              </w:rPr>
              <w:t>-0.875</w:t>
            </w:r>
          </w:p>
          <w:p>
            <w:pPr>
              <w:pStyle w:val="ListParagraph"/>
              <w:spacing w:before="0" w:after="160"/>
              <w:ind w:left="0" w:hanging="0"/>
              <w:contextualSpacing/>
              <w:jc w:val="center"/>
              <w:rPr>
                <w:sz w:val="24"/>
                <w:szCs w:val="24"/>
              </w:rPr>
            </w:pPr>
            <w:r>
              <w:rPr>
                <w:sz w:val="24"/>
                <w:szCs w:val="24"/>
              </w:rPr>
              <w:t>(0.943)</w:t>
            </w:r>
          </w:p>
        </w:tc>
      </w:tr>
      <w:tr>
        <w:trPr>
          <w:trHeight w:val="688" w:hRule="atLeast"/>
        </w:trPr>
        <w:tc>
          <w:tcPr>
            <w:tcW w:w="1411" w:type="dxa"/>
            <w:vMerge w:val="continue"/>
            <w:tcBorders/>
            <w:shd w:color="auto" w:fill="8EAADB" w:themeFill="accent1" w:themeFillTint="99" w:val="clear"/>
            <w:vAlign w:val="center"/>
          </w:tcPr>
          <w:p>
            <w:pPr>
              <w:pStyle w:val="ListParagraph"/>
              <w:spacing w:before="0" w:after="160"/>
              <w:ind w:left="0" w:hanging="0"/>
              <w:contextualSpacing/>
              <w:jc w:val="center"/>
              <w:rPr>
                <w:b/>
                <w:b/>
                <w:sz w:val="24"/>
                <w:szCs w:val="24"/>
              </w:rPr>
            </w:pPr>
            <w:r>
              <w:rPr>
                <w:b/>
                <w:sz w:val="24"/>
                <w:szCs w:val="24"/>
              </w:rPr>
            </w:r>
          </w:p>
        </w:tc>
        <w:tc>
          <w:tcPr>
            <w:tcW w:w="1550" w:type="dxa"/>
            <w:tcBorders>
              <w:left w:val="single" w:sz="12" w:space="0" w:color="00000A"/>
              <w:right w:val="single" w:sz="12" w:space="0" w:color="00000A"/>
              <w:insideV w:val="single" w:sz="12" w:space="0" w:color="00000A"/>
            </w:tcBorders>
            <w:shd w:color="auto" w:fill="8EAADB" w:themeFill="accent1" w:themeFillTint="99" w:val="clear"/>
            <w:vAlign w:val="center"/>
          </w:tcPr>
          <w:p>
            <w:pPr>
              <w:pStyle w:val="ListParagraph"/>
              <w:ind w:left="0" w:hanging="0"/>
              <w:jc w:val="center"/>
              <w:rPr>
                <w:b/>
                <w:b/>
                <w:sz w:val="24"/>
                <w:szCs w:val="24"/>
              </w:rPr>
            </w:pPr>
            <w:r>
              <w:rPr>
                <w:b/>
                <w:sz w:val="24"/>
                <w:szCs w:val="24"/>
              </w:rPr>
              <w:t>Low skill</w:t>
            </w:r>
          </w:p>
          <w:p>
            <w:pPr>
              <w:pStyle w:val="ListParagraph"/>
              <w:spacing w:before="0" w:after="160"/>
              <w:ind w:left="0" w:hanging="0"/>
              <w:contextualSpacing/>
              <w:jc w:val="center"/>
              <w:rPr>
                <w:b/>
                <w:b/>
                <w:sz w:val="24"/>
                <w:szCs w:val="24"/>
              </w:rPr>
            </w:pPr>
            <w:r>
              <w:rPr>
                <w:b/>
                <w:sz w:val="24"/>
                <w:szCs w:val="24"/>
              </w:rPr>
              <w:t>(t-stat)</w:t>
            </w:r>
          </w:p>
        </w:tc>
        <w:tc>
          <w:tcPr>
            <w:tcW w:w="1414" w:type="dxa"/>
            <w:tcBorders>
              <w:left w:val="single" w:sz="12" w:space="0" w:color="00000A"/>
            </w:tcBorders>
            <w:shd w:color="auto" w:fill="D9E2F3" w:themeFill="accent1" w:themeFillTint="33" w:val="clear"/>
            <w:vAlign w:val="center"/>
          </w:tcPr>
          <w:p>
            <w:pPr>
              <w:pStyle w:val="ListParagraph"/>
              <w:ind w:left="0" w:hanging="0"/>
              <w:jc w:val="center"/>
              <w:rPr>
                <w:sz w:val="24"/>
                <w:szCs w:val="24"/>
              </w:rPr>
            </w:pPr>
            <w:r>
              <w:rPr>
                <w:sz w:val="24"/>
                <w:szCs w:val="24"/>
              </w:rPr>
              <w:t>0.287*</w:t>
            </w:r>
          </w:p>
          <w:p>
            <w:pPr>
              <w:pStyle w:val="ListParagraph"/>
              <w:spacing w:before="0" w:after="160"/>
              <w:ind w:left="0" w:hanging="0"/>
              <w:contextualSpacing/>
              <w:jc w:val="center"/>
              <w:rPr>
                <w:sz w:val="24"/>
                <w:szCs w:val="24"/>
              </w:rPr>
            </w:pPr>
            <w:r>
              <w:rPr>
                <w:sz w:val="24"/>
                <w:szCs w:val="24"/>
              </w:rPr>
              <w:t>(0.162)</w:t>
            </w:r>
          </w:p>
        </w:tc>
        <w:tc>
          <w:tcPr>
            <w:tcW w:w="1283" w:type="dxa"/>
            <w:tcBorders/>
            <w:shd w:color="auto" w:fill="D9E2F3" w:themeFill="accent1" w:themeFillTint="33" w:val="clear"/>
            <w:vAlign w:val="center"/>
          </w:tcPr>
          <w:p>
            <w:pPr>
              <w:pStyle w:val="ListParagraph"/>
              <w:ind w:left="0" w:hanging="0"/>
              <w:jc w:val="center"/>
              <w:rPr>
                <w:sz w:val="24"/>
                <w:szCs w:val="24"/>
              </w:rPr>
            </w:pPr>
            <w:r>
              <w:rPr>
                <w:sz w:val="24"/>
                <w:szCs w:val="24"/>
              </w:rPr>
              <w:t>-0.653**</w:t>
            </w:r>
          </w:p>
          <w:p>
            <w:pPr>
              <w:pStyle w:val="ListParagraph"/>
              <w:spacing w:before="0" w:after="160"/>
              <w:ind w:left="0" w:hanging="0"/>
              <w:contextualSpacing/>
              <w:jc w:val="center"/>
              <w:rPr>
                <w:sz w:val="24"/>
                <w:szCs w:val="24"/>
              </w:rPr>
            </w:pPr>
            <w:r>
              <w:rPr>
                <w:sz w:val="24"/>
                <w:szCs w:val="24"/>
              </w:rPr>
              <w:t>(0.267)</w:t>
            </w:r>
          </w:p>
        </w:tc>
        <w:tc>
          <w:tcPr>
            <w:tcW w:w="1416" w:type="dxa"/>
            <w:tcBorders/>
            <w:shd w:color="auto" w:fill="D9E2F3" w:themeFill="accent1" w:themeFillTint="33" w:val="clear"/>
            <w:vAlign w:val="center"/>
          </w:tcPr>
          <w:p>
            <w:pPr>
              <w:pStyle w:val="ListParagraph"/>
              <w:ind w:left="0" w:hanging="0"/>
              <w:jc w:val="center"/>
              <w:rPr>
                <w:sz w:val="24"/>
                <w:szCs w:val="24"/>
              </w:rPr>
            </w:pPr>
            <w:r>
              <w:rPr>
                <w:sz w:val="24"/>
                <w:szCs w:val="24"/>
              </w:rPr>
              <w:t>-1.675***</w:t>
            </w:r>
          </w:p>
          <w:p>
            <w:pPr>
              <w:pStyle w:val="ListParagraph"/>
              <w:spacing w:before="0" w:after="160"/>
              <w:ind w:left="0" w:hanging="0"/>
              <w:contextualSpacing/>
              <w:jc w:val="center"/>
              <w:rPr>
                <w:sz w:val="24"/>
                <w:szCs w:val="24"/>
              </w:rPr>
            </w:pPr>
            <w:r>
              <w:rPr>
                <w:sz w:val="24"/>
                <w:szCs w:val="24"/>
              </w:rPr>
              <w:t>(0.316)</w:t>
            </w:r>
          </w:p>
        </w:tc>
        <w:tc>
          <w:tcPr>
            <w:tcW w:w="1418" w:type="dxa"/>
            <w:tcBorders/>
            <w:shd w:color="auto" w:fill="D9E2F3" w:themeFill="accent1" w:themeFillTint="33" w:val="clear"/>
            <w:vAlign w:val="center"/>
          </w:tcPr>
          <w:p>
            <w:pPr>
              <w:pStyle w:val="ListParagraph"/>
              <w:ind w:left="0" w:hanging="0"/>
              <w:jc w:val="center"/>
              <w:rPr>
                <w:sz w:val="24"/>
                <w:szCs w:val="24"/>
              </w:rPr>
            </w:pPr>
            <w:r>
              <w:rPr>
                <w:sz w:val="24"/>
                <w:szCs w:val="24"/>
              </w:rPr>
              <w:t>0.003</w:t>
            </w:r>
          </w:p>
          <w:p>
            <w:pPr>
              <w:pStyle w:val="ListParagraph"/>
              <w:spacing w:before="0" w:after="160"/>
              <w:ind w:left="0" w:hanging="0"/>
              <w:contextualSpacing/>
              <w:jc w:val="center"/>
              <w:rPr>
                <w:sz w:val="24"/>
                <w:szCs w:val="24"/>
              </w:rPr>
            </w:pPr>
            <w:r>
              <w:rPr>
                <w:sz w:val="24"/>
                <w:szCs w:val="24"/>
              </w:rPr>
              <w:t>(0.210)</w:t>
            </w:r>
          </w:p>
        </w:tc>
        <w:tc>
          <w:tcPr>
            <w:tcW w:w="1291" w:type="dxa"/>
            <w:tcBorders/>
            <w:shd w:color="auto" w:fill="D9E2F3" w:themeFill="accent1" w:themeFillTint="33" w:val="clear"/>
          </w:tcPr>
          <w:p>
            <w:pPr>
              <w:pStyle w:val="ListParagraph"/>
              <w:ind w:left="0" w:hanging="0"/>
              <w:jc w:val="center"/>
              <w:rPr>
                <w:sz w:val="24"/>
                <w:szCs w:val="24"/>
              </w:rPr>
            </w:pPr>
            <w:r>
              <w:rPr>
                <w:sz w:val="24"/>
                <w:szCs w:val="24"/>
              </w:rPr>
              <w:t>0.474</w:t>
            </w:r>
          </w:p>
          <w:p>
            <w:pPr>
              <w:pStyle w:val="ListParagraph"/>
              <w:spacing w:before="0" w:after="160"/>
              <w:ind w:left="0" w:hanging="0"/>
              <w:contextualSpacing/>
              <w:jc w:val="center"/>
              <w:rPr>
                <w:sz w:val="24"/>
                <w:szCs w:val="24"/>
              </w:rPr>
            </w:pPr>
            <w:r>
              <w:rPr>
                <w:sz w:val="24"/>
                <w:szCs w:val="24"/>
              </w:rPr>
              <w:t>(0.529)</w:t>
            </w:r>
          </w:p>
        </w:tc>
        <w:tc>
          <w:tcPr>
            <w:tcW w:w="1273" w:type="dxa"/>
            <w:tcBorders/>
            <w:shd w:color="auto" w:fill="D9E2F3" w:themeFill="accent1" w:themeFillTint="33" w:val="clear"/>
          </w:tcPr>
          <w:p>
            <w:pPr>
              <w:pStyle w:val="ListParagraph"/>
              <w:ind w:left="0" w:hanging="0"/>
              <w:jc w:val="center"/>
              <w:rPr>
                <w:sz w:val="24"/>
                <w:szCs w:val="24"/>
              </w:rPr>
            </w:pPr>
            <w:r>
              <w:rPr>
                <w:sz w:val="24"/>
                <w:szCs w:val="24"/>
              </w:rPr>
              <w:t>-0.270</w:t>
            </w:r>
          </w:p>
          <w:p>
            <w:pPr>
              <w:pStyle w:val="ListParagraph"/>
              <w:spacing w:before="0" w:after="160"/>
              <w:ind w:left="0" w:hanging="0"/>
              <w:contextualSpacing/>
              <w:jc w:val="center"/>
              <w:rPr>
                <w:sz w:val="24"/>
                <w:szCs w:val="24"/>
              </w:rPr>
            </w:pPr>
            <w:r>
              <w:rPr>
                <w:sz w:val="24"/>
                <w:szCs w:val="24"/>
              </w:rPr>
              <w:t>(0.355)</w:t>
            </w:r>
          </w:p>
        </w:tc>
        <w:tc>
          <w:tcPr>
            <w:tcW w:w="986" w:type="dxa"/>
            <w:tcBorders/>
            <w:shd w:color="auto" w:fill="D9E2F3" w:themeFill="accent1" w:themeFillTint="33" w:val="clear"/>
          </w:tcPr>
          <w:p>
            <w:pPr>
              <w:pStyle w:val="ListParagraph"/>
              <w:ind w:left="0" w:hanging="0"/>
              <w:jc w:val="center"/>
              <w:rPr>
                <w:sz w:val="24"/>
                <w:szCs w:val="24"/>
              </w:rPr>
            </w:pPr>
            <w:r>
              <w:rPr>
                <w:sz w:val="24"/>
                <w:szCs w:val="24"/>
              </w:rPr>
              <w:t>-0.383</w:t>
            </w:r>
          </w:p>
          <w:p>
            <w:pPr>
              <w:pStyle w:val="ListParagraph"/>
              <w:spacing w:before="0" w:after="160"/>
              <w:ind w:left="0" w:hanging="0"/>
              <w:contextualSpacing/>
              <w:jc w:val="center"/>
              <w:rPr>
                <w:sz w:val="24"/>
                <w:szCs w:val="24"/>
              </w:rPr>
            </w:pPr>
            <w:r>
              <w:rPr>
                <w:sz w:val="24"/>
                <w:szCs w:val="24"/>
              </w:rPr>
              <w:t>(0.480)</w:t>
            </w:r>
          </w:p>
        </w:tc>
      </w:tr>
      <w:tr>
        <w:trPr>
          <w:trHeight w:val="656" w:hRule="atLeast"/>
        </w:trPr>
        <w:tc>
          <w:tcPr>
            <w:tcW w:w="1411" w:type="dxa"/>
            <w:tcBorders/>
            <w:shd w:color="auto" w:fill="8EAADB" w:themeFill="accent1" w:themeFillTint="99" w:val="clear"/>
            <w:vAlign w:val="center"/>
          </w:tcPr>
          <w:p>
            <w:pPr>
              <w:pStyle w:val="ListParagraph"/>
              <w:ind w:left="0" w:hanging="0"/>
              <w:jc w:val="center"/>
              <w:rPr>
                <w:b/>
                <w:b/>
                <w:sz w:val="24"/>
                <w:szCs w:val="24"/>
              </w:rPr>
            </w:pPr>
            <w:r>
              <w:rPr>
                <w:b/>
                <w:sz w:val="24"/>
                <w:szCs w:val="24"/>
              </w:rPr>
              <w:t>Ephemeral</w:t>
            </w:r>
          </w:p>
          <w:p>
            <w:pPr>
              <w:pStyle w:val="ListParagraph"/>
              <w:spacing w:before="0" w:after="160"/>
              <w:ind w:left="0" w:hanging="0"/>
              <w:contextualSpacing/>
              <w:jc w:val="center"/>
              <w:rPr>
                <w:b/>
                <w:b/>
                <w:sz w:val="24"/>
                <w:szCs w:val="24"/>
              </w:rPr>
            </w:pPr>
            <w:r>
              <w:rPr>
                <w:b/>
                <w:sz w:val="24"/>
                <w:szCs w:val="24"/>
              </w:rPr>
              <w:t>Players</w:t>
            </w:r>
          </w:p>
        </w:tc>
        <w:tc>
          <w:tcPr>
            <w:tcW w:w="1550" w:type="dxa"/>
            <w:tcBorders>
              <w:left w:val="single" w:sz="12" w:space="0" w:color="00000A"/>
              <w:right w:val="single" w:sz="12" w:space="0" w:color="00000A"/>
              <w:insideV w:val="single" w:sz="12" w:space="0" w:color="00000A"/>
            </w:tcBorders>
            <w:shd w:color="auto" w:fill="8EAADB" w:themeFill="accent1" w:themeFillTint="99" w:val="clear"/>
            <w:vAlign w:val="center"/>
          </w:tcPr>
          <w:p>
            <w:pPr>
              <w:pStyle w:val="ListParagraph"/>
              <w:spacing w:before="0" w:after="160"/>
              <w:ind w:left="0" w:hanging="0"/>
              <w:contextualSpacing/>
              <w:jc w:val="center"/>
              <w:rPr>
                <w:sz w:val="24"/>
                <w:szCs w:val="24"/>
              </w:rPr>
            </w:pPr>
            <w:r>
              <w:rPr>
                <w:sz w:val="24"/>
                <w:szCs w:val="24"/>
              </w:rPr>
            </w:r>
          </w:p>
        </w:tc>
        <w:tc>
          <w:tcPr>
            <w:tcW w:w="1414" w:type="dxa"/>
            <w:tcBorders>
              <w:left w:val="single" w:sz="12" w:space="0" w:color="00000A"/>
            </w:tcBorders>
            <w:shd w:color="auto" w:fill="D9E2F3" w:themeFill="accent1" w:themeFillTint="33" w:val="clear"/>
            <w:vAlign w:val="center"/>
          </w:tcPr>
          <w:p>
            <w:pPr>
              <w:pStyle w:val="ListParagraph"/>
              <w:ind w:left="0" w:hanging="0"/>
              <w:jc w:val="center"/>
              <w:rPr>
                <w:sz w:val="24"/>
                <w:szCs w:val="24"/>
              </w:rPr>
            </w:pPr>
            <w:r>
              <w:rPr>
                <w:sz w:val="24"/>
                <w:szCs w:val="24"/>
              </w:rPr>
              <w:t>-3.492***</w:t>
            </w:r>
          </w:p>
          <w:p>
            <w:pPr>
              <w:pStyle w:val="ListParagraph"/>
              <w:spacing w:before="0" w:after="160"/>
              <w:ind w:left="0" w:hanging="0"/>
              <w:contextualSpacing/>
              <w:jc w:val="center"/>
              <w:rPr>
                <w:sz w:val="24"/>
                <w:szCs w:val="24"/>
              </w:rPr>
            </w:pPr>
            <w:r>
              <w:rPr>
                <w:sz w:val="24"/>
                <w:szCs w:val="24"/>
              </w:rPr>
              <w:t>(0.318)</w:t>
            </w:r>
          </w:p>
        </w:tc>
        <w:tc>
          <w:tcPr>
            <w:tcW w:w="1283" w:type="dxa"/>
            <w:tcBorders/>
            <w:shd w:color="auto" w:fill="D9E2F3" w:themeFill="accent1" w:themeFillTint="33" w:val="clear"/>
            <w:vAlign w:val="center"/>
          </w:tcPr>
          <w:p>
            <w:pPr>
              <w:pStyle w:val="ListParagraph"/>
              <w:ind w:left="0" w:hanging="0"/>
              <w:jc w:val="center"/>
              <w:rPr>
                <w:sz w:val="24"/>
                <w:szCs w:val="24"/>
              </w:rPr>
            </w:pPr>
            <w:r>
              <w:rPr>
                <w:sz w:val="24"/>
                <w:szCs w:val="24"/>
              </w:rPr>
              <w:t>0.000</w:t>
            </w:r>
          </w:p>
          <w:p>
            <w:pPr>
              <w:pStyle w:val="ListParagraph"/>
              <w:spacing w:before="0" w:after="160"/>
              <w:ind w:left="0" w:hanging="0"/>
              <w:contextualSpacing/>
              <w:jc w:val="center"/>
              <w:rPr>
                <w:sz w:val="24"/>
                <w:szCs w:val="24"/>
              </w:rPr>
            </w:pPr>
            <w:r>
              <w:rPr>
                <w:sz w:val="24"/>
                <w:szCs w:val="24"/>
              </w:rPr>
              <w:t>(0.000)</w:t>
            </w:r>
          </w:p>
        </w:tc>
        <w:tc>
          <w:tcPr>
            <w:tcW w:w="1416" w:type="dxa"/>
            <w:tcBorders/>
            <w:shd w:color="auto" w:fill="D9E2F3" w:themeFill="accent1" w:themeFillTint="33" w:val="clear"/>
            <w:vAlign w:val="center"/>
          </w:tcPr>
          <w:p>
            <w:pPr>
              <w:pStyle w:val="ListParagraph"/>
              <w:ind w:left="0" w:hanging="0"/>
              <w:jc w:val="center"/>
              <w:rPr>
                <w:sz w:val="24"/>
                <w:szCs w:val="24"/>
              </w:rPr>
            </w:pPr>
            <w:r>
              <w:rPr>
                <w:sz w:val="24"/>
                <w:szCs w:val="24"/>
              </w:rPr>
              <w:t>0.369</w:t>
            </w:r>
          </w:p>
          <w:p>
            <w:pPr>
              <w:pStyle w:val="ListParagraph"/>
              <w:spacing w:before="0" w:after="160"/>
              <w:ind w:left="0" w:hanging="0"/>
              <w:contextualSpacing/>
              <w:jc w:val="center"/>
              <w:rPr>
                <w:sz w:val="24"/>
                <w:szCs w:val="24"/>
              </w:rPr>
            </w:pPr>
            <w:r>
              <w:rPr>
                <w:sz w:val="24"/>
                <w:szCs w:val="24"/>
              </w:rPr>
              <w:t>(0.564)</w:t>
            </w:r>
          </w:p>
        </w:tc>
        <w:tc>
          <w:tcPr>
            <w:tcW w:w="1418" w:type="dxa"/>
            <w:tcBorders/>
            <w:shd w:color="auto" w:fill="D9E2F3" w:themeFill="accent1" w:themeFillTint="33" w:val="clear"/>
            <w:vAlign w:val="center"/>
          </w:tcPr>
          <w:p>
            <w:pPr>
              <w:pStyle w:val="ListParagraph"/>
              <w:ind w:left="0" w:hanging="0"/>
              <w:jc w:val="center"/>
              <w:rPr>
                <w:sz w:val="24"/>
                <w:szCs w:val="24"/>
              </w:rPr>
            </w:pPr>
            <w:r>
              <w:rPr>
                <w:sz w:val="24"/>
                <w:szCs w:val="24"/>
              </w:rPr>
              <w:t>0.642</w:t>
            </w:r>
          </w:p>
          <w:p>
            <w:pPr>
              <w:pStyle w:val="ListParagraph"/>
              <w:spacing w:before="0" w:after="160"/>
              <w:ind w:left="0" w:hanging="0"/>
              <w:contextualSpacing/>
              <w:jc w:val="center"/>
              <w:rPr>
                <w:sz w:val="24"/>
                <w:szCs w:val="24"/>
              </w:rPr>
            </w:pPr>
            <w:r>
              <w:rPr>
                <w:sz w:val="24"/>
                <w:szCs w:val="24"/>
              </w:rPr>
              <w:t>(0.391)</w:t>
            </w:r>
          </w:p>
        </w:tc>
        <w:tc>
          <w:tcPr>
            <w:tcW w:w="1291" w:type="dxa"/>
            <w:tcBorders/>
            <w:shd w:color="auto" w:fill="D9E2F3" w:themeFill="accent1" w:themeFillTint="33" w:val="clear"/>
          </w:tcPr>
          <w:p>
            <w:pPr>
              <w:pStyle w:val="ListParagraph"/>
              <w:ind w:left="0" w:hanging="0"/>
              <w:jc w:val="center"/>
              <w:rPr>
                <w:sz w:val="24"/>
                <w:szCs w:val="24"/>
              </w:rPr>
            </w:pPr>
            <w:r>
              <w:rPr>
                <w:sz w:val="24"/>
                <w:szCs w:val="24"/>
              </w:rPr>
              <w:t>0.000</w:t>
            </w:r>
          </w:p>
          <w:p>
            <w:pPr>
              <w:pStyle w:val="ListParagraph"/>
              <w:spacing w:before="0" w:after="160"/>
              <w:ind w:left="0" w:hanging="0"/>
              <w:contextualSpacing/>
              <w:jc w:val="center"/>
              <w:rPr>
                <w:sz w:val="24"/>
                <w:szCs w:val="24"/>
              </w:rPr>
            </w:pPr>
            <w:r>
              <w:rPr>
                <w:sz w:val="24"/>
                <w:szCs w:val="24"/>
              </w:rPr>
              <w:t>(0.000)</w:t>
            </w:r>
          </w:p>
        </w:tc>
        <w:tc>
          <w:tcPr>
            <w:tcW w:w="1273" w:type="dxa"/>
            <w:tcBorders/>
            <w:shd w:color="auto" w:fill="D9E2F3" w:themeFill="accent1" w:themeFillTint="33" w:val="clear"/>
          </w:tcPr>
          <w:p>
            <w:pPr>
              <w:pStyle w:val="ListParagraph"/>
              <w:ind w:left="0" w:hanging="0"/>
              <w:jc w:val="center"/>
              <w:rPr>
                <w:sz w:val="24"/>
                <w:szCs w:val="24"/>
              </w:rPr>
            </w:pPr>
            <w:r>
              <w:rPr>
                <w:sz w:val="24"/>
                <w:szCs w:val="24"/>
              </w:rPr>
              <w:t>0.000</w:t>
            </w:r>
          </w:p>
          <w:p>
            <w:pPr>
              <w:pStyle w:val="ListParagraph"/>
              <w:spacing w:before="0" w:after="160"/>
              <w:ind w:left="0" w:hanging="0"/>
              <w:contextualSpacing/>
              <w:jc w:val="center"/>
              <w:rPr>
                <w:sz w:val="24"/>
                <w:szCs w:val="24"/>
              </w:rPr>
            </w:pPr>
            <w:r>
              <w:rPr>
                <w:sz w:val="24"/>
                <w:szCs w:val="24"/>
              </w:rPr>
              <w:t>(0.000)</w:t>
            </w:r>
          </w:p>
        </w:tc>
        <w:tc>
          <w:tcPr>
            <w:tcW w:w="986" w:type="dxa"/>
            <w:tcBorders/>
            <w:shd w:color="auto" w:fill="D9E2F3" w:themeFill="accent1" w:themeFillTint="33" w:val="clear"/>
          </w:tcPr>
          <w:p>
            <w:pPr>
              <w:pStyle w:val="ListParagraph"/>
              <w:ind w:left="0" w:hanging="0"/>
              <w:jc w:val="center"/>
              <w:rPr>
                <w:sz w:val="24"/>
                <w:szCs w:val="24"/>
              </w:rPr>
            </w:pPr>
            <w:r>
              <w:rPr>
                <w:sz w:val="24"/>
                <w:szCs w:val="24"/>
              </w:rPr>
              <w:t>0.000</w:t>
            </w:r>
          </w:p>
          <w:p>
            <w:pPr>
              <w:pStyle w:val="ListParagraph"/>
              <w:spacing w:before="0" w:after="160"/>
              <w:ind w:left="0" w:hanging="0"/>
              <w:contextualSpacing/>
              <w:jc w:val="center"/>
              <w:rPr>
                <w:sz w:val="24"/>
                <w:szCs w:val="24"/>
              </w:rPr>
            </w:pPr>
            <w:r>
              <w:rPr>
                <w:sz w:val="24"/>
                <w:szCs w:val="24"/>
              </w:rPr>
              <w:t>(0.000)</w:t>
            </w:r>
          </w:p>
        </w:tc>
      </w:tr>
    </w:tbl>
    <w:p>
      <w:pPr>
        <w:pStyle w:val="ListParagraph"/>
        <w:ind w:left="0" w:hanging="0"/>
        <w:jc w:val="center"/>
        <w:rPr>
          <w:i/>
          <w:i/>
          <w:sz w:val="24"/>
          <w:szCs w:val="24"/>
        </w:rPr>
      </w:pPr>
      <w:r>
        <w:rPr>
          <w:b/>
          <w:sz w:val="24"/>
          <w:szCs w:val="24"/>
        </w:rPr>
        <w:t>Table 1.</w:t>
      </w:r>
      <w:r>
        <w:rPr>
          <w:sz w:val="24"/>
          <w:szCs w:val="24"/>
        </w:rPr>
        <w:t xml:space="preserve"> </w:t>
      </w:r>
      <w:r>
        <w:rPr>
          <w:i/>
          <w:sz w:val="24"/>
          <w:szCs w:val="24"/>
        </w:rPr>
        <w:t>Expected value of electing to call or raise when second to act facing a raise. Standard errors in parentheses. Rows are estimates for different groups of players. Columns are the effect of different opponent types and price changes on expected value.</w:t>
      </w:r>
    </w:p>
    <w:p>
      <w:pPr>
        <w:pStyle w:val="ListParagraph"/>
        <w:ind w:left="0" w:hanging="0"/>
        <w:jc w:val="center"/>
        <w:rPr>
          <w:sz w:val="24"/>
          <w:szCs w:val="24"/>
        </w:rPr>
      </w:pPr>
      <w:r>
        <w:rPr>
          <w:sz w:val="24"/>
          <w:szCs w:val="24"/>
        </w:rPr>
      </w:r>
    </w:p>
    <w:p>
      <w:pPr>
        <w:pStyle w:val="Normal"/>
        <w:ind w:left="360" w:hanging="0"/>
        <w:rPr/>
      </w:pPr>
      <w:r>
        <w:rPr>
          <w:b/>
          <w:sz w:val="32"/>
          <w:szCs w:val="32"/>
        </w:rPr>
        <w:t>6.2 Strategic behavior</w:t>
      </w:r>
    </w:p>
    <w:p>
      <w:pPr>
        <w:pStyle w:val="Normal"/>
        <w:rPr>
          <w:sz w:val="24"/>
        </w:rPr>
      </w:pPr>
      <w:r>
        <w:rPr>
          <w:sz w:val="24"/>
        </w:rPr>
        <w:t xml:space="preserve">We now turn attention to players’ strategic behavior. </w:t>
      </w:r>
      <w:r>
        <w:rPr>
          <w:b/>
          <w:sz w:val="24"/>
        </w:rPr>
        <w:t>Table 2</w:t>
      </w:r>
      <w:r>
        <w:rPr>
          <w:sz w:val="24"/>
        </w:rPr>
        <w:t xml:space="preserve"> presents results using the same fixed effects panel specification as model (1) in section 6.1, with average frequency at which a player elects to fold facing a raise when second to act as dependant variable. This position is chosen for the reasons discussed in section 5.</w:t>
      </w:r>
    </w:p>
    <w:p>
      <w:pPr>
        <w:pStyle w:val="Normal"/>
        <w:rPr>
          <w:sz w:val="24"/>
        </w:rPr>
      </w:pPr>
      <w:r>
        <w:rPr>
          <w:sz w:val="24"/>
        </w:rPr>
        <w:t xml:space="preserve">The average frequency is in the </w:t>
      </w:r>
      <w:r>
        <w:rPr>
          <w:i/>
          <w:sz w:val="24"/>
        </w:rPr>
        <w:t>constant</w:t>
      </w:r>
      <w:r>
        <w:rPr>
          <w:sz w:val="24"/>
        </w:rPr>
        <w:t xml:space="preserve"> column, hovering around 70% for all player types. This implies players elect to call or re-raise when second to act about 30% of the time when facing a low skill player in the treatment group.</w:t>
      </w:r>
    </w:p>
    <w:p>
      <w:pPr>
        <w:pStyle w:val="Normal"/>
        <w:rPr>
          <w:sz w:val="24"/>
        </w:rPr>
      </w:pPr>
      <w:r>
        <w:rPr>
          <w:sz w:val="24"/>
        </w:rPr>
        <w:t>All players elect to fold significantly more often when facing a player from the ephemeral group. The difference in skill of ephemeral players is apparently evident to other players, even other ephemeral players. All player types, except ephemeral players, also play somewhat differently when facing a high skill than a low skill opponent from the treatment group.</w:t>
      </w:r>
    </w:p>
    <w:p>
      <w:pPr>
        <w:pStyle w:val="Normal"/>
        <w:rPr>
          <w:sz w:val="24"/>
        </w:rPr>
      </w:pPr>
      <w:r>
        <w:rPr>
          <w:sz w:val="24"/>
        </w:rPr>
        <w:t xml:space="preserve">The change in price has no effect on players’ strategies when second to act facing a raise. This is also true for players first to act (no change in raise or fold frequencies) as well as for any other strategy tested anywhere in the game tree. Tables showing similar results for other nodes in the game tree are in the </w:t>
      </w:r>
    </w:p>
    <w:tbl>
      <w:tblPr>
        <w:tblStyle w:val="TableGrid"/>
        <w:tblpPr w:bottomFromText="0" w:horzAnchor="margin" w:leftFromText="180" w:rightFromText="180" w:tblpX="0" w:tblpXSpec="center" w:tblpY="-1079" w:topFromText="0" w:vertAnchor="text"/>
        <w:tblW w:w="11902" w:type="dxa"/>
        <w:jc w:val="center"/>
        <w:tblInd w:w="0" w:type="dxa"/>
        <w:tblCellMar>
          <w:top w:w="0" w:type="dxa"/>
          <w:left w:w="78" w:type="dxa"/>
          <w:bottom w:w="0" w:type="dxa"/>
          <w:right w:w="108" w:type="dxa"/>
        </w:tblCellMar>
        <w:tblLook w:firstRow="1" w:noVBand="1" w:lastRow="0" w:firstColumn="1" w:lastColumn="0" w:noHBand="0" w:val="04a0"/>
      </w:tblPr>
      <w:tblGrid>
        <w:gridCol w:w="1291"/>
        <w:gridCol w:w="1383"/>
        <w:gridCol w:w="1273"/>
        <w:gridCol w:w="1181"/>
        <w:gridCol w:w="1276"/>
        <w:gridCol w:w="1414"/>
        <w:gridCol w:w="1552"/>
        <w:gridCol w:w="1413"/>
        <w:gridCol w:w="1117"/>
      </w:tblGrid>
      <w:tr>
        <w:trPr>
          <w:trHeight w:val="833" w:hRule="atLeast"/>
        </w:trPr>
        <w:tc>
          <w:tcPr>
            <w:tcW w:w="1291" w:type="dxa"/>
            <w:tcBorders>
              <w:bottom w:val="single" w:sz="12" w:space="0" w:color="00000A"/>
              <w:insideH w:val="single" w:sz="12" w:space="0" w:color="00000A"/>
            </w:tcBorders>
            <w:shd w:color="auto" w:fill="8EAADB" w:themeFill="accent1" w:themeFillTint="99" w:val="clear"/>
            <w:vAlign w:val="center"/>
          </w:tcPr>
          <w:p>
            <w:pPr>
              <w:pStyle w:val="ListParagraph"/>
              <w:spacing w:before="0" w:after="160"/>
              <w:ind w:left="0" w:hanging="0"/>
              <w:contextualSpacing/>
              <w:jc w:val="center"/>
              <w:rPr>
                <w:b/>
                <w:b/>
                <w:i/>
                <w:i/>
                <w:sz w:val="24"/>
                <w:szCs w:val="24"/>
              </w:rPr>
            </w:pPr>
            <w:r>
              <w:rPr>
                <w:b/>
                <w:i/>
                <w:sz w:val="24"/>
                <w:szCs w:val="24"/>
              </w:rPr>
              <w:t>Fold BB %</w:t>
            </w:r>
          </w:p>
        </w:tc>
        <w:tc>
          <w:tcPr>
            <w:tcW w:w="1383" w:type="dxa"/>
            <w:tcBorders>
              <w:left w:val="single" w:sz="12" w:space="0" w:color="00000A"/>
              <w:bottom w:val="single" w:sz="12" w:space="0" w:color="00000A"/>
              <w:right w:val="single" w:sz="12" w:space="0" w:color="00000A"/>
              <w:insideH w:val="single" w:sz="12" w:space="0" w:color="00000A"/>
              <w:insideV w:val="single" w:sz="12" w:space="0" w:color="00000A"/>
            </w:tcBorders>
            <w:shd w:color="auto" w:fill="8EAADB" w:themeFill="accent1" w:themeFillTint="99" w:val="clear"/>
            <w:vAlign w:val="center"/>
          </w:tcPr>
          <w:p>
            <w:pPr>
              <w:pStyle w:val="ListParagraph"/>
              <w:spacing w:before="0" w:after="160"/>
              <w:ind w:left="0" w:hanging="0"/>
              <w:contextualSpacing/>
              <w:jc w:val="center"/>
              <w:rPr>
                <w:b/>
                <w:b/>
                <w:sz w:val="24"/>
                <w:szCs w:val="24"/>
              </w:rPr>
            </w:pPr>
            <w:r>
              <w:rPr>
                <w:b/>
                <w:sz w:val="24"/>
                <w:szCs w:val="24"/>
              </w:rPr>
            </w:r>
          </w:p>
        </w:tc>
        <w:tc>
          <w:tcPr>
            <w:tcW w:w="1273" w:type="dxa"/>
            <w:tcBorders>
              <w:left w:val="single" w:sz="12" w:space="0" w:color="00000A"/>
              <w:bottom w:val="single" w:sz="12" w:space="0" w:color="00000A"/>
              <w:insideH w:val="single" w:sz="12" w:space="0" w:color="00000A"/>
            </w:tcBorders>
            <w:shd w:color="auto" w:fill="8EAADB" w:themeFill="accent1" w:themeFillTint="99" w:val="clear"/>
            <w:vAlign w:val="center"/>
          </w:tcPr>
          <w:p>
            <w:pPr>
              <w:pStyle w:val="ListParagraph"/>
              <w:spacing w:before="0" w:after="160"/>
              <w:ind w:left="0" w:hanging="0"/>
              <w:contextualSpacing/>
              <w:jc w:val="center"/>
              <w:rPr>
                <w:b/>
                <w:b/>
                <w:sz w:val="24"/>
                <w:szCs w:val="24"/>
              </w:rPr>
            </w:pPr>
            <w:r>
              <w:rPr>
                <w:b/>
                <w:sz w:val="24"/>
                <w:szCs w:val="24"/>
              </w:rPr>
              <w:t>Constant</w:t>
            </w:r>
          </w:p>
        </w:tc>
        <w:tc>
          <w:tcPr>
            <w:tcW w:w="1181" w:type="dxa"/>
            <w:tcBorders>
              <w:bottom w:val="single" w:sz="12" w:space="0" w:color="00000A"/>
              <w:insideH w:val="single" w:sz="12" w:space="0" w:color="00000A"/>
            </w:tcBorders>
            <w:shd w:color="auto" w:fill="8EAADB" w:themeFill="accent1" w:themeFillTint="99" w:val="clear"/>
            <w:vAlign w:val="center"/>
          </w:tcPr>
          <w:p>
            <w:pPr>
              <w:pStyle w:val="ListParagraph"/>
              <w:ind w:left="0" w:hanging="0"/>
              <w:jc w:val="center"/>
              <w:rPr>
                <w:b/>
                <w:b/>
                <w:sz w:val="24"/>
                <w:szCs w:val="24"/>
              </w:rPr>
            </w:pPr>
            <w:r>
              <w:rPr>
                <w:b/>
                <w:sz w:val="24"/>
                <w:szCs w:val="24"/>
              </w:rPr>
              <w:t>Increased</w:t>
            </w:r>
          </w:p>
          <w:p>
            <w:pPr>
              <w:pStyle w:val="ListParagraph"/>
              <w:spacing w:before="0" w:after="160"/>
              <w:ind w:left="0" w:hanging="0"/>
              <w:contextualSpacing/>
              <w:jc w:val="center"/>
              <w:rPr>
                <w:b/>
                <w:b/>
                <w:sz w:val="24"/>
                <w:szCs w:val="24"/>
              </w:rPr>
            </w:pPr>
            <w:r>
              <w:rPr>
                <w:b/>
                <w:sz w:val="24"/>
                <w:szCs w:val="24"/>
              </w:rPr>
              <w:t xml:space="preserve">Price </w:t>
            </w:r>
          </w:p>
        </w:tc>
        <w:tc>
          <w:tcPr>
            <w:tcW w:w="1276" w:type="dxa"/>
            <w:tcBorders>
              <w:bottom w:val="single" w:sz="12" w:space="0" w:color="00000A"/>
              <w:insideH w:val="single" w:sz="12" w:space="0" w:color="00000A"/>
            </w:tcBorders>
            <w:shd w:color="auto" w:fill="8EAADB" w:themeFill="accent1" w:themeFillTint="99" w:val="clear"/>
            <w:vAlign w:val="center"/>
          </w:tcPr>
          <w:p>
            <w:pPr>
              <w:pStyle w:val="ListParagraph"/>
              <w:spacing w:before="0" w:after="160"/>
              <w:ind w:left="0" w:hanging="0"/>
              <w:contextualSpacing/>
              <w:jc w:val="center"/>
              <w:rPr>
                <w:b/>
                <w:b/>
                <w:sz w:val="24"/>
                <w:szCs w:val="24"/>
              </w:rPr>
            </w:pPr>
            <w:r>
              <w:rPr>
                <w:b/>
                <w:sz w:val="24"/>
                <w:szCs w:val="24"/>
              </w:rPr>
              <w:t>High Skill Opponent</w:t>
            </w:r>
          </w:p>
        </w:tc>
        <w:tc>
          <w:tcPr>
            <w:tcW w:w="1414" w:type="dxa"/>
            <w:tcBorders>
              <w:bottom w:val="single" w:sz="12" w:space="0" w:color="00000A"/>
              <w:insideH w:val="single" w:sz="12" w:space="0" w:color="00000A"/>
            </w:tcBorders>
            <w:shd w:color="auto" w:fill="8EAADB" w:themeFill="accent1" w:themeFillTint="99" w:val="clear"/>
            <w:vAlign w:val="center"/>
          </w:tcPr>
          <w:p>
            <w:pPr>
              <w:pStyle w:val="ListParagraph"/>
              <w:spacing w:before="0" w:after="160"/>
              <w:ind w:left="0" w:hanging="0"/>
              <w:contextualSpacing/>
              <w:jc w:val="center"/>
              <w:rPr>
                <w:b/>
                <w:b/>
                <w:sz w:val="24"/>
                <w:szCs w:val="24"/>
              </w:rPr>
            </w:pPr>
            <w:r>
              <w:rPr>
                <w:b/>
                <w:sz w:val="24"/>
                <w:szCs w:val="24"/>
              </w:rPr>
              <w:t>Ephemeral Opponent</w:t>
            </w:r>
          </w:p>
        </w:tc>
        <w:tc>
          <w:tcPr>
            <w:tcW w:w="1552" w:type="dxa"/>
            <w:tcBorders>
              <w:bottom w:val="single" w:sz="12" w:space="0" w:color="00000A"/>
              <w:insideH w:val="single" w:sz="12" w:space="0" w:color="00000A"/>
            </w:tcBorders>
            <w:shd w:color="auto" w:fill="8EAADB" w:themeFill="accent1" w:themeFillTint="99" w:val="clear"/>
            <w:vAlign w:val="center"/>
          </w:tcPr>
          <w:p>
            <w:pPr>
              <w:pStyle w:val="ListParagraph"/>
              <w:spacing w:before="0" w:after="160"/>
              <w:ind w:left="0" w:hanging="0"/>
              <w:contextualSpacing/>
              <w:jc w:val="center"/>
              <w:rPr>
                <w:b/>
                <w:b/>
                <w:sz w:val="24"/>
                <w:szCs w:val="24"/>
              </w:rPr>
            </w:pPr>
            <w:r>
              <w:rPr>
                <w:b/>
                <w:sz w:val="24"/>
                <w:szCs w:val="24"/>
              </w:rPr>
              <w:t>Ephemeral Opponent x treat</w:t>
            </w:r>
          </w:p>
        </w:tc>
        <w:tc>
          <w:tcPr>
            <w:tcW w:w="1413" w:type="dxa"/>
            <w:tcBorders>
              <w:bottom w:val="single" w:sz="12" w:space="0" w:color="00000A"/>
              <w:insideH w:val="single" w:sz="12" w:space="0" w:color="00000A"/>
            </w:tcBorders>
            <w:shd w:color="auto" w:fill="8EAADB" w:themeFill="accent1" w:themeFillTint="99" w:val="clear"/>
            <w:vAlign w:val="center"/>
          </w:tcPr>
          <w:p>
            <w:pPr>
              <w:pStyle w:val="ListParagraph"/>
              <w:spacing w:before="0" w:after="160"/>
              <w:ind w:left="0" w:hanging="0"/>
              <w:contextualSpacing/>
              <w:jc w:val="center"/>
              <w:rPr>
                <w:b/>
                <w:b/>
                <w:sz w:val="24"/>
                <w:szCs w:val="24"/>
              </w:rPr>
            </w:pPr>
            <w:r>
              <w:rPr>
                <w:b/>
                <w:sz w:val="24"/>
                <w:szCs w:val="24"/>
              </w:rPr>
              <w:t>Low Skill Opponent x treat</w:t>
            </w:r>
          </w:p>
        </w:tc>
        <w:tc>
          <w:tcPr>
            <w:tcW w:w="1117" w:type="dxa"/>
            <w:tcBorders>
              <w:bottom w:val="single" w:sz="12" w:space="0" w:color="00000A"/>
              <w:insideH w:val="single" w:sz="12" w:space="0" w:color="00000A"/>
            </w:tcBorders>
            <w:shd w:color="auto" w:fill="8EAADB" w:themeFill="accent1" w:themeFillTint="99" w:val="clear"/>
            <w:vAlign w:val="center"/>
          </w:tcPr>
          <w:p>
            <w:pPr>
              <w:pStyle w:val="ListParagraph"/>
              <w:spacing w:before="0" w:after="160"/>
              <w:ind w:left="0" w:hanging="0"/>
              <w:contextualSpacing/>
              <w:jc w:val="center"/>
              <w:rPr>
                <w:b/>
                <w:b/>
                <w:sz w:val="24"/>
                <w:szCs w:val="24"/>
              </w:rPr>
            </w:pPr>
            <w:r>
              <w:rPr>
                <w:b/>
                <w:sz w:val="24"/>
                <w:szCs w:val="24"/>
              </w:rPr>
              <w:t>High Skill x treat</w:t>
            </w:r>
          </w:p>
        </w:tc>
      </w:tr>
      <w:tr>
        <w:trPr>
          <w:trHeight w:val="739" w:hRule="atLeast"/>
        </w:trPr>
        <w:tc>
          <w:tcPr>
            <w:tcW w:w="1291" w:type="dxa"/>
            <w:vMerge w:val="restart"/>
            <w:tcBorders>
              <w:top w:val="single" w:sz="12" w:space="0" w:color="00000A"/>
            </w:tcBorders>
            <w:shd w:color="auto" w:fill="8EAADB" w:themeFill="accent1" w:themeFillTint="99" w:val="clear"/>
            <w:vAlign w:val="center"/>
          </w:tcPr>
          <w:p>
            <w:pPr>
              <w:pStyle w:val="ListParagraph"/>
              <w:ind w:left="0" w:hanging="0"/>
              <w:jc w:val="center"/>
              <w:rPr>
                <w:b/>
                <w:b/>
                <w:sz w:val="24"/>
                <w:szCs w:val="24"/>
              </w:rPr>
            </w:pPr>
            <w:r>
              <w:rPr>
                <w:b/>
                <w:sz w:val="24"/>
                <w:szCs w:val="24"/>
              </w:rPr>
              <w:t>Treatment</w:t>
            </w:r>
          </w:p>
          <w:p>
            <w:pPr>
              <w:pStyle w:val="ListParagraph"/>
              <w:spacing w:before="0" w:after="160"/>
              <w:ind w:left="0" w:hanging="0"/>
              <w:contextualSpacing/>
              <w:jc w:val="center"/>
              <w:rPr>
                <w:b/>
                <w:b/>
                <w:sz w:val="24"/>
                <w:szCs w:val="24"/>
              </w:rPr>
            </w:pPr>
            <w:r>
              <w:rPr>
                <w:b/>
                <w:sz w:val="24"/>
                <w:szCs w:val="24"/>
              </w:rPr>
              <w:t>Group</w:t>
            </w:r>
          </w:p>
        </w:tc>
        <w:tc>
          <w:tcPr>
            <w:tcW w:w="1383" w:type="dxa"/>
            <w:tcBorders>
              <w:top w:val="single" w:sz="12" w:space="0" w:color="00000A"/>
              <w:left w:val="single" w:sz="12" w:space="0" w:color="00000A"/>
              <w:right w:val="single" w:sz="12" w:space="0" w:color="00000A"/>
              <w:insideV w:val="single" w:sz="12" w:space="0" w:color="00000A"/>
            </w:tcBorders>
            <w:shd w:color="auto" w:fill="8EAADB" w:themeFill="accent1" w:themeFillTint="99" w:val="clear"/>
            <w:vAlign w:val="center"/>
          </w:tcPr>
          <w:p>
            <w:pPr>
              <w:pStyle w:val="ListParagraph"/>
              <w:spacing w:before="0" w:after="160"/>
              <w:ind w:left="0" w:hanging="0"/>
              <w:contextualSpacing/>
              <w:jc w:val="center"/>
              <w:rPr>
                <w:b/>
                <w:b/>
                <w:sz w:val="24"/>
                <w:szCs w:val="24"/>
              </w:rPr>
            </w:pPr>
            <w:r>
              <w:rPr>
                <w:b/>
                <w:sz w:val="24"/>
                <w:szCs w:val="24"/>
              </w:rPr>
              <w:t>All</w:t>
            </w:r>
          </w:p>
        </w:tc>
        <w:tc>
          <w:tcPr>
            <w:tcW w:w="1273" w:type="dxa"/>
            <w:tcBorders>
              <w:top w:val="single" w:sz="12" w:space="0" w:color="00000A"/>
              <w:left w:val="single" w:sz="12" w:space="0" w:color="00000A"/>
            </w:tcBorders>
            <w:shd w:color="auto" w:fill="D9E2F3" w:themeFill="accent1" w:themeFillTint="33" w:val="clear"/>
            <w:vAlign w:val="center"/>
          </w:tcPr>
          <w:p>
            <w:pPr>
              <w:pStyle w:val="ListParagraph"/>
              <w:ind w:left="0" w:hanging="0"/>
              <w:jc w:val="center"/>
              <w:rPr>
                <w:sz w:val="24"/>
                <w:szCs w:val="24"/>
              </w:rPr>
            </w:pPr>
            <w:r>
              <w:rPr>
                <w:sz w:val="24"/>
                <w:szCs w:val="24"/>
              </w:rPr>
              <w:t>69.271***</w:t>
            </w:r>
          </w:p>
          <w:p>
            <w:pPr>
              <w:pStyle w:val="ListParagraph"/>
              <w:spacing w:before="0" w:after="160"/>
              <w:ind w:left="0" w:hanging="0"/>
              <w:contextualSpacing/>
              <w:jc w:val="center"/>
              <w:rPr>
                <w:sz w:val="24"/>
                <w:szCs w:val="24"/>
              </w:rPr>
            </w:pPr>
            <w:r>
              <w:rPr>
                <w:sz w:val="24"/>
                <w:szCs w:val="24"/>
              </w:rPr>
              <w:t>(0.122)</w:t>
            </w:r>
          </w:p>
        </w:tc>
        <w:tc>
          <w:tcPr>
            <w:tcW w:w="1181" w:type="dxa"/>
            <w:tcBorders>
              <w:top w:val="single" w:sz="12" w:space="0" w:color="00000A"/>
            </w:tcBorders>
            <w:shd w:color="auto" w:fill="D9E2F3" w:themeFill="accent1" w:themeFillTint="33" w:val="clear"/>
            <w:vAlign w:val="center"/>
          </w:tcPr>
          <w:p>
            <w:pPr>
              <w:pStyle w:val="ListParagraph"/>
              <w:ind w:left="0" w:hanging="0"/>
              <w:jc w:val="center"/>
              <w:rPr>
                <w:sz w:val="24"/>
                <w:szCs w:val="24"/>
              </w:rPr>
            </w:pPr>
            <w:r>
              <w:rPr>
                <w:sz w:val="24"/>
                <w:szCs w:val="24"/>
              </w:rPr>
              <w:t>0.174</w:t>
            </w:r>
          </w:p>
          <w:p>
            <w:pPr>
              <w:pStyle w:val="ListParagraph"/>
              <w:spacing w:before="0" w:after="160"/>
              <w:ind w:left="0" w:hanging="0"/>
              <w:contextualSpacing/>
              <w:jc w:val="center"/>
              <w:rPr>
                <w:sz w:val="24"/>
                <w:szCs w:val="24"/>
              </w:rPr>
            </w:pPr>
            <w:r>
              <w:rPr>
                <w:sz w:val="24"/>
                <w:szCs w:val="24"/>
              </w:rPr>
              <w:t>(0.174)</w:t>
            </w:r>
          </w:p>
        </w:tc>
        <w:tc>
          <w:tcPr>
            <w:tcW w:w="1276" w:type="dxa"/>
            <w:tcBorders>
              <w:top w:val="single" w:sz="12" w:space="0" w:color="00000A"/>
            </w:tcBorders>
            <w:shd w:color="auto" w:fill="D9E2F3" w:themeFill="accent1" w:themeFillTint="33" w:val="clear"/>
            <w:vAlign w:val="center"/>
          </w:tcPr>
          <w:p>
            <w:pPr>
              <w:pStyle w:val="ListParagraph"/>
              <w:ind w:left="0" w:hanging="0"/>
              <w:jc w:val="center"/>
              <w:rPr>
                <w:sz w:val="24"/>
                <w:szCs w:val="24"/>
              </w:rPr>
            </w:pPr>
            <w:r>
              <w:rPr>
                <w:sz w:val="24"/>
                <w:szCs w:val="24"/>
              </w:rPr>
              <w:t>1.951***</w:t>
            </w:r>
          </w:p>
          <w:p>
            <w:pPr>
              <w:pStyle w:val="ListParagraph"/>
              <w:spacing w:before="0" w:after="160"/>
              <w:ind w:left="0" w:hanging="0"/>
              <w:contextualSpacing/>
              <w:jc w:val="center"/>
              <w:rPr>
                <w:sz w:val="24"/>
                <w:szCs w:val="24"/>
              </w:rPr>
            </w:pPr>
            <w:r>
              <w:rPr>
                <w:sz w:val="24"/>
                <w:szCs w:val="24"/>
              </w:rPr>
              <w:t>(0.221)</w:t>
            </w:r>
          </w:p>
        </w:tc>
        <w:tc>
          <w:tcPr>
            <w:tcW w:w="1414" w:type="dxa"/>
            <w:tcBorders>
              <w:top w:val="single" w:sz="12" w:space="0" w:color="00000A"/>
            </w:tcBorders>
            <w:shd w:color="auto" w:fill="D9E2F3" w:themeFill="accent1" w:themeFillTint="33" w:val="clear"/>
            <w:vAlign w:val="center"/>
          </w:tcPr>
          <w:p>
            <w:pPr>
              <w:pStyle w:val="ListParagraph"/>
              <w:ind w:left="0" w:hanging="0"/>
              <w:jc w:val="center"/>
              <w:rPr>
                <w:sz w:val="24"/>
                <w:szCs w:val="24"/>
              </w:rPr>
            </w:pPr>
            <w:r>
              <w:rPr>
                <w:sz w:val="24"/>
                <w:szCs w:val="24"/>
              </w:rPr>
              <w:t>11.410***</w:t>
            </w:r>
          </w:p>
          <w:p>
            <w:pPr>
              <w:pStyle w:val="ListParagraph"/>
              <w:spacing w:before="0" w:after="160"/>
              <w:ind w:left="0" w:hanging="0"/>
              <w:contextualSpacing/>
              <w:jc w:val="center"/>
              <w:rPr>
                <w:sz w:val="24"/>
                <w:szCs w:val="24"/>
              </w:rPr>
            </w:pPr>
            <w:r>
              <w:rPr>
                <w:sz w:val="24"/>
                <w:szCs w:val="24"/>
              </w:rPr>
              <w:t>(0.164)</w:t>
            </w:r>
          </w:p>
        </w:tc>
        <w:tc>
          <w:tcPr>
            <w:tcW w:w="1552" w:type="dxa"/>
            <w:tcBorders>
              <w:top w:val="single" w:sz="12" w:space="0" w:color="00000A"/>
            </w:tcBorders>
            <w:shd w:color="auto" w:fill="D9E2F3" w:themeFill="accent1" w:themeFillTint="33" w:val="clear"/>
          </w:tcPr>
          <w:p>
            <w:pPr>
              <w:pStyle w:val="ListParagraph"/>
              <w:ind w:left="0" w:hanging="0"/>
              <w:jc w:val="center"/>
              <w:rPr>
                <w:sz w:val="24"/>
                <w:szCs w:val="24"/>
              </w:rPr>
            </w:pPr>
            <w:r>
              <w:rPr>
                <w:sz w:val="24"/>
                <w:szCs w:val="24"/>
              </w:rPr>
              <w:t>0.186</w:t>
            </w:r>
          </w:p>
          <w:p>
            <w:pPr>
              <w:pStyle w:val="ListParagraph"/>
              <w:spacing w:before="0" w:after="160"/>
              <w:ind w:left="0" w:hanging="0"/>
              <w:contextualSpacing/>
              <w:jc w:val="center"/>
              <w:rPr>
                <w:sz w:val="24"/>
                <w:szCs w:val="24"/>
              </w:rPr>
            </w:pPr>
            <w:r>
              <w:rPr>
                <w:sz w:val="24"/>
                <w:szCs w:val="24"/>
              </w:rPr>
              <w:t>(0.395)</w:t>
            </w:r>
          </w:p>
        </w:tc>
        <w:tc>
          <w:tcPr>
            <w:tcW w:w="1413" w:type="dxa"/>
            <w:tcBorders>
              <w:top w:val="single" w:sz="12" w:space="0" w:color="00000A"/>
            </w:tcBorders>
            <w:shd w:color="auto" w:fill="D9E2F3" w:themeFill="accent1" w:themeFillTint="33" w:val="clear"/>
          </w:tcPr>
          <w:p>
            <w:pPr>
              <w:pStyle w:val="ListParagraph"/>
              <w:ind w:left="0" w:hanging="0"/>
              <w:jc w:val="center"/>
              <w:rPr>
                <w:sz w:val="24"/>
                <w:szCs w:val="24"/>
              </w:rPr>
            </w:pPr>
            <w:r>
              <w:rPr>
                <w:sz w:val="24"/>
                <w:szCs w:val="24"/>
              </w:rPr>
              <w:t>0.261</w:t>
            </w:r>
          </w:p>
          <w:p>
            <w:pPr>
              <w:pStyle w:val="ListParagraph"/>
              <w:spacing w:before="0" w:after="160"/>
              <w:ind w:left="0" w:hanging="0"/>
              <w:contextualSpacing/>
              <w:jc w:val="center"/>
              <w:rPr>
                <w:sz w:val="24"/>
                <w:szCs w:val="24"/>
              </w:rPr>
            </w:pPr>
            <w:r>
              <w:rPr>
                <w:sz w:val="24"/>
                <w:szCs w:val="24"/>
              </w:rPr>
              <w:t>(0.244)</w:t>
            </w:r>
          </w:p>
        </w:tc>
        <w:tc>
          <w:tcPr>
            <w:tcW w:w="1117" w:type="dxa"/>
            <w:tcBorders>
              <w:top w:val="single" w:sz="12" w:space="0" w:color="00000A"/>
            </w:tcBorders>
            <w:shd w:color="auto" w:fill="D9E2F3" w:themeFill="accent1" w:themeFillTint="33" w:val="clear"/>
          </w:tcPr>
          <w:p>
            <w:pPr>
              <w:pStyle w:val="ListParagraph"/>
              <w:ind w:left="0" w:hanging="0"/>
              <w:jc w:val="center"/>
              <w:rPr>
                <w:sz w:val="24"/>
                <w:szCs w:val="24"/>
              </w:rPr>
            </w:pPr>
            <w:r>
              <w:rPr>
                <w:sz w:val="24"/>
                <w:szCs w:val="24"/>
              </w:rPr>
              <w:t>-0.086</w:t>
            </w:r>
          </w:p>
          <w:p>
            <w:pPr>
              <w:pStyle w:val="ListParagraph"/>
              <w:spacing w:before="0" w:after="160"/>
              <w:ind w:left="0" w:hanging="0"/>
              <w:contextualSpacing/>
              <w:jc w:val="center"/>
              <w:rPr>
                <w:sz w:val="24"/>
                <w:szCs w:val="24"/>
              </w:rPr>
            </w:pPr>
            <w:r>
              <w:rPr>
                <w:sz w:val="24"/>
                <w:szCs w:val="24"/>
              </w:rPr>
              <w:t>(0.304)</w:t>
            </w:r>
          </w:p>
        </w:tc>
      </w:tr>
      <w:tr>
        <w:trPr>
          <w:trHeight w:val="623" w:hRule="atLeast"/>
        </w:trPr>
        <w:tc>
          <w:tcPr>
            <w:tcW w:w="1291" w:type="dxa"/>
            <w:vMerge w:val="continue"/>
            <w:tcBorders/>
            <w:shd w:color="auto" w:fill="8EAADB" w:themeFill="accent1" w:themeFillTint="99" w:val="clear"/>
            <w:vAlign w:val="center"/>
          </w:tcPr>
          <w:p>
            <w:pPr>
              <w:pStyle w:val="ListParagraph"/>
              <w:spacing w:before="0" w:after="160"/>
              <w:ind w:left="0" w:hanging="0"/>
              <w:contextualSpacing/>
              <w:jc w:val="center"/>
              <w:rPr>
                <w:b/>
                <w:b/>
                <w:sz w:val="24"/>
                <w:szCs w:val="24"/>
              </w:rPr>
            </w:pPr>
            <w:r>
              <w:rPr>
                <w:b/>
                <w:sz w:val="24"/>
                <w:szCs w:val="24"/>
              </w:rPr>
            </w:r>
          </w:p>
        </w:tc>
        <w:tc>
          <w:tcPr>
            <w:tcW w:w="1383" w:type="dxa"/>
            <w:tcBorders>
              <w:left w:val="single" w:sz="12" w:space="0" w:color="00000A"/>
              <w:right w:val="single" w:sz="12" w:space="0" w:color="00000A"/>
              <w:insideV w:val="single" w:sz="12" w:space="0" w:color="00000A"/>
            </w:tcBorders>
            <w:shd w:color="auto" w:fill="8EAADB" w:themeFill="accent1" w:themeFillTint="99" w:val="clear"/>
            <w:vAlign w:val="center"/>
          </w:tcPr>
          <w:p>
            <w:pPr>
              <w:pStyle w:val="ListParagraph"/>
              <w:ind w:left="0" w:hanging="0"/>
              <w:jc w:val="center"/>
              <w:rPr>
                <w:b/>
                <w:b/>
                <w:sz w:val="24"/>
                <w:szCs w:val="24"/>
              </w:rPr>
            </w:pPr>
            <w:r>
              <w:rPr>
                <w:b/>
                <w:sz w:val="24"/>
                <w:szCs w:val="24"/>
              </w:rPr>
              <w:t>High skill</w:t>
            </w:r>
          </w:p>
          <w:p>
            <w:pPr>
              <w:pStyle w:val="ListParagraph"/>
              <w:spacing w:before="0" w:after="160"/>
              <w:ind w:left="0" w:hanging="0"/>
              <w:contextualSpacing/>
              <w:jc w:val="center"/>
              <w:rPr>
                <w:b/>
                <w:b/>
                <w:sz w:val="24"/>
                <w:szCs w:val="24"/>
              </w:rPr>
            </w:pPr>
            <w:r>
              <w:rPr>
                <w:b/>
                <w:sz w:val="24"/>
                <w:szCs w:val="24"/>
              </w:rPr>
              <w:t>(k-means)</w:t>
            </w:r>
          </w:p>
        </w:tc>
        <w:tc>
          <w:tcPr>
            <w:tcW w:w="1273" w:type="dxa"/>
            <w:tcBorders>
              <w:left w:val="single" w:sz="12" w:space="0" w:color="00000A"/>
            </w:tcBorders>
            <w:shd w:color="auto" w:fill="D9E2F3" w:themeFill="accent1" w:themeFillTint="33" w:val="clear"/>
            <w:vAlign w:val="center"/>
          </w:tcPr>
          <w:p>
            <w:pPr>
              <w:pStyle w:val="ListParagraph"/>
              <w:ind w:left="0" w:hanging="0"/>
              <w:jc w:val="center"/>
              <w:rPr>
                <w:sz w:val="24"/>
                <w:szCs w:val="24"/>
              </w:rPr>
            </w:pPr>
            <w:r>
              <w:rPr>
                <w:sz w:val="24"/>
                <w:szCs w:val="24"/>
              </w:rPr>
              <w:t>72.732***</w:t>
            </w:r>
          </w:p>
          <w:p>
            <w:pPr>
              <w:pStyle w:val="ListParagraph"/>
              <w:spacing w:before="0" w:after="160"/>
              <w:ind w:left="0" w:hanging="0"/>
              <w:contextualSpacing/>
              <w:jc w:val="center"/>
              <w:rPr>
                <w:sz w:val="24"/>
                <w:szCs w:val="24"/>
              </w:rPr>
            </w:pPr>
            <w:r>
              <w:rPr>
                <w:sz w:val="24"/>
                <w:szCs w:val="24"/>
              </w:rPr>
              <w:t>(0.234)</w:t>
            </w:r>
          </w:p>
        </w:tc>
        <w:tc>
          <w:tcPr>
            <w:tcW w:w="1181" w:type="dxa"/>
            <w:tcBorders/>
            <w:shd w:color="auto" w:fill="D9E2F3" w:themeFill="accent1" w:themeFillTint="33" w:val="clear"/>
            <w:vAlign w:val="center"/>
          </w:tcPr>
          <w:p>
            <w:pPr>
              <w:pStyle w:val="ListParagraph"/>
              <w:ind w:left="0" w:hanging="0"/>
              <w:jc w:val="center"/>
              <w:rPr>
                <w:sz w:val="24"/>
                <w:szCs w:val="24"/>
              </w:rPr>
            </w:pPr>
            <w:r>
              <w:rPr>
                <w:sz w:val="24"/>
                <w:szCs w:val="24"/>
              </w:rPr>
              <w:t>0.412</w:t>
            </w:r>
          </w:p>
          <w:p>
            <w:pPr>
              <w:pStyle w:val="ListParagraph"/>
              <w:spacing w:before="0" w:after="160"/>
              <w:ind w:left="0" w:hanging="0"/>
              <w:contextualSpacing/>
              <w:jc w:val="center"/>
              <w:rPr>
                <w:sz w:val="24"/>
                <w:szCs w:val="24"/>
              </w:rPr>
            </w:pPr>
            <w:r>
              <w:rPr>
                <w:sz w:val="24"/>
                <w:szCs w:val="24"/>
              </w:rPr>
              <w:t>(0.291)</w:t>
            </w:r>
          </w:p>
        </w:tc>
        <w:tc>
          <w:tcPr>
            <w:tcW w:w="1276" w:type="dxa"/>
            <w:tcBorders/>
            <w:shd w:color="auto" w:fill="D9E2F3" w:themeFill="accent1" w:themeFillTint="33" w:val="clear"/>
            <w:vAlign w:val="center"/>
          </w:tcPr>
          <w:p>
            <w:pPr>
              <w:pStyle w:val="ListParagraph"/>
              <w:ind w:left="0" w:hanging="0"/>
              <w:jc w:val="center"/>
              <w:rPr>
                <w:sz w:val="24"/>
                <w:szCs w:val="24"/>
              </w:rPr>
            </w:pPr>
            <w:r>
              <w:rPr>
                <w:sz w:val="24"/>
                <w:szCs w:val="24"/>
              </w:rPr>
              <w:t>1.334***</w:t>
            </w:r>
          </w:p>
          <w:p>
            <w:pPr>
              <w:pStyle w:val="ListParagraph"/>
              <w:spacing w:before="0" w:after="160"/>
              <w:ind w:left="0" w:hanging="0"/>
              <w:contextualSpacing/>
              <w:jc w:val="center"/>
              <w:rPr>
                <w:sz w:val="24"/>
                <w:szCs w:val="24"/>
              </w:rPr>
            </w:pPr>
            <w:r>
              <w:rPr>
                <w:sz w:val="24"/>
                <w:szCs w:val="24"/>
              </w:rPr>
              <w:t>(0.357)</w:t>
            </w:r>
          </w:p>
        </w:tc>
        <w:tc>
          <w:tcPr>
            <w:tcW w:w="1414" w:type="dxa"/>
            <w:tcBorders/>
            <w:shd w:color="auto" w:fill="D9E2F3" w:themeFill="accent1" w:themeFillTint="33" w:val="clear"/>
            <w:vAlign w:val="center"/>
          </w:tcPr>
          <w:p>
            <w:pPr>
              <w:pStyle w:val="ListParagraph"/>
              <w:ind w:left="0" w:hanging="0"/>
              <w:jc w:val="center"/>
              <w:rPr>
                <w:sz w:val="24"/>
                <w:szCs w:val="24"/>
              </w:rPr>
            </w:pPr>
            <w:r>
              <w:rPr>
                <w:sz w:val="24"/>
                <w:szCs w:val="24"/>
              </w:rPr>
              <w:t>13.172***</w:t>
            </w:r>
          </w:p>
          <w:p>
            <w:pPr>
              <w:pStyle w:val="ListParagraph"/>
              <w:spacing w:before="0" w:after="160"/>
              <w:ind w:left="0" w:hanging="0"/>
              <w:contextualSpacing/>
              <w:jc w:val="center"/>
              <w:rPr>
                <w:sz w:val="24"/>
                <w:szCs w:val="24"/>
              </w:rPr>
            </w:pPr>
            <w:r>
              <w:rPr>
                <w:sz w:val="24"/>
                <w:szCs w:val="24"/>
              </w:rPr>
              <w:t>(0.280)</w:t>
            </w:r>
          </w:p>
        </w:tc>
        <w:tc>
          <w:tcPr>
            <w:tcW w:w="1552" w:type="dxa"/>
            <w:tcBorders/>
            <w:shd w:color="auto" w:fill="D9E2F3" w:themeFill="accent1" w:themeFillTint="33" w:val="clear"/>
          </w:tcPr>
          <w:p>
            <w:pPr>
              <w:pStyle w:val="ListParagraph"/>
              <w:ind w:left="0" w:hanging="0"/>
              <w:jc w:val="center"/>
              <w:rPr>
                <w:sz w:val="24"/>
                <w:szCs w:val="24"/>
              </w:rPr>
            </w:pPr>
            <w:r>
              <w:rPr>
                <w:sz w:val="24"/>
                <w:szCs w:val="24"/>
              </w:rPr>
              <w:t>-0.122</w:t>
            </w:r>
          </w:p>
          <w:p>
            <w:pPr>
              <w:pStyle w:val="ListParagraph"/>
              <w:spacing w:before="0" w:after="160"/>
              <w:ind w:left="0" w:hanging="0"/>
              <w:contextualSpacing/>
              <w:jc w:val="center"/>
              <w:rPr>
                <w:sz w:val="24"/>
                <w:szCs w:val="24"/>
              </w:rPr>
            </w:pPr>
            <w:r>
              <w:rPr>
                <w:sz w:val="24"/>
                <w:szCs w:val="24"/>
              </w:rPr>
              <w:t>(0.692)</w:t>
            </w:r>
          </w:p>
        </w:tc>
        <w:tc>
          <w:tcPr>
            <w:tcW w:w="1413" w:type="dxa"/>
            <w:tcBorders/>
            <w:shd w:color="auto" w:fill="D9E2F3" w:themeFill="accent1" w:themeFillTint="33" w:val="clear"/>
          </w:tcPr>
          <w:p>
            <w:pPr>
              <w:pStyle w:val="ListParagraph"/>
              <w:ind w:left="0" w:hanging="0"/>
              <w:jc w:val="center"/>
              <w:rPr>
                <w:sz w:val="24"/>
                <w:szCs w:val="24"/>
              </w:rPr>
            </w:pPr>
            <w:r>
              <w:rPr>
                <w:sz w:val="24"/>
                <w:szCs w:val="24"/>
              </w:rPr>
              <w:t>0.167</w:t>
            </w:r>
          </w:p>
          <w:p>
            <w:pPr>
              <w:pStyle w:val="ListParagraph"/>
              <w:spacing w:before="0" w:after="160"/>
              <w:ind w:left="0" w:hanging="0"/>
              <w:contextualSpacing/>
              <w:jc w:val="center"/>
              <w:rPr>
                <w:sz w:val="24"/>
                <w:szCs w:val="24"/>
              </w:rPr>
            </w:pPr>
            <w:r>
              <w:rPr>
                <w:sz w:val="24"/>
                <w:szCs w:val="24"/>
              </w:rPr>
              <w:t>(0.455)</w:t>
            </w:r>
          </w:p>
        </w:tc>
        <w:tc>
          <w:tcPr>
            <w:tcW w:w="1117" w:type="dxa"/>
            <w:tcBorders/>
            <w:shd w:color="auto" w:fill="D9E2F3" w:themeFill="accent1" w:themeFillTint="33" w:val="clear"/>
          </w:tcPr>
          <w:p>
            <w:pPr>
              <w:pStyle w:val="ListParagraph"/>
              <w:ind w:left="0" w:hanging="0"/>
              <w:jc w:val="center"/>
              <w:rPr>
                <w:sz w:val="24"/>
                <w:szCs w:val="24"/>
              </w:rPr>
            </w:pPr>
            <w:r>
              <w:rPr>
                <w:sz w:val="24"/>
                <w:szCs w:val="24"/>
              </w:rPr>
              <w:t>0.250</w:t>
            </w:r>
          </w:p>
          <w:p>
            <w:pPr>
              <w:pStyle w:val="ListParagraph"/>
              <w:spacing w:before="0" w:after="160"/>
              <w:ind w:left="0" w:hanging="0"/>
              <w:contextualSpacing/>
              <w:jc w:val="center"/>
              <w:rPr>
                <w:sz w:val="24"/>
                <w:szCs w:val="24"/>
              </w:rPr>
            </w:pPr>
            <w:r>
              <w:rPr>
                <w:sz w:val="24"/>
                <w:szCs w:val="24"/>
              </w:rPr>
              <w:t>(0.465)</w:t>
            </w:r>
          </w:p>
        </w:tc>
      </w:tr>
      <w:tr>
        <w:trPr>
          <w:trHeight w:val="677" w:hRule="atLeast"/>
        </w:trPr>
        <w:tc>
          <w:tcPr>
            <w:tcW w:w="1291" w:type="dxa"/>
            <w:vMerge w:val="continue"/>
            <w:tcBorders/>
            <w:shd w:color="auto" w:fill="8EAADB" w:themeFill="accent1" w:themeFillTint="99" w:val="clear"/>
            <w:vAlign w:val="center"/>
          </w:tcPr>
          <w:p>
            <w:pPr>
              <w:pStyle w:val="ListParagraph"/>
              <w:spacing w:before="0" w:after="160"/>
              <w:ind w:left="0" w:hanging="0"/>
              <w:contextualSpacing/>
              <w:jc w:val="center"/>
              <w:rPr>
                <w:b/>
                <w:b/>
                <w:sz w:val="24"/>
                <w:szCs w:val="24"/>
              </w:rPr>
            </w:pPr>
            <w:r>
              <w:rPr>
                <w:b/>
                <w:sz w:val="24"/>
                <w:szCs w:val="24"/>
              </w:rPr>
            </w:r>
          </w:p>
        </w:tc>
        <w:tc>
          <w:tcPr>
            <w:tcW w:w="1383" w:type="dxa"/>
            <w:tcBorders>
              <w:left w:val="single" w:sz="12" w:space="0" w:color="00000A"/>
              <w:right w:val="single" w:sz="12" w:space="0" w:color="00000A"/>
              <w:insideV w:val="single" w:sz="12" w:space="0" w:color="00000A"/>
            </w:tcBorders>
            <w:shd w:color="auto" w:fill="8EAADB" w:themeFill="accent1" w:themeFillTint="99" w:val="clear"/>
            <w:vAlign w:val="center"/>
          </w:tcPr>
          <w:p>
            <w:pPr>
              <w:pStyle w:val="ListParagraph"/>
              <w:ind w:left="0" w:hanging="0"/>
              <w:jc w:val="center"/>
              <w:rPr>
                <w:b/>
                <w:b/>
                <w:sz w:val="24"/>
                <w:szCs w:val="24"/>
              </w:rPr>
            </w:pPr>
            <w:r>
              <w:rPr>
                <w:b/>
                <w:sz w:val="24"/>
                <w:szCs w:val="24"/>
              </w:rPr>
              <w:t>Low skill</w:t>
            </w:r>
          </w:p>
          <w:p>
            <w:pPr>
              <w:pStyle w:val="ListParagraph"/>
              <w:spacing w:before="0" w:after="160"/>
              <w:ind w:left="0" w:hanging="0"/>
              <w:contextualSpacing/>
              <w:jc w:val="center"/>
              <w:rPr>
                <w:b/>
                <w:b/>
                <w:sz w:val="24"/>
                <w:szCs w:val="24"/>
              </w:rPr>
            </w:pPr>
            <w:r>
              <w:rPr>
                <w:b/>
                <w:sz w:val="24"/>
                <w:szCs w:val="24"/>
              </w:rPr>
              <w:t>(k-means)</w:t>
            </w:r>
          </w:p>
        </w:tc>
        <w:tc>
          <w:tcPr>
            <w:tcW w:w="1273" w:type="dxa"/>
            <w:tcBorders>
              <w:left w:val="single" w:sz="12" w:space="0" w:color="00000A"/>
            </w:tcBorders>
            <w:shd w:color="auto" w:fill="D9E2F3" w:themeFill="accent1" w:themeFillTint="33" w:val="clear"/>
            <w:vAlign w:val="center"/>
          </w:tcPr>
          <w:p>
            <w:pPr>
              <w:pStyle w:val="ListParagraph"/>
              <w:ind w:left="0" w:hanging="0"/>
              <w:jc w:val="center"/>
              <w:rPr>
                <w:sz w:val="24"/>
                <w:szCs w:val="24"/>
              </w:rPr>
            </w:pPr>
            <w:r>
              <w:rPr>
                <w:sz w:val="24"/>
                <w:szCs w:val="24"/>
              </w:rPr>
              <w:t>68.282***</w:t>
            </w:r>
          </w:p>
          <w:p>
            <w:pPr>
              <w:pStyle w:val="ListParagraph"/>
              <w:spacing w:before="0" w:after="160"/>
              <w:ind w:left="0" w:hanging="0"/>
              <w:contextualSpacing/>
              <w:jc w:val="center"/>
              <w:rPr>
                <w:sz w:val="24"/>
                <w:szCs w:val="24"/>
              </w:rPr>
            </w:pPr>
            <w:r>
              <w:rPr>
                <w:sz w:val="24"/>
                <w:szCs w:val="24"/>
              </w:rPr>
              <w:t>(0.141)</w:t>
            </w:r>
          </w:p>
        </w:tc>
        <w:tc>
          <w:tcPr>
            <w:tcW w:w="1181" w:type="dxa"/>
            <w:tcBorders/>
            <w:shd w:color="auto" w:fill="D9E2F3" w:themeFill="accent1" w:themeFillTint="33" w:val="clear"/>
            <w:vAlign w:val="center"/>
          </w:tcPr>
          <w:p>
            <w:pPr>
              <w:pStyle w:val="ListParagraph"/>
              <w:ind w:left="0" w:hanging="0"/>
              <w:jc w:val="center"/>
              <w:rPr>
                <w:sz w:val="24"/>
                <w:szCs w:val="24"/>
              </w:rPr>
            </w:pPr>
            <w:r>
              <w:rPr>
                <w:sz w:val="24"/>
                <w:szCs w:val="24"/>
              </w:rPr>
              <w:t>0.106</w:t>
            </w:r>
          </w:p>
          <w:p>
            <w:pPr>
              <w:pStyle w:val="ListParagraph"/>
              <w:spacing w:before="0" w:after="160"/>
              <w:ind w:left="0" w:hanging="0"/>
              <w:contextualSpacing/>
              <w:jc w:val="center"/>
              <w:rPr>
                <w:sz w:val="24"/>
                <w:szCs w:val="24"/>
              </w:rPr>
            </w:pPr>
            <w:r>
              <w:rPr>
                <w:sz w:val="24"/>
                <w:szCs w:val="24"/>
              </w:rPr>
              <w:t>(0.226)</w:t>
            </w:r>
          </w:p>
        </w:tc>
        <w:tc>
          <w:tcPr>
            <w:tcW w:w="1276" w:type="dxa"/>
            <w:tcBorders/>
            <w:shd w:color="auto" w:fill="D9E2F3" w:themeFill="accent1" w:themeFillTint="33" w:val="clear"/>
            <w:vAlign w:val="center"/>
          </w:tcPr>
          <w:p>
            <w:pPr>
              <w:pStyle w:val="ListParagraph"/>
              <w:ind w:left="0" w:hanging="0"/>
              <w:jc w:val="center"/>
              <w:rPr>
                <w:sz w:val="24"/>
                <w:szCs w:val="24"/>
              </w:rPr>
            </w:pPr>
            <w:r>
              <w:rPr>
                <w:sz w:val="24"/>
                <w:szCs w:val="24"/>
              </w:rPr>
              <w:t>1.235***</w:t>
            </w:r>
          </w:p>
          <w:p>
            <w:pPr>
              <w:pStyle w:val="ListParagraph"/>
              <w:spacing w:before="0" w:after="160"/>
              <w:ind w:left="0" w:hanging="0"/>
              <w:contextualSpacing/>
              <w:jc w:val="center"/>
              <w:rPr>
                <w:sz w:val="24"/>
                <w:szCs w:val="24"/>
              </w:rPr>
            </w:pPr>
            <w:r>
              <w:rPr>
                <w:sz w:val="24"/>
                <w:szCs w:val="24"/>
              </w:rPr>
              <w:t>(0.282)</w:t>
            </w:r>
          </w:p>
        </w:tc>
        <w:tc>
          <w:tcPr>
            <w:tcW w:w="1414" w:type="dxa"/>
            <w:tcBorders/>
            <w:shd w:color="auto" w:fill="D9E2F3" w:themeFill="accent1" w:themeFillTint="33" w:val="clear"/>
            <w:vAlign w:val="center"/>
          </w:tcPr>
          <w:p>
            <w:pPr>
              <w:pStyle w:val="ListParagraph"/>
              <w:ind w:left="0" w:hanging="0"/>
              <w:jc w:val="center"/>
              <w:rPr>
                <w:sz w:val="24"/>
                <w:szCs w:val="24"/>
              </w:rPr>
            </w:pPr>
            <w:r>
              <w:rPr>
                <w:sz w:val="24"/>
                <w:szCs w:val="24"/>
              </w:rPr>
              <w:t>9.174***</w:t>
            </w:r>
          </w:p>
          <w:p>
            <w:pPr>
              <w:pStyle w:val="ListParagraph"/>
              <w:spacing w:before="0" w:after="160"/>
              <w:ind w:left="0" w:hanging="0"/>
              <w:contextualSpacing/>
              <w:jc w:val="center"/>
              <w:rPr>
                <w:sz w:val="24"/>
                <w:szCs w:val="24"/>
              </w:rPr>
            </w:pPr>
            <w:r>
              <w:rPr>
                <w:sz w:val="24"/>
                <w:szCs w:val="24"/>
              </w:rPr>
              <w:t>(0.205)</w:t>
            </w:r>
          </w:p>
        </w:tc>
        <w:tc>
          <w:tcPr>
            <w:tcW w:w="1552" w:type="dxa"/>
            <w:tcBorders/>
            <w:shd w:color="auto" w:fill="D9E2F3" w:themeFill="accent1" w:themeFillTint="33" w:val="clear"/>
          </w:tcPr>
          <w:p>
            <w:pPr>
              <w:pStyle w:val="ListParagraph"/>
              <w:ind w:left="0" w:hanging="0"/>
              <w:jc w:val="center"/>
              <w:rPr>
                <w:sz w:val="24"/>
                <w:szCs w:val="24"/>
              </w:rPr>
            </w:pPr>
            <w:r>
              <w:rPr>
                <w:sz w:val="24"/>
                <w:szCs w:val="24"/>
              </w:rPr>
              <w:t>0.236</w:t>
            </w:r>
          </w:p>
          <w:p>
            <w:pPr>
              <w:pStyle w:val="ListParagraph"/>
              <w:spacing w:before="0" w:after="160"/>
              <w:ind w:left="0" w:hanging="0"/>
              <w:contextualSpacing/>
              <w:jc w:val="center"/>
              <w:rPr>
                <w:sz w:val="24"/>
                <w:szCs w:val="24"/>
              </w:rPr>
            </w:pPr>
            <w:r>
              <w:rPr>
                <w:sz w:val="24"/>
                <w:szCs w:val="24"/>
              </w:rPr>
              <w:t>(0.521)</w:t>
            </w:r>
          </w:p>
        </w:tc>
        <w:tc>
          <w:tcPr>
            <w:tcW w:w="1413" w:type="dxa"/>
            <w:tcBorders/>
            <w:shd w:color="auto" w:fill="D9E2F3" w:themeFill="accent1" w:themeFillTint="33" w:val="clear"/>
          </w:tcPr>
          <w:p>
            <w:pPr>
              <w:pStyle w:val="ListParagraph"/>
              <w:ind w:left="0" w:hanging="0"/>
              <w:jc w:val="center"/>
              <w:rPr>
                <w:sz w:val="24"/>
                <w:szCs w:val="24"/>
              </w:rPr>
            </w:pPr>
            <w:r>
              <w:rPr>
                <w:sz w:val="24"/>
                <w:szCs w:val="24"/>
              </w:rPr>
              <w:t>0.206</w:t>
            </w:r>
          </w:p>
          <w:p>
            <w:pPr>
              <w:pStyle w:val="ListParagraph"/>
              <w:spacing w:before="0" w:after="160"/>
              <w:ind w:left="0" w:hanging="0"/>
              <w:contextualSpacing/>
              <w:jc w:val="center"/>
              <w:rPr>
                <w:sz w:val="24"/>
                <w:szCs w:val="24"/>
              </w:rPr>
            </w:pPr>
            <w:r>
              <w:rPr>
                <w:sz w:val="24"/>
                <w:szCs w:val="24"/>
              </w:rPr>
              <w:t>(0.302)</w:t>
            </w:r>
          </w:p>
        </w:tc>
        <w:tc>
          <w:tcPr>
            <w:tcW w:w="1117" w:type="dxa"/>
            <w:tcBorders/>
            <w:shd w:color="auto" w:fill="D9E2F3" w:themeFill="accent1" w:themeFillTint="33" w:val="clear"/>
          </w:tcPr>
          <w:p>
            <w:pPr>
              <w:pStyle w:val="ListParagraph"/>
              <w:ind w:left="0" w:hanging="0"/>
              <w:jc w:val="center"/>
              <w:rPr>
                <w:sz w:val="24"/>
                <w:szCs w:val="24"/>
              </w:rPr>
            </w:pPr>
            <w:r>
              <w:rPr>
                <w:sz w:val="24"/>
                <w:szCs w:val="24"/>
              </w:rPr>
              <w:t>-0.100</w:t>
            </w:r>
          </w:p>
          <w:p>
            <w:pPr>
              <w:pStyle w:val="ListParagraph"/>
              <w:spacing w:before="0" w:after="160"/>
              <w:ind w:left="0" w:hanging="0"/>
              <w:contextualSpacing/>
              <w:jc w:val="center"/>
              <w:rPr>
                <w:sz w:val="24"/>
                <w:szCs w:val="24"/>
              </w:rPr>
            </w:pPr>
            <w:r>
              <w:rPr>
                <w:sz w:val="24"/>
                <w:szCs w:val="24"/>
              </w:rPr>
              <w:t>(0.406)</w:t>
            </w:r>
          </w:p>
        </w:tc>
      </w:tr>
      <w:tr>
        <w:trPr>
          <w:trHeight w:val="672" w:hRule="atLeast"/>
        </w:trPr>
        <w:tc>
          <w:tcPr>
            <w:tcW w:w="1291" w:type="dxa"/>
            <w:vMerge w:val="continue"/>
            <w:tcBorders/>
            <w:shd w:color="auto" w:fill="8EAADB" w:themeFill="accent1" w:themeFillTint="99" w:val="clear"/>
            <w:vAlign w:val="center"/>
          </w:tcPr>
          <w:p>
            <w:pPr>
              <w:pStyle w:val="ListParagraph"/>
              <w:spacing w:before="0" w:after="160"/>
              <w:ind w:left="0" w:hanging="0"/>
              <w:contextualSpacing/>
              <w:jc w:val="center"/>
              <w:rPr>
                <w:b/>
                <w:b/>
                <w:sz w:val="24"/>
                <w:szCs w:val="24"/>
              </w:rPr>
            </w:pPr>
            <w:r>
              <w:rPr>
                <w:b/>
                <w:sz w:val="24"/>
                <w:szCs w:val="24"/>
              </w:rPr>
            </w:r>
          </w:p>
        </w:tc>
        <w:tc>
          <w:tcPr>
            <w:tcW w:w="1383" w:type="dxa"/>
            <w:tcBorders>
              <w:left w:val="single" w:sz="12" w:space="0" w:color="00000A"/>
              <w:right w:val="single" w:sz="12" w:space="0" w:color="00000A"/>
              <w:insideV w:val="single" w:sz="12" w:space="0" w:color="00000A"/>
            </w:tcBorders>
            <w:shd w:color="auto" w:fill="8EAADB" w:themeFill="accent1" w:themeFillTint="99" w:val="clear"/>
            <w:vAlign w:val="center"/>
          </w:tcPr>
          <w:p>
            <w:pPr>
              <w:pStyle w:val="ListParagraph"/>
              <w:ind w:left="0" w:hanging="0"/>
              <w:jc w:val="center"/>
              <w:rPr>
                <w:b/>
                <w:b/>
                <w:sz w:val="24"/>
                <w:szCs w:val="24"/>
              </w:rPr>
            </w:pPr>
            <w:r>
              <w:rPr>
                <w:b/>
                <w:sz w:val="24"/>
                <w:szCs w:val="24"/>
              </w:rPr>
              <w:t>High skill</w:t>
            </w:r>
          </w:p>
          <w:p>
            <w:pPr>
              <w:pStyle w:val="ListParagraph"/>
              <w:spacing w:before="0" w:after="160"/>
              <w:ind w:left="0" w:hanging="0"/>
              <w:contextualSpacing/>
              <w:jc w:val="center"/>
              <w:rPr>
                <w:b/>
                <w:b/>
                <w:sz w:val="24"/>
                <w:szCs w:val="24"/>
              </w:rPr>
            </w:pPr>
            <w:r>
              <w:rPr>
                <w:b/>
                <w:sz w:val="24"/>
                <w:szCs w:val="24"/>
              </w:rPr>
              <w:t>(t-stat)</w:t>
            </w:r>
          </w:p>
        </w:tc>
        <w:tc>
          <w:tcPr>
            <w:tcW w:w="1273" w:type="dxa"/>
            <w:tcBorders>
              <w:left w:val="single" w:sz="12" w:space="0" w:color="00000A"/>
            </w:tcBorders>
            <w:shd w:color="auto" w:fill="D9E2F3" w:themeFill="accent1" w:themeFillTint="33" w:val="clear"/>
            <w:vAlign w:val="center"/>
          </w:tcPr>
          <w:p>
            <w:pPr>
              <w:pStyle w:val="ListParagraph"/>
              <w:ind w:left="0" w:hanging="0"/>
              <w:jc w:val="center"/>
              <w:rPr>
                <w:sz w:val="24"/>
                <w:szCs w:val="24"/>
              </w:rPr>
            </w:pPr>
            <w:r>
              <w:rPr>
                <w:sz w:val="24"/>
                <w:szCs w:val="24"/>
              </w:rPr>
              <w:t>72.953***</w:t>
            </w:r>
          </w:p>
          <w:p>
            <w:pPr>
              <w:pStyle w:val="ListParagraph"/>
              <w:spacing w:before="0" w:after="160"/>
              <w:ind w:left="0" w:hanging="0"/>
              <w:contextualSpacing/>
              <w:jc w:val="center"/>
              <w:rPr>
                <w:sz w:val="24"/>
                <w:szCs w:val="24"/>
              </w:rPr>
            </w:pPr>
            <w:r>
              <w:rPr>
                <w:sz w:val="24"/>
                <w:szCs w:val="24"/>
              </w:rPr>
              <w:t>(0.234)</w:t>
            </w:r>
          </w:p>
        </w:tc>
        <w:tc>
          <w:tcPr>
            <w:tcW w:w="1181" w:type="dxa"/>
            <w:tcBorders/>
            <w:shd w:color="auto" w:fill="D9E2F3" w:themeFill="accent1" w:themeFillTint="33" w:val="clear"/>
            <w:vAlign w:val="center"/>
          </w:tcPr>
          <w:p>
            <w:pPr>
              <w:pStyle w:val="ListParagraph"/>
              <w:ind w:left="0" w:hanging="0"/>
              <w:jc w:val="center"/>
              <w:rPr>
                <w:sz w:val="24"/>
                <w:szCs w:val="24"/>
              </w:rPr>
            </w:pPr>
            <w:r>
              <w:rPr>
                <w:sz w:val="24"/>
                <w:szCs w:val="24"/>
              </w:rPr>
              <w:t>-0.059</w:t>
            </w:r>
          </w:p>
          <w:p>
            <w:pPr>
              <w:pStyle w:val="ListParagraph"/>
              <w:spacing w:before="0" w:after="160"/>
              <w:ind w:left="0" w:hanging="0"/>
              <w:contextualSpacing/>
              <w:jc w:val="center"/>
              <w:rPr>
                <w:sz w:val="24"/>
                <w:szCs w:val="24"/>
              </w:rPr>
            </w:pPr>
            <w:r>
              <w:rPr>
                <w:sz w:val="24"/>
                <w:szCs w:val="24"/>
              </w:rPr>
              <w:t>(0.456)</w:t>
            </w:r>
          </w:p>
        </w:tc>
        <w:tc>
          <w:tcPr>
            <w:tcW w:w="1276" w:type="dxa"/>
            <w:tcBorders/>
            <w:shd w:color="auto" w:fill="D9E2F3" w:themeFill="accent1" w:themeFillTint="33" w:val="clear"/>
            <w:vAlign w:val="center"/>
          </w:tcPr>
          <w:p>
            <w:pPr>
              <w:pStyle w:val="ListParagraph"/>
              <w:ind w:left="0" w:hanging="0"/>
              <w:jc w:val="center"/>
              <w:rPr>
                <w:sz w:val="24"/>
                <w:szCs w:val="24"/>
              </w:rPr>
            </w:pPr>
            <w:r>
              <w:rPr>
                <w:sz w:val="24"/>
                <w:szCs w:val="24"/>
              </w:rPr>
              <w:t>2.153***</w:t>
            </w:r>
          </w:p>
          <w:p>
            <w:pPr>
              <w:pStyle w:val="ListParagraph"/>
              <w:spacing w:before="0" w:after="160"/>
              <w:ind w:left="0" w:hanging="0"/>
              <w:contextualSpacing/>
              <w:jc w:val="center"/>
              <w:rPr>
                <w:sz w:val="24"/>
                <w:szCs w:val="24"/>
              </w:rPr>
            </w:pPr>
            <w:r>
              <w:rPr>
                <w:sz w:val="24"/>
                <w:szCs w:val="24"/>
              </w:rPr>
              <w:t>(0.532)</w:t>
            </w:r>
          </w:p>
        </w:tc>
        <w:tc>
          <w:tcPr>
            <w:tcW w:w="1414" w:type="dxa"/>
            <w:tcBorders/>
            <w:shd w:color="auto" w:fill="D9E2F3" w:themeFill="accent1" w:themeFillTint="33" w:val="clear"/>
            <w:vAlign w:val="center"/>
          </w:tcPr>
          <w:p>
            <w:pPr>
              <w:pStyle w:val="ListParagraph"/>
              <w:ind w:left="0" w:hanging="0"/>
              <w:jc w:val="center"/>
              <w:rPr>
                <w:sz w:val="24"/>
                <w:szCs w:val="24"/>
              </w:rPr>
            </w:pPr>
            <w:r>
              <w:rPr>
                <w:sz w:val="24"/>
                <w:szCs w:val="24"/>
              </w:rPr>
              <w:t>13.802***</w:t>
            </w:r>
          </w:p>
          <w:p>
            <w:pPr>
              <w:pStyle w:val="ListParagraph"/>
              <w:spacing w:before="0" w:after="160"/>
              <w:ind w:left="0" w:hanging="0"/>
              <w:contextualSpacing/>
              <w:jc w:val="center"/>
              <w:rPr>
                <w:sz w:val="24"/>
                <w:szCs w:val="24"/>
              </w:rPr>
            </w:pPr>
            <w:r>
              <w:rPr>
                <w:sz w:val="24"/>
                <w:szCs w:val="24"/>
              </w:rPr>
              <w:t>(0.393)</w:t>
            </w:r>
          </w:p>
        </w:tc>
        <w:tc>
          <w:tcPr>
            <w:tcW w:w="1552" w:type="dxa"/>
            <w:tcBorders/>
            <w:shd w:color="auto" w:fill="D9E2F3" w:themeFill="accent1" w:themeFillTint="33" w:val="clear"/>
          </w:tcPr>
          <w:p>
            <w:pPr>
              <w:pStyle w:val="ListParagraph"/>
              <w:ind w:left="0" w:hanging="0"/>
              <w:jc w:val="center"/>
              <w:rPr>
                <w:sz w:val="24"/>
                <w:szCs w:val="24"/>
              </w:rPr>
            </w:pPr>
            <w:r>
              <w:rPr>
                <w:sz w:val="24"/>
                <w:szCs w:val="24"/>
              </w:rPr>
              <w:t>-0.500</w:t>
            </w:r>
          </w:p>
          <w:p>
            <w:pPr>
              <w:pStyle w:val="ListParagraph"/>
              <w:spacing w:before="0" w:after="160"/>
              <w:ind w:left="0" w:hanging="0"/>
              <w:contextualSpacing/>
              <w:jc w:val="center"/>
              <w:rPr>
                <w:sz w:val="24"/>
                <w:szCs w:val="24"/>
              </w:rPr>
            </w:pPr>
            <w:r>
              <w:rPr>
                <w:sz w:val="24"/>
                <w:szCs w:val="24"/>
              </w:rPr>
              <w:t>(1.039)</w:t>
            </w:r>
          </w:p>
        </w:tc>
        <w:tc>
          <w:tcPr>
            <w:tcW w:w="1413" w:type="dxa"/>
            <w:tcBorders/>
            <w:shd w:color="auto" w:fill="D9E2F3" w:themeFill="accent1" w:themeFillTint="33" w:val="clear"/>
          </w:tcPr>
          <w:p>
            <w:pPr>
              <w:pStyle w:val="ListParagraph"/>
              <w:ind w:left="0" w:hanging="0"/>
              <w:jc w:val="center"/>
              <w:rPr>
                <w:sz w:val="24"/>
                <w:szCs w:val="24"/>
              </w:rPr>
            </w:pPr>
            <w:r>
              <w:rPr>
                <w:sz w:val="24"/>
                <w:szCs w:val="24"/>
              </w:rPr>
              <w:t>-0.561</w:t>
            </w:r>
          </w:p>
          <w:p>
            <w:pPr>
              <w:pStyle w:val="ListParagraph"/>
              <w:spacing w:before="0" w:after="160"/>
              <w:ind w:left="0" w:hanging="0"/>
              <w:contextualSpacing/>
              <w:jc w:val="center"/>
              <w:rPr>
                <w:sz w:val="24"/>
                <w:szCs w:val="24"/>
              </w:rPr>
            </w:pPr>
            <w:r>
              <w:rPr>
                <w:sz w:val="24"/>
                <w:szCs w:val="24"/>
              </w:rPr>
              <w:t>(0.707)</w:t>
            </w:r>
          </w:p>
        </w:tc>
        <w:tc>
          <w:tcPr>
            <w:tcW w:w="1117" w:type="dxa"/>
            <w:tcBorders/>
            <w:shd w:color="auto" w:fill="D9E2F3" w:themeFill="accent1" w:themeFillTint="33" w:val="clear"/>
          </w:tcPr>
          <w:p>
            <w:pPr>
              <w:pStyle w:val="ListParagraph"/>
              <w:ind w:left="0" w:hanging="0"/>
              <w:jc w:val="center"/>
              <w:rPr>
                <w:sz w:val="24"/>
                <w:szCs w:val="24"/>
              </w:rPr>
            </w:pPr>
            <w:r>
              <w:rPr>
                <w:sz w:val="24"/>
                <w:szCs w:val="24"/>
              </w:rPr>
              <w:t>0.502</w:t>
            </w:r>
          </w:p>
          <w:p>
            <w:pPr>
              <w:pStyle w:val="ListParagraph"/>
              <w:spacing w:before="0" w:after="160"/>
              <w:ind w:left="0" w:hanging="0"/>
              <w:contextualSpacing/>
              <w:jc w:val="center"/>
              <w:rPr>
                <w:sz w:val="24"/>
                <w:szCs w:val="24"/>
              </w:rPr>
            </w:pPr>
            <w:r>
              <w:rPr>
                <w:sz w:val="24"/>
                <w:szCs w:val="24"/>
              </w:rPr>
              <w:t>(0.734)</w:t>
            </w:r>
          </w:p>
        </w:tc>
      </w:tr>
      <w:tr>
        <w:trPr>
          <w:trHeight w:val="688" w:hRule="atLeast"/>
        </w:trPr>
        <w:tc>
          <w:tcPr>
            <w:tcW w:w="1291" w:type="dxa"/>
            <w:vMerge w:val="continue"/>
            <w:tcBorders/>
            <w:shd w:color="auto" w:fill="8EAADB" w:themeFill="accent1" w:themeFillTint="99" w:val="clear"/>
            <w:vAlign w:val="center"/>
          </w:tcPr>
          <w:p>
            <w:pPr>
              <w:pStyle w:val="ListParagraph"/>
              <w:spacing w:before="0" w:after="160"/>
              <w:ind w:left="0" w:hanging="0"/>
              <w:contextualSpacing/>
              <w:jc w:val="center"/>
              <w:rPr>
                <w:b/>
                <w:b/>
                <w:sz w:val="24"/>
                <w:szCs w:val="24"/>
              </w:rPr>
            </w:pPr>
            <w:r>
              <w:rPr>
                <w:b/>
                <w:sz w:val="24"/>
                <w:szCs w:val="24"/>
              </w:rPr>
            </w:r>
          </w:p>
        </w:tc>
        <w:tc>
          <w:tcPr>
            <w:tcW w:w="1383" w:type="dxa"/>
            <w:tcBorders>
              <w:left w:val="single" w:sz="12" w:space="0" w:color="00000A"/>
              <w:right w:val="single" w:sz="12" w:space="0" w:color="00000A"/>
              <w:insideV w:val="single" w:sz="12" w:space="0" w:color="00000A"/>
            </w:tcBorders>
            <w:shd w:color="auto" w:fill="8EAADB" w:themeFill="accent1" w:themeFillTint="99" w:val="clear"/>
            <w:vAlign w:val="center"/>
          </w:tcPr>
          <w:p>
            <w:pPr>
              <w:pStyle w:val="ListParagraph"/>
              <w:ind w:left="0" w:hanging="0"/>
              <w:jc w:val="center"/>
              <w:rPr>
                <w:b/>
                <w:b/>
                <w:sz w:val="24"/>
                <w:szCs w:val="24"/>
              </w:rPr>
            </w:pPr>
            <w:r>
              <w:rPr>
                <w:b/>
                <w:sz w:val="24"/>
                <w:szCs w:val="24"/>
              </w:rPr>
              <w:t>Low skill</w:t>
            </w:r>
          </w:p>
          <w:p>
            <w:pPr>
              <w:pStyle w:val="ListParagraph"/>
              <w:spacing w:before="0" w:after="160"/>
              <w:ind w:left="0" w:hanging="0"/>
              <w:contextualSpacing/>
              <w:jc w:val="center"/>
              <w:rPr>
                <w:b/>
                <w:b/>
                <w:sz w:val="24"/>
                <w:szCs w:val="24"/>
              </w:rPr>
            </w:pPr>
            <w:r>
              <w:rPr>
                <w:b/>
                <w:sz w:val="24"/>
                <w:szCs w:val="24"/>
              </w:rPr>
              <w:t>(t-stat)</w:t>
            </w:r>
          </w:p>
        </w:tc>
        <w:tc>
          <w:tcPr>
            <w:tcW w:w="1273" w:type="dxa"/>
            <w:tcBorders>
              <w:left w:val="single" w:sz="12" w:space="0" w:color="00000A"/>
            </w:tcBorders>
            <w:shd w:color="auto" w:fill="D9E2F3" w:themeFill="accent1" w:themeFillTint="33" w:val="clear"/>
            <w:vAlign w:val="center"/>
          </w:tcPr>
          <w:p>
            <w:pPr>
              <w:pStyle w:val="ListParagraph"/>
              <w:ind w:left="0" w:hanging="0"/>
              <w:jc w:val="center"/>
              <w:rPr>
                <w:sz w:val="24"/>
                <w:szCs w:val="24"/>
              </w:rPr>
            </w:pPr>
            <w:r>
              <w:rPr>
                <w:sz w:val="24"/>
                <w:szCs w:val="24"/>
              </w:rPr>
              <w:t>68.771***</w:t>
            </w:r>
          </w:p>
          <w:p>
            <w:pPr>
              <w:pStyle w:val="ListParagraph"/>
              <w:spacing w:before="0" w:after="160"/>
              <w:ind w:left="0" w:hanging="0"/>
              <w:contextualSpacing/>
              <w:jc w:val="center"/>
              <w:rPr>
                <w:sz w:val="24"/>
                <w:szCs w:val="24"/>
              </w:rPr>
            </w:pPr>
            <w:r>
              <w:rPr>
                <w:sz w:val="24"/>
                <w:szCs w:val="24"/>
              </w:rPr>
              <w:t>(0.131)</w:t>
            </w:r>
          </w:p>
        </w:tc>
        <w:tc>
          <w:tcPr>
            <w:tcW w:w="1181" w:type="dxa"/>
            <w:tcBorders/>
            <w:shd w:color="auto" w:fill="D9E2F3" w:themeFill="accent1" w:themeFillTint="33" w:val="clear"/>
            <w:vAlign w:val="center"/>
          </w:tcPr>
          <w:p>
            <w:pPr>
              <w:pStyle w:val="ListParagraph"/>
              <w:ind w:left="0" w:hanging="0"/>
              <w:jc w:val="center"/>
              <w:rPr>
                <w:sz w:val="24"/>
                <w:szCs w:val="24"/>
              </w:rPr>
            </w:pPr>
            <w:r>
              <w:rPr>
                <w:sz w:val="24"/>
                <w:szCs w:val="24"/>
              </w:rPr>
              <w:t>0.193</w:t>
            </w:r>
          </w:p>
          <w:p>
            <w:pPr>
              <w:pStyle w:val="ListParagraph"/>
              <w:spacing w:before="0" w:after="160"/>
              <w:ind w:left="0" w:hanging="0"/>
              <w:contextualSpacing/>
              <w:jc w:val="center"/>
              <w:rPr>
                <w:sz w:val="24"/>
                <w:szCs w:val="24"/>
              </w:rPr>
            </w:pPr>
            <w:r>
              <w:rPr>
                <w:sz w:val="24"/>
                <w:szCs w:val="24"/>
              </w:rPr>
              <w:t>(0.192)</w:t>
            </w:r>
          </w:p>
        </w:tc>
        <w:tc>
          <w:tcPr>
            <w:tcW w:w="1276" w:type="dxa"/>
            <w:tcBorders/>
            <w:shd w:color="auto" w:fill="D9E2F3" w:themeFill="accent1" w:themeFillTint="33" w:val="clear"/>
            <w:vAlign w:val="center"/>
          </w:tcPr>
          <w:p>
            <w:pPr>
              <w:pStyle w:val="ListParagraph"/>
              <w:ind w:left="0" w:hanging="0"/>
              <w:jc w:val="center"/>
              <w:rPr>
                <w:sz w:val="24"/>
                <w:szCs w:val="24"/>
              </w:rPr>
            </w:pPr>
            <w:r>
              <w:rPr>
                <w:sz w:val="24"/>
                <w:szCs w:val="24"/>
              </w:rPr>
              <w:t>1.683***</w:t>
            </w:r>
          </w:p>
          <w:p>
            <w:pPr>
              <w:pStyle w:val="ListParagraph"/>
              <w:spacing w:before="0" w:after="160"/>
              <w:ind w:left="0" w:hanging="0"/>
              <w:contextualSpacing/>
              <w:jc w:val="center"/>
              <w:rPr>
                <w:sz w:val="24"/>
                <w:szCs w:val="24"/>
              </w:rPr>
            </w:pPr>
            <w:r>
              <w:rPr>
                <w:sz w:val="24"/>
                <w:szCs w:val="24"/>
              </w:rPr>
              <w:t>(0.242)</w:t>
            </w:r>
          </w:p>
        </w:tc>
        <w:tc>
          <w:tcPr>
            <w:tcW w:w="1414" w:type="dxa"/>
            <w:tcBorders/>
            <w:shd w:color="auto" w:fill="D9E2F3" w:themeFill="accent1" w:themeFillTint="33" w:val="clear"/>
            <w:vAlign w:val="center"/>
          </w:tcPr>
          <w:p>
            <w:pPr>
              <w:pStyle w:val="ListParagraph"/>
              <w:ind w:left="0" w:hanging="0"/>
              <w:jc w:val="center"/>
              <w:rPr>
                <w:sz w:val="24"/>
                <w:szCs w:val="24"/>
              </w:rPr>
            </w:pPr>
            <w:r>
              <w:rPr>
                <w:sz w:val="24"/>
                <w:szCs w:val="24"/>
              </w:rPr>
              <w:t>10.374***</w:t>
            </w:r>
          </w:p>
          <w:p>
            <w:pPr>
              <w:pStyle w:val="ListParagraph"/>
              <w:spacing w:before="0" w:after="160"/>
              <w:ind w:left="0" w:hanging="0"/>
              <w:contextualSpacing/>
              <w:jc w:val="center"/>
              <w:rPr>
                <w:sz w:val="24"/>
                <w:szCs w:val="24"/>
              </w:rPr>
            </w:pPr>
            <w:r>
              <w:rPr>
                <w:sz w:val="24"/>
                <w:szCs w:val="24"/>
              </w:rPr>
              <w:t>(0.182)</w:t>
            </w:r>
          </w:p>
        </w:tc>
        <w:tc>
          <w:tcPr>
            <w:tcW w:w="1552" w:type="dxa"/>
            <w:tcBorders/>
            <w:shd w:color="auto" w:fill="D9E2F3" w:themeFill="accent1" w:themeFillTint="33" w:val="clear"/>
          </w:tcPr>
          <w:p>
            <w:pPr>
              <w:pStyle w:val="ListParagraph"/>
              <w:ind w:left="0" w:hanging="0"/>
              <w:jc w:val="center"/>
              <w:rPr>
                <w:sz w:val="24"/>
                <w:szCs w:val="24"/>
              </w:rPr>
            </w:pPr>
            <w:r>
              <w:rPr>
                <w:sz w:val="24"/>
                <w:szCs w:val="24"/>
              </w:rPr>
              <w:t>0.565</w:t>
            </w:r>
          </w:p>
          <w:p>
            <w:pPr>
              <w:pStyle w:val="ListParagraph"/>
              <w:spacing w:before="0" w:after="160"/>
              <w:ind w:left="0" w:hanging="0"/>
              <w:contextualSpacing/>
              <w:jc w:val="center"/>
              <w:rPr>
                <w:sz w:val="24"/>
                <w:szCs w:val="24"/>
              </w:rPr>
            </w:pPr>
            <w:r>
              <w:rPr>
                <w:sz w:val="24"/>
                <w:szCs w:val="24"/>
              </w:rPr>
              <w:t>(0.446)</w:t>
            </w:r>
          </w:p>
        </w:tc>
        <w:tc>
          <w:tcPr>
            <w:tcW w:w="1413" w:type="dxa"/>
            <w:tcBorders/>
            <w:shd w:color="auto" w:fill="D9E2F3" w:themeFill="accent1" w:themeFillTint="33" w:val="clear"/>
          </w:tcPr>
          <w:p>
            <w:pPr>
              <w:pStyle w:val="ListParagraph"/>
              <w:ind w:left="0" w:hanging="0"/>
              <w:jc w:val="center"/>
              <w:rPr>
                <w:sz w:val="24"/>
                <w:szCs w:val="24"/>
              </w:rPr>
            </w:pPr>
            <w:r>
              <w:rPr>
                <w:sz w:val="24"/>
                <w:szCs w:val="24"/>
              </w:rPr>
              <w:t>0.359</w:t>
            </w:r>
          </w:p>
          <w:p>
            <w:pPr>
              <w:pStyle w:val="ListParagraph"/>
              <w:spacing w:before="0" w:after="160"/>
              <w:ind w:left="0" w:hanging="0"/>
              <w:contextualSpacing/>
              <w:jc w:val="center"/>
              <w:rPr>
                <w:sz w:val="24"/>
                <w:szCs w:val="24"/>
              </w:rPr>
            </w:pPr>
            <w:r>
              <w:rPr>
                <w:sz w:val="24"/>
                <w:szCs w:val="24"/>
              </w:rPr>
              <w:t>(0.266)</w:t>
            </w:r>
          </w:p>
        </w:tc>
        <w:tc>
          <w:tcPr>
            <w:tcW w:w="1117" w:type="dxa"/>
            <w:tcBorders/>
            <w:shd w:color="auto" w:fill="D9E2F3" w:themeFill="accent1" w:themeFillTint="33" w:val="clear"/>
          </w:tcPr>
          <w:p>
            <w:pPr>
              <w:pStyle w:val="ListParagraph"/>
              <w:ind w:left="0" w:hanging="0"/>
              <w:jc w:val="center"/>
              <w:rPr>
                <w:sz w:val="24"/>
                <w:szCs w:val="24"/>
              </w:rPr>
            </w:pPr>
            <w:r>
              <w:rPr>
                <w:sz w:val="24"/>
                <w:szCs w:val="24"/>
              </w:rPr>
              <w:t>-0.166</w:t>
            </w:r>
          </w:p>
          <w:p>
            <w:pPr>
              <w:pStyle w:val="ListParagraph"/>
              <w:spacing w:before="0" w:after="160"/>
              <w:ind w:left="0" w:hanging="0"/>
              <w:contextualSpacing/>
              <w:jc w:val="center"/>
              <w:rPr>
                <w:sz w:val="24"/>
                <w:szCs w:val="24"/>
              </w:rPr>
            </w:pPr>
            <w:r>
              <w:rPr>
                <w:sz w:val="24"/>
                <w:szCs w:val="24"/>
              </w:rPr>
              <w:t>(0.338)</w:t>
            </w:r>
          </w:p>
        </w:tc>
      </w:tr>
      <w:tr>
        <w:trPr>
          <w:trHeight w:val="656" w:hRule="atLeast"/>
        </w:trPr>
        <w:tc>
          <w:tcPr>
            <w:tcW w:w="1291" w:type="dxa"/>
            <w:tcBorders/>
            <w:shd w:color="auto" w:fill="8EAADB" w:themeFill="accent1" w:themeFillTint="99" w:val="clear"/>
            <w:vAlign w:val="center"/>
          </w:tcPr>
          <w:p>
            <w:pPr>
              <w:pStyle w:val="ListParagraph"/>
              <w:ind w:left="0" w:hanging="0"/>
              <w:jc w:val="center"/>
              <w:rPr>
                <w:b/>
                <w:b/>
                <w:sz w:val="24"/>
                <w:szCs w:val="24"/>
              </w:rPr>
            </w:pPr>
            <w:r>
              <w:rPr>
                <w:b/>
                <w:sz w:val="24"/>
                <w:szCs w:val="24"/>
              </w:rPr>
              <w:t>Ephemeral</w:t>
            </w:r>
          </w:p>
          <w:p>
            <w:pPr>
              <w:pStyle w:val="ListParagraph"/>
              <w:spacing w:before="0" w:after="160"/>
              <w:ind w:left="0" w:hanging="0"/>
              <w:contextualSpacing/>
              <w:jc w:val="center"/>
              <w:rPr>
                <w:b/>
                <w:b/>
                <w:sz w:val="24"/>
                <w:szCs w:val="24"/>
              </w:rPr>
            </w:pPr>
            <w:r>
              <w:rPr>
                <w:b/>
                <w:sz w:val="24"/>
                <w:szCs w:val="24"/>
              </w:rPr>
              <w:t>Players</w:t>
            </w:r>
          </w:p>
        </w:tc>
        <w:tc>
          <w:tcPr>
            <w:tcW w:w="1383" w:type="dxa"/>
            <w:tcBorders>
              <w:left w:val="single" w:sz="12" w:space="0" w:color="00000A"/>
              <w:right w:val="single" w:sz="12" w:space="0" w:color="00000A"/>
              <w:insideV w:val="single" w:sz="12" w:space="0" w:color="00000A"/>
            </w:tcBorders>
            <w:shd w:color="auto" w:fill="8EAADB" w:themeFill="accent1" w:themeFillTint="99" w:val="clear"/>
            <w:vAlign w:val="center"/>
          </w:tcPr>
          <w:p>
            <w:pPr>
              <w:pStyle w:val="ListParagraph"/>
              <w:spacing w:before="0" w:after="160"/>
              <w:ind w:left="0" w:hanging="0"/>
              <w:contextualSpacing/>
              <w:jc w:val="center"/>
              <w:rPr>
                <w:sz w:val="24"/>
                <w:szCs w:val="24"/>
              </w:rPr>
            </w:pPr>
            <w:r>
              <w:rPr>
                <w:sz w:val="24"/>
                <w:szCs w:val="24"/>
              </w:rPr>
            </w:r>
          </w:p>
        </w:tc>
        <w:tc>
          <w:tcPr>
            <w:tcW w:w="1273" w:type="dxa"/>
            <w:tcBorders>
              <w:left w:val="single" w:sz="12" w:space="0" w:color="00000A"/>
            </w:tcBorders>
            <w:shd w:color="auto" w:fill="D9E2F3" w:themeFill="accent1" w:themeFillTint="33" w:val="clear"/>
            <w:vAlign w:val="center"/>
          </w:tcPr>
          <w:p>
            <w:pPr>
              <w:pStyle w:val="ListParagraph"/>
              <w:ind w:left="0" w:hanging="0"/>
              <w:jc w:val="center"/>
              <w:rPr>
                <w:sz w:val="24"/>
                <w:szCs w:val="24"/>
              </w:rPr>
            </w:pPr>
            <w:r>
              <w:rPr>
                <w:sz w:val="24"/>
                <w:szCs w:val="24"/>
              </w:rPr>
              <w:t>71.721***</w:t>
            </w:r>
          </w:p>
          <w:p>
            <w:pPr>
              <w:pStyle w:val="ListParagraph"/>
              <w:spacing w:before="0" w:after="160"/>
              <w:ind w:left="0" w:hanging="0"/>
              <w:contextualSpacing/>
              <w:jc w:val="center"/>
              <w:rPr>
                <w:sz w:val="24"/>
                <w:szCs w:val="24"/>
              </w:rPr>
            </w:pPr>
            <w:r>
              <w:rPr>
                <w:sz w:val="24"/>
                <w:szCs w:val="24"/>
              </w:rPr>
              <w:t>(0.223)</w:t>
            </w:r>
          </w:p>
        </w:tc>
        <w:tc>
          <w:tcPr>
            <w:tcW w:w="1181" w:type="dxa"/>
            <w:tcBorders/>
            <w:shd w:color="auto" w:fill="D9E2F3" w:themeFill="accent1" w:themeFillTint="33" w:val="clear"/>
            <w:vAlign w:val="center"/>
          </w:tcPr>
          <w:p>
            <w:pPr>
              <w:pStyle w:val="ListParagraph"/>
              <w:ind w:left="0" w:hanging="0"/>
              <w:jc w:val="center"/>
              <w:rPr>
                <w:sz w:val="24"/>
                <w:szCs w:val="24"/>
              </w:rPr>
            </w:pPr>
            <w:r>
              <w:rPr>
                <w:sz w:val="24"/>
                <w:szCs w:val="24"/>
              </w:rPr>
              <w:t>0.000</w:t>
            </w:r>
          </w:p>
          <w:p>
            <w:pPr>
              <w:pStyle w:val="ListParagraph"/>
              <w:spacing w:before="0" w:after="160"/>
              <w:ind w:left="0" w:hanging="0"/>
              <w:contextualSpacing/>
              <w:jc w:val="center"/>
              <w:rPr>
                <w:sz w:val="24"/>
                <w:szCs w:val="24"/>
              </w:rPr>
            </w:pPr>
            <w:r>
              <w:rPr>
                <w:sz w:val="24"/>
                <w:szCs w:val="24"/>
              </w:rPr>
              <w:t>(0.000)</w:t>
            </w:r>
          </w:p>
        </w:tc>
        <w:tc>
          <w:tcPr>
            <w:tcW w:w="1276" w:type="dxa"/>
            <w:tcBorders/>
            <w:shd w:color="auto" w:fill="D9E2F3" w:themeFill="accent1" w:themeFillTint="33" w:val="clear"/>
            <w:vAlign w:val="center"/>
          </w:tcPr>
          <w:p>
            <w:pPr>
              <w:pStyle w:val="ListParagraph"/>
              <w:ind w:left="0" w:hanging="0"/>
              <w:jc w:val="center"/>
              <w:rPr>
                <w:sz w:val="24"/>
                <w:szCs w:val="24"/>
              </w:rPr>
            </w:pPr>
            <w:r>
              <w:rPr>
                <w:sz w:val="24"/>
                <w:szCs w:val="24"/>
              </w:rPr>
              <w:t>-0.269</w:t>
            </w:r>
          </w:p>
          <w:p>
            <w:pPr>
              <w:pStyle w:val="ListParagraph"/>
              <w:spacing w:before="0" w:after="160"/>
              <w:ind w:left="0" w:hanging="0"/>
              <w:contextualSpacing/>
              <w:jc w:val="center"/>
              <w:rPr>
                <w:sz w:val="24"/>
                <w:szCs w:val="24"/>
              </w:rPr>
            </w:pPr>
            <w:r>
              <w:rPr>
                <w:sz w:val="24"/>
                <w:szCs w:val="24"/>
              </w:rPr>
              <w:t>(0.441)</w:t>
            </w:r>
          </w:p>
        </w:tc>
        <w:tc>
          <w:tcPr>
            <w:tcW w:w="1414" w:type="dxa"/>
            <w:tcBorders/>
            <w:shd w:color="auto" w:fill="D9E2F3" w:themeFill="accent1" w:themeFillTint="33" w:val="clear"/>
            <w:vAlign w:val="center"/>
          </w:tcPr>
          <w:p>
            <w:pPr>
              <w:pStyle w:val="ListParagraph"/>
              <w:ind w:left="0" w:hanging="0"/>
              <w:jc w:val="center"/>
              <w:rPr>
                <w:sz w:val="24"/>
                <w:szCs w:val="24"/>
              </w:rPr>
            </w:pPr>
            <w:r>
              <w:rPr>
                <w:sz w:val="24"/>
                <w:szCs w:val="24"/>
              </w:rPr>
              <w:t>16.010***</w:t>
            </w:r>
          </w:p>
          <w:p>
            <w:pPr>
              <w:pStyle w:val="ListParagraph"/>
              <w:spacing w:before="0" w:after="160"/>
              <w:ind w:left="0" w:hanging="0"/>
              <w:contextualSpacing/>
              <w:jc w:val="center"/>
              <w:rPr>
                <w:sz w:val="24"/>
                <w:szCs w:val="24"/>
              </w:rPr>
            </w:pPr>
            <w:r>
              <w:rPr>
                <w:sz w:val="24"/>
                <w:szCs w:val="24"/>
              </w:rPr>
              <w:t>(0.279)</w:t>
            </w:r>
          </w:p>
        </w:tc>
        <w:tc>
          <w:tcPr>
            <w:tcW w:w="1552" w:type="dxa"/>
            <w:tcBorders/>
            <w:shd w:color="auto" w:fill="D9E2F3" w:themeFill="accent1" w:themeFillTint="33" w:val="clear"/>
          </w:tcPr>
          <w:p>
            <w:pPr>
              <w:pStyle w:val="ListParagraph"/>
              <w:ind w:left="0" w:hanging="0"/>
              <w:jc w:val="center"/>
              <w:rPr>
                <w:sz w:val="24"/>
                <w:szCs w:val="24"/>
              </w:rPr>
            </w:pPr>
            <w:r>
              <w:rPr>
                <w:sz w:val="24"/>
                <w:szCs w:val="24"/>
              </w:rPr>
              <w:t>0.000</w:t>
            </w:r>
          </w:p>
          <w:p>
            <w:pPr>
              <w:pStyle w:val="ListParagraph"/>
              <w:spacing w:before="0" w:after="160"/>
              <w:ind w:left="0" w:hanging="0"/>
              <w:contextualSpacing/>
              <w:jc w:val="center"/>
              <w:rPr>
                <w:sz w:val="24"/>
                <w:szCs w:val="24"/>
              </w:rPr>
            </w:pPr>
            <w:r>
              <w:rPr>
                <w:sz w:val="24"/>
                <w:szCs w:val="24"/>
              </w:rPr>
              <w:t>(0.000)</w:t>
            </w:r>
          </w:p>
        </w:tc>
        <w:tc>
          <w:tcPr>
            <w:tcW w:w="1413" w:type="dxa"/>
            <w:tcBorders/>
            <w:shd w:color="auto" w:fill="D9E2F3" w:themeFill="accent1" w:themeFillTint="33" w:val="clear"/>
          </w:tcPr>
          <w:p>
            <w:pPr>
              <w:pStyle w:val="ListParagraph"/>
              <w:ind w:left="0" w:hanging="0"/>
              <w:jc w:val="center"/>
              <w:rPr>
                <w:sz w:val="24"/>
                <w:szCs w:val="24"/>
              </w:rPr>
            </w:pPr>
            <w:r>
              <w:rPr>
                <w:sz w:val="24"/>
                <w:szCs w:val="24"/>
              </w:rPr>
              <w:t>0.000</w:t>
            </w:r>
          </w:p>
          <w:p>
            <w:pPr>
              <w:pStyle w:val="ListParagraph"/>
              <w:spacing w:before="0" w:after="160"/>
              <w:ind w:left="0" w:hanging="0"/>
              <w:contextualSpacing/>
              <w:jc w:val="center"/>
              <w:rPr>
                <w:sz w:val="24"/>
                <w:szCs w:val="24"/>
              </w:rPr>
            </w:pPr>
            <w:r>
              <w:rPr>
                <w:sz w:val="24"/>
                <w:szCs w:val="24"/>
              </w:rPr>
              <w:t>(0.000)</w:t>
            </w:r>
          </w:p>
        </w:tc>
        <w:tc>
          <w:tcPr>
            <w:tcW w:w="1117" w:type="dxa"/>
            <w:tcBorders/>
            <w:shd w:color="auto" w:fill="D9E2F3" w:themeFill="accent1" w:themeFillTint="33" w:val="clear"/>
          </w:tcPr>
          <w:p>
            <w:pPr>
              <w:pStyle w:val="ListParagraph"/>
              <w:ind w:left="0" w:hanging="0"/>
              <w:jc w:val="center"/>
              <w:rPr>
                <w:sz w:val="20"/>
                <w:szCs w:val="24"/>
              </w:rPr>
            </w:pPr>
            <w:r>
              <w:rPr>
                <w:sz w:val="24"/>
                <w:szCs w:val="24"/>
              </w:rPr>
              <w:t>0.000</w:t>
            </w:r>
          </w:p>
          <w:p>
            <w:pPr>
              <w:pStyle w:val="ListParagraph"/>
              <w:spacing w:before="0" w:after="160"/>
              <w:ind w:left="0" w:hanging="0"/>
              <w:contextualSpacing/>
              <w:jc w:val="center"/>
              <w:rPr>
                <w:sz w:val="20"/>
                <w:szCs w:val="24"/>
              </w:rPr>
            </w:pPr>
            <w:r>
              <w:rPr>
                <w:szCs w:val="24"/>
              </w:rPr>
              <w:t>(0.000)</w:t>
            </w:r>
          </w:p>
        </w:tc>
      </w:tr>
    </w:tbl>
    <w:p>
      <w:pPr>
        <w:pStyle w:val="ListParagraph"/>
        <w:ind w:left="0" w:hanging="0"/>
        <w:jc w:val="center"/>
        <w:rPr>
          <w:i/>
          <w:i/>
          <w:sz w:val="24"/>
          <w:szCs w:val="24"/>
        </w:rPr>
      </w:pPr>
      <w:r>
        <w:rPr>
          <w:b/>
          <w:sz w:val="24"/>
        </w:rPr>
        <w:t>Table 2.</w:t>
      </w:r>
      <w:r>
        <w:rPr>
          <w:i/>
          <w:sz w:val="24"/>
        </w:rPr>
        <w:t xml:space="preserve"> Strategies of players against other player types and during price change. </w:t>
      </w:r>
      <w:r>
        <w:rPr>
          <w:i/>
          <w:sz w:val="24"/>
          <w:szCs w:val="24"/>
        </w:rPr>
        <w:t>Standard errors in parentheses. Rows are estimates for different groups of players. Columns are the effect of different opponent types and price changes on mixed strategy probabilities.</w:t>
      </w:r>
    </w:p>
    <w:p>
      <w:pPr>
        <w:pStyle w:val="Normal"/>
        <w:rPr>
          <w:sz w:val="24"/>
        </w:rPr>
      </w:pPr>
      <w:r>
        <w:rPr>
          <w:sz w:val="24"/>
        </w:rPr>
      </w:r>
    </w:p>
    <w:p>
      <w:pPr>
        <w:pStyle w:val="Normal"/>
        <w:rPr>
          <w:sz w:val="24"/>
        </w:rPr>
      </w:pPr>
      <w:r>
        <w:rPr>
          <w:sz w:val="24"/>
        </w:rPr>
        <w:t>appendix. Some model specifications show a statistically significant but economically insignificant change (sometimes in the opposite direction as expected).</w:t>
      </w:r>
    </w:p>
    <w:p>
      <w:pPr>
        <w:pStyle w:val="ListParagraph"/>
        <w:ind w:left="0" w:hanging="0"/>
        <w:rPr>
          <w:sz w:val="24"/>
        </w:rPr>
      </w:pPr>
      <w:r>
        <w:rPr>
          <w:sz w:val="24"/>
          <w:szCs w:val="24"/>
        </w:rPr>
        <w:t xml:space="preserve">It’s important to note that the difference in expected value and strategies used between player groups playing against each other are endogenous and the result of some learning process. As such, only the </w:t>
      </w:r>
      <w:r>
        <w:rPr>
          <w:i/>
          <w:sz w:val="24"/>
          <w:szCs w:val="24"/>
        </w:rPr>
        <w:t>Increased Price</w:t>
      </w:r>
      <w:r>
        <w:rPr>
          <w:sz w:val="24"/>
          <w:szCs w:val="24"/>
        </w:rPr>
        <w:t xml:space="preserve"> column can be used to identify our natural experiment. That said, players</w:t>
      </w:r>
      <w:r>
        <w:rPr>
          <w:sz w:val="24"/>
        </w:rPr>
        <w:t xml:space="preserve"> of all types are highly aware and adjust their strategies to large differences in player skill. </w:t>
      </w:r>
    </w:p>
    <w:p>
      <w:pPr>
        <w:pStyle w:val="ListParagraph"/>
        <w:ind w:left="0" w:hanging="0"/>
        <w:rPr>
          <w:sz w:val="24"/>
        </w:rPr>
      </w:pPr>
      <w:r>
        <w:rPr>
          <w:sz w:val="24"/>
        </w:rPr>
      </w:r>
    </w:p>
    <w:p>
      <w:pPr>
        <w:pStyle w:val="ListParagraph"/>
        <w:ind w:left="0" w:hanging="0"/>
        <w:rPr>
          <w:sz w:val="24"/>
          <w:szCs w:val="24"/>
        </w:rPr>
      </w:pPr>
      <w:r>
        <w:rPr>
          <w:sz w:val="24"/>
          <w:szCs w:val="24"/>
        </w:rPr>
        <w:t>The reason why high skill players are unaffected by the price change cannot be explained by some clever adaptation to the game structure. The lack of change in expected value seems instead to come from differences in play style. High skill players tend to play more aggressively and selectively, lending itself to shorter hands and fewer actions after a flop is dealt. High skill players also win faster against ephemeral players (the largest losers in our zero-sum economy) leading to shorter matches and less rake collected.</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t>Overall, these results indicate that low skill poker players do not respond to changes in payoffs, even large ones, in our game. These results cannot be extrapolated to high skill players because that group was not affected by the price increase.</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r>
    </w:p>
    <w:p>
      <w:pPr>
        <w:pStyle w:val="ListParagraph"/>
        <w:ind w:left="0" w:hanging="0"/>
        <w:rPr>
          <w:sz w:val="24"/>
          <w:szCs w:val="24"/>
        </w:rPr>
      </w:pPr>
      <w:r>
        <w:rPr>
          <w:sz w:val="24"/>
          <w:szCs w:val="24"/>
        </w:rPr>
      </w:r>
    </w:p>
    <w:p>
      <w:pPr>
        <w:pStyle w:val="ListParagraph"/>
        <w:ind w:left="0" w:hanging="0"/>
        <w:rPr>
          <w:sz w:val="24"/>
          <w:szCs w:val="24"/>
        </w:rPr>
      </w:pPr>
      <w:r>
        <w:rPr>
          <w:sz w:val="24"/>
          <w:szCs w:val="24"/>
        </w:rPr>
      </w:r>
    </w:p>
    <w:p>
      <w:pPr>
        <w:pStyle w:val="ListParagraph"/>
        <w:ind w:left="0" w:hanging="0"/>
        <w:rPr>
          <w:b/>
          <w:b/>
          <w:sz w:val="24"/>
          <w:szCs w:val="24"/>
        </w:rPr>
      </w:pPr>
      <w:r>
        <w:rPr>
          <w:b/>
          <w:sz w:val="24"/>
          <w:szCs w:val="24"/>
        </w:rPr>
      </w:r>
    </w:p>
    <w:p>
      <w:pPr>
        <w:pStyle w:val="ListParagraph"/>
        <w:numPr>
          <w:ilvl w:val="0"/>
          <w:numId w:val="3"/>
        </w:numPr>
        <w:rPr>
          <w:b/>
          <w:b/>
          <w:sz w:val="24"/>
          <w:szCs w:val="24"/>
        </w:rPr>
      </w:pPr>
      <w:r>
        <w:rPr>
          <w:b/>
          <w:sz w:val="32"/>
          <w:szCs w:val="24"/>
        </w:rPr>
        <w:t>Rake, expected value and strategy</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t xml:space="preserve">We now turn our attention to how much players strategies </w:t>
      </w:r>
      <w:r>
        <w:rPr>
          <w:i/>
          <w:sz w:val="24"/>
          <w:szCs w:val="24"/>
        </w:rPr>
        <w:t>should have</w:t>
      </w:r>
      <w:r>
        <w:rPr>
          <w:sz w:val="24"/>
          <w:szCs w:val="24"/>
        </w:rPr>
        <w:t xml:space="preserve"> adapted.</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t>We can decompose the expected value of a poker position as such:</w:t>
      </w:r>
    </w:p>
    <w:p>
      <w:pPr>
        <w:pStyle w:val="ListParagraph"/>
        <w:ind w:left="0" w:hanging="0"/>
        <w:rPr>
          <w:sz w:val="24"/>
          <w:szCs w:val="24"/>
        </w:rPr>
      </w:pPr>
      <w:r>
        <w:rPr>
          <w:sz w:val="24"/>
          <w:szCs w:val="24"/>
        </w:rPr>
      </w:r>
    </w:p>
    <w:p>
      <w:pPr>
        <w:pStyle w:val="ListParagraph"/>
        <w:ind w:left="0" w:hanging="0"/>
        <w:rPr>
          <w:sz w:val="24"/>
          <w:szCs w:val="24"/>
        </w:rPr>
      </w:pPr>
      <w:r>
        <w:rPr/>
      </w:r>
      <m:oMath xmlns:m="http://schemas.openxmlformats.org/officeDocument/2006/math">
        <m:r>
          <w:rPr>
            <w:rFonts w:ascii="Cambria Math" w:hAnsi="Cambria Math"/>
          </w:rPr>
          <m:t xml:space="preserve">EV</m:t>
        </m:r>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EQ</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P</m:t>
            </m:r>
            <m:r>
              <w:rPr>
                <w:rFonts w:ascii="Cambria Math" w:hAnsi="Cambria Math"/>
              </w:rPr>
              <m:t xml:space="preserve">1,</m:t>
            </m:r>
            <m:r>
              <w:rPr>
                <w:rFonts w:ascii="Cambria Math" w:hAnsi="Cambria Math"/>
              </w:rPr>
              <m:t xml:space="preserve">P</m:t>
            </m:r>
            <m:r>
              <w:rPr>
                <w:rFonts w:ascii="Cambria Math" w:hAnsi="Cambria Math"/>
              </w:rPr>
              <m:t xml:space="preserve">2,</m:t>
            </m:r>
            <m:r>
              <w:rPr>
                <w:rFonts w:ascii="Cambria Math" w:hAnsi="Cambria Math"/>
              </w:rPr>
              <m:t xml:space="preserve">I</m:t>
            </m:r>
          </m:sub>
        </m:sSub>
        <m:r>
          <w:rPr>
            <w:rFonts w:ascii="Cambria Math" w:hAnsi="Cambria Math"/>
          </w:rPr>
          <m:t xml:space="preserve">−</m:t>
        </m:r>
        <m:sSub>
          <m:e>
            <m:r>
              <w:rPr>
                <w:rFonts w:ascii="Cambria Math" w:hAnsi="Cambria Math"/>
              </w:rPr>
              <m:t xml:space="preserve">rake</m:t>
            </m:r>
          </m:e>
          <m:sub>
            <m:r>
              <w:rPr>
                <w:rFonts w:ascii="Cambria Math" w:hAnsi="Cambria Math"/>
              </w:rPr>
              <m:t xml:space="preserve">I</m:t>
            </m:r>
            <m:r>
              <w:rPr>
                <w:rFonts w:ascii="Cambria Math" w:hAnsi="Cambria Math"/>
              </w:rPr>
              <m:t xml:space="preserve">,</m:t>
            </m:r>
            <m:r>
              <w:rPr>
                <w:rFonts w:ascii="Cambria Math" w:hAnsi="Cambria Math"/>
              </w:rPr>
              <m:t xml:space="preserve">P</m:t>
            </m:r>
          </m:sub>
        </m:sSub>
      </m:oMath>
    </w:p>
    <w:p>
      <w:pPr>
        <w:pStyle w:val="ListParagraph"/>
        <w:ind w:left="0" w:hanging="0"/>
        <w:rPr>
          <w:sz w:val="24"/>
          <w:szCs w:val="24"/>
        </w:rPr>
      </w:pPr>
      <w:r>
        <w:rPr>
          <w:sz w:val="24"/>
          <w:szCs w:val="24"/>
        </w:rPr>
      </w:r>
    </w:p>
    <w:p>
      <w:pPr>
        <w:pStyle w:val="ListParagraph"/>
        <w:ind w:left="0" w:hanging="0"/>
        <w:rPr>
          <w:sz w:val="24"/>
          <w:szCs w:val="24"/>
        </w:rPr>
      </w:pPr>
      <w:r>
        <w:rPr>
          <w:sz w:val="24"/>
          <w:szCs w:val="24"/>
        </w:rPr>
        <w:t xml:space="preserve">Where </w:t>
      </w:r>
      <w:r>
        <w:rPr>
          <w:sz w:val="24"/>
          <w:szCs w:val="24"/>
        </w:rPr>
      </w:r>
      <m:oMath xmlns:m="http://schemas.openxmlformats.org/officeDocument/2006/math">
        <m:r>
          <w:rPr>
            <w:rFonts w:ascii="Cambria Math" w:hAnsi="Cambria Math"/>
          </w:rPr>
          <m:t xml:space="preserve">EV</m:t>
        </m:r>
      </m:oMath>
      <w:r>
        <w:rPr>
          <w:sz w:val="24"/>
          <w:szCs w:val="24"/>
        </w:rPr>
        <w:t xml:space="preserve"> is the expected value of the situation (or information set) </w:t>
      </w:r>
      <w:r>
        <w:rPr>
          <w:sz w:val="24"/>
          <w:szCs w:val="24"/>
        </w:rPr>
      </w:r>
      <m:oMath xmlns:m="http://schemas.openxmlformats.org/officeDocument/2006/math">
        <m:r>
          <w:rPr>
            <w:rFonts w:ascii="Cambria Math" w:hAnsi="Cambria Math"/>
          </w:rPr>
          <m:t xml:space="preserve">I</m:t>
        </m:r>
      </m:oMath>
      <w:r>
        <w:rPr>
          <w:sz w:val="24"/>
          <w:szCs w:val="24"/>
        </w:rPr>
        <w:t xml:space="preserve"> for player </w:t>
      </w:r>
      <w:r>
        <w:rPr>
          <w:i/>
          <w:sz w:val="24"/>
          <w:szCs w:val="24"/>
        </w:rPr>
        <w:t xml:space="preserve">P1 </w:t>
      </w:r>
      <w:r>
        <w:rPr>
          <w:sz w:val="24"/>
          <w:szCs w:val="24"/>
        </w:rPr>
        <w:t xml:space="preserve">against player </w:t>
      </w:r>
      <w:r>
        <w:rPr>
          <w:i/>
          <w:sz w:val="24"/>
          <w:szCs w:val="24"/>
        </w:rPr>
        <w:t>P2</w:t>
      </w:r>
      <w:r>
        <w:rPr>
          <w:sz w:val="24"/>
          <w:szCs w:val="24"/>
        </w:rPr>
        <w:t xml:space="preserve">. </w:t>
      </w:r>
      <w:r>
        <w:rPr>
          <w:i/>
          <w:sz w:val="24"/>
          <w:szCs w:val="24"/>
        </w:rPr>
        <w:t>P</w:t>
      </w:r>
      <w:r>
        <w:rPr>
          <w:sz w:val="24"/>
          <w:szCs w:val="24"/>
        </w:rPr>
        <w:t xml:space="preserve"> is the amount of contested money (denominated by the minimum bet, or big blind, in the game).</w:t>
      </w:r>
      <w:r>
        <w:rPr>
          <w:sz w:val="24"/>
          <w:szCs w:val="24"/>
        </w:rPr>
      </w:r>
      <m:oMath xmlns:m="http://schemas.openxmlformats.org/officeDocument/2006/math">
        <m:sSub>
          <m:e>
            <m:r>
              <w:rPr>
                <w:rFonts w:ascii="Cambria Math" w:hAnsi="Cambria Math"/>
              </w:rPr>
              <m:t xml:space="preserve">EQ</m:t>
            </m:r>
          </m:e>
          <m:sub>
            <m:r>
              <w:rPr>
                <w:rFonts w:ascii="Cambria Math" w:hAnsi="Cambria Math"/>
              </w:rPr>
              <m:t xml:space="preserve">I</m:t>
            </m:r>
          </m:sub>
        </m:sSub>
      </m:oMath>
      <w:r>
        <w:rPr>
          <w:sz w:val="24"/>
          <w:szCs w:val="24"/>
        </w:rPr>
        <w:t xml:space="preserve"> is the </w:t>
      </w:r>
      <w:r>
        <w:rPr>
          <w:i/>
          <w:sz w:val="24"/>
          <w:szCs w:val="24"/>
        </w:rPr>
        <w:t>“equity”</w:t>
      </w:r>
      <w:r>
        <w:rPr>
          <w:sz w:val="24"/>
          <w:szCs w:val="24"/>
        </w:rPr>
        <w:t xml:space="preserve"> of player 1’s private holding or distribution of possible private holdings against the distribution of private holdings by player 2. The “equity” is the percentage of times player 1 will win against player 2 if no further actions are taken by either player until the hand ends). If a player wins the hand, his payoff is </w:t>
      </w:r>
      <w:r>
        <w:rPr>
          <w:sz w:val="24"/>
          <w:szCs w:val="24"/>
        </w:rPr>
      </w:r>
      <m:oMath xmlns:m="http://schemas.openxmlformats.org/officeDocument/2006/math">
        <m:f>
          <m:num>
            <m:r>
              <w:rPr>
                <w:rFonts w:ascii="Cambria Math" w:hAnsi="Cambria Math"/>
              </w:rPr>
              <m:t xml:space="preserve">P</m:t>
            </m:r>
          </m:num>
          <m:den>
            <m:r>
              <w:rPr>
                <w:rFonts w:ascii="Cambria Math" w:hAnsi="Cambria Math"/>
              </w:rPr>
              <m:t xml:space="preserve">2</m:t>
            </m:r>
          </m:den>
        </m:f>
      </m:oMath>
      <w:r>
        <w:rPr>
          <w:sz w:val="24"/>
          <w:szCs w:val="24"/>
        </w:rPr>
        <w:t xml:space="preserve">, that is the half of </w:t>
      </w:r>
      <w:r>
        <w:rPr>
          <w:sz w:val="24"/>
          <w:szCs w:val="24"/>
        </w:rPr>
      </w:r>
      <m:oMath xmlns:m="http://schemas.openxmlformats.org/officeDocument/2006/math">
        <m:r>
          <w:rPr>
            <w:rFonts w:ascii="Cambria Math" w:hAnsi="Cambria Math"/>
          </w:rPr>
          <m:t xml:space="preserve">P</m:t>
        </m:r>
      </m:oMath>
      <w:r>
        <w:rPr>
          <w:sz w:val="24"/>
          <w:szCs w:val="24"/>
        </w:rPr>
        <w:t xml:space="preserve"> that the opponent contributed. Similarly, if the player loses the hand, his payoff is </w:t>
      </w:r>
      <w:r>
        <w:rPr>
          <w:sz w:val="24"/>
          <w:szCs w:val="24"/>
        </w:rPr>
      </w:r>
      <m:oMath xmlns:m="http://schemas.openxmlformats.org/officeDocument/2006/math">
        <m:f>
          <m:num>
            <m:r>
              <w:rPr>
                <w:rFonts w:ascii="Cambria Math" w:hAnsi="Cambria Math"/>
              </w:rPr>
              <m:t xml:space="preserve">−</m:t>
            </m:r>
            <m:r>
              <w:rPr>
                <w:rFonts w:ascii="Cambria Math" w:hAnsi="Cambria Math"/>
              </w:rPr>
              <m:t xml:space="preserve">P</m:t>
            </m:r>
          </m:num>
          <m:den>
            <m:r>
              <w:rPr>
                <w:rFonts w:ascii="Cambria Math" w:hAnsi="Cambria Math"/>
              </w:rPr>
              <m:t xml:space="preserve">2</m:t>
            </m:r>
          </m:den>
        </m:f>
      </m:oMath>
      <w:r>
        <w:rPr>
          <w:sz w:val="24"/>
          <w:szCs w:val="24"/>
        </w:rPr>
        <w:t xml:space="preserve">. The variable </w:t>
      </w:r>
      <w:r>
        <w:rPr>
          <w:sz w:val="24"/>
          <w:szCs w:val="24"/>
        </w:rPr>
      </w:r>
      <m:oMath xmlns:m="http://schemas.openxmlformats.org/officeDocument/2006/math">
        <m:sSub>
          <m:e>
            <m:r>
              <w:rPr>
                <w:rFonts w:ascii="Cambria Math" w:hAnsi="Cambria Math"/>
              </w:rPr>
              <m:t xml:space="preserve">R</m:t>
            </m:r>
          </m:e>
          <m:sub>
            <m:r>
              <w:rPr>
                <w:rFonts w:ascii="Cambria Math" w:hAnsi="Cambria Math"/>
              </w:rPr>
              <m:t xml:space="preserve">P</m:t>
            </m:r>
            <m:r>
              <w:rPr>
                <w:rFonts w:ascii="Cambria Math" w:hAnsi="Cambria Math"/>
              </w:rPr>
              <m:t xml:space="preserve">1,</m:t>
            </m:r>
            <m:r>
              <w:rPr>
                <w:rFonts w:ascii="Cambria Math" w:hAnsi="Cambria Math"/>
              </w:rPr>
              <m:t xml:space="preserve">P</m:t>
            </m:r>
            <m:r>
              <w:rPr>
                <w:rFonts w:ascii="Cambria Math" w:hAnsi="Cambria Math"/>
              </w:rPr>
              <m:t xml:space="preserve">2,</m:t>
            </m:r>
            <m:r>
              <w:rPr>
                <w:rFonts w:ascii="Cambria Math" w:hAnsi="Cambria Math"/>
              </w:rPr>
              <m:t xml:space="preserve">I</m:t>
            </m:r>
          </m:sub>
        </m:sSub>
      </m:oMath>
      <w:r>
        <w:rPr>
          <w:sz w:val="24"/>
          <w:szCs w:val="24"/>
        </w:rPr>
        <w:t xml:space="preserve"> is a non-negative real number, and is a free parameter to adjust </w:t>
      </w:r>
      <w:r>
        <w:rPr>
          <w:sz w:val="24"/>
          <w:szCs w:val="24"/>
        </w:rPr>
      </w:r>
      <m:oMath xmlns:m="http://schemas.openxmlformats.org/officeDocument/2006/math">
        <m:r>
          <w:rPr>
            <w:rFonts w:ascii="Cambria Math" w:hAnsi="Cambria Math"/>
          </w:rPr>
          <m:t xml:space="preserve">EV</m:t>
        </m:r>
      </m:oMath>
      <w:r>
        <w:rPr>
          <w:sz w:val="24"/>
          <w:szCs w:val="24"/>
        </w:rPr>
        <w:t xml:space="preserve">  outcomes for players’ strategies in the situation </w:t>
      </w:r>
      <w:r>
        <w:rPr>
          <w:sz w:val="24"/>
          <w:szCs w:val="24"/>
        </w:rPr>
      </w:r>
      <m:oMath xmlns:m="http://schemas.openxmlformats.org/officeDocument/2006/math">
        <m:r>
          <w:rPr>
            <w:rFonts w:ascii="Cambria Math" w:hAnsi="Cambria Math"/>
          </w:rPr>
          <m:t xml:space="preserve">I</m:t>
        </m:r>
      </m:oMath>
      <w:r>
        <w:rPr>
          <w:sz w:val="24"/>
          <w:szCs w:val="24"/>
        </w:rPr>
        <w:t xml:space="preserve">. It can be thought of as the “equity realization factor”. In the case that both players play in such a way to have the same outcome as not acting, </w:t>
      </w:r>
      <w:r>
        <w:rPr>
          <w:sz w:val="24"/>
          <w:szCs w:val="24"/>
        </w:rPr>
      </w:r>
      <m:oMath xmlns:m="http://schemas.openxmlformats.org/officeDocument/2006/math">
        <m:sSub>
          <m:e>
            <m:r>
              <w:rPr>
                <w:rFonts w:ascii="Cambria Math" w:hAnsi="Cambria Math"/>
              </w:rPr>
              <m:t xml:space="preserve">R</m:t>
            </m:r>
          </m:e>
          <m:sub>
            <m:r>
              <w:rPr>
                <w:rFonts w:ascii="Cambria Math" w:hAnsi="Cambria Math"/>
              </w:rPr>
              <m:t xml:space="preserve">P</m:t>
            </m:r>
            <m:r>
              <w:rPr>
                <w:rFonts w:ascii="Cambria Math" w:hAnsi="Cambria Math"/>
              </w:rPr>
              <m:t xml:space="preserve">1,</m:t>
            </m:r>
            <m:r>
              <w:rPr>
                <w:rFonts w:ascii="Cambria Math" w:hAnsi="Cambria Math"/>
              </w:rPr>
              <m:t xml:space="preserve">P</m:t>
            </m:r>
            <m:r>
              <w:rPr>
                <w:rFonts w:ascii="Cambria Math" w:hAnsi="Cambria Math"/>
              </w:rPr>
              <m:t xml:space="preserve">2,</m:t>
            </m:r>
            <m:r>
              <w:rPr>
                <w:rFonts w:ascii="Cambria Math" w:hAnsi="Cambria Math"/>
              </w:rPr>
              <m:t xml:space="preserve">I</m:t>
            </m:r>
          </m:sub>
        </m:sSub>
      </m:oMath>
      <w:r>
        <w:rPr>
          <w:sz w:val="24"/>
          <w:szCs w:val="24"/>
        </w:rPr>
        <w:t xml:space="preserve"> would take the value of 1. Lastly, </w:t>
      </w:r>
      <w:r>
        <w:rPr>
          <w:sz w:val="24"/>
          <w:szCs w:val="24"/>
        </w:rPr>
      </w:r>
      <m:oMath xmlns:m="http://schemas.openxmlformats.org/officeDocument/2006/math">
        <m:sSub>
          <m:e>
            <m:r>
              <w:rPr>
                <w:rFonts w:ascii="Cambria Math" w:hAnsi="Cambria Math"/>
              </w:rPr>
              <m:t xml:space="preserve">rake</m:t>
            </m:r>
          </m:e>
          <m:sub>
            <m:r>
              <w:rPr>
                <w:rFonts w:ascii="Cambria Math" w:hAnsi="Cambria Math"/>
              </w:rPr>
              <m:t xml:space="preserve">I</m:t>
            </m:r>
            <m:r>
              <w:rPr>
                <w:rFonts w:ascii="Cambria Math" w:hAnsi="Cambria Math"/>
              </w:rPr>
              <m:t xml:space="preserve">,</m:t>
            </m:r>
            <m:r>
              <w:rPr>
                <w:rFonts w:ascii="Cambria Math" w:hAnsi="Cambria Math"/>
              </w:rPr>
              <m:t xml:space="preserve">P</m:t>
            </m:r>
          </m:sub>
        </m:sSub>
      </m:oMath>
      <w:r>
        <w:rPr>
          <w:sz w:val="24"/>
          <w:szCs w:val="24"/>
        </w:rPr>
        <w:t xml:space="preserve"> is the price charged, that is the amount of money removed from </w:t>
      </w:r>
      <w:r>
        <w:rPr>
          <w:i/>
          <w:sz w:val="24"/>
          <w:szCs w:val="24"/>
        </w:rPr>
        <w:t>P</w:t>
      </w:r>
      <w:r>
        <w:rPr>
          <w:sz w:val="24"/>
          <w:szCs w:val="24"/>
        </w:rPr>
        <w:t xml:space="preserve"> by the host of the game. Note that it depends on the situation as the price is not charged before a situation where a flop is dealt.</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t xml:space="preserve">We are interested in the effect change in </w:t>
      </w:r>
      <w:r>
        <w:rPr>
          <w:sz w:val="24"/>
          <w:szCs w:val="24"/>
        </w:rPr>
      </w:r>
      <m:oMath xmlns:m="http://schemas.openxmlformats.org/officeDocument/2006/math">
        <m:r>
          <w:rPr>
            <w:rFonts w:ascii="Cambria Math" w:hAnsi="Cambria Math"/>
          </w:rPr>
          <m:t xml:space="preserve">rake</m:t>
        </m:r>
      </m:oMath>
      <w:r>
        <w:rPr>
          <w:sz w:val="24"/>
          <w:szCs w:val="24"/>
        </w:rPr>
        <w:t xml:space="preserve"> on the expected value of a situation, and by consequence his strategy. </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t xml:space="preserve">Because situations we are interested in have a distribution of possible holdings for both players, </w:t>
      </w:r>
      <w:r>
        <w:rPr>
          <w:sz w:val="24"/>
          <w:szCs w:val="24"/>
        </w:rPr>
      </w:r>
      <m:oMath xmlns:m="http://schemas.openxmlformats.org/officeDocument/2006/math">
        <m:sSub>
          <m:e>
            <m:r>
              <w:rPr>
                <w:rFonts w:ascii="Cambria Math" w:hAnsi="Cambria Math"/>
              </w:rPr>
              <m:t xml:space="preserve">EQ</m:t>
            </m:r>
          </m:e>
          <m:sub>
            <m:r>
              <w:rPr>
                <w:rFonts w:ascii="Cambria Math" w:hAnsi="Cambria Math"/>
              </w:rPr>
              <m:t xml:space="preserve">I</m:t>
            </m:r>
          </m:sub>
        </m:sSub>
      </m:oMath>
      <w:r>
        <w:rPr>
          <w:sz w:val="24"/>
          <w:szCs w:val="24"/>
        </w:rPr>
        <w:t xml:space="preserve"> is a distribution rather than a scalar. This for the player second to act is discrete, containing all  </w:t>
      </w:r>
      <w:r>
        <w:rPr>
          <w:sz w:val="24"/>
          <w:szCs w:val="24"/>
        </w:rPr>
      </w:r>
      <m:oMath xmlns:m="http://schemas.openxmlformats.org/officeDocument/2006/math"/>
      <w:r>
        <w:rPr>
          <w:sz w:val="24"/>
          <w:szCs w:val="24"/>
        </w:rPr>
        <w:t xml:space="preserve"> possible private holdings in poker because it is the player’s first decision node.</w:t>
      </w:r>
    </w:p>
    <w:p>
      <w:pPr>
        <w:pStyle w:val="ListParagraph"/>
        <w:ind w:left="0" w:hanging="0"/>
        <w:rPr>
          <w:sz w:val="24"/>
          <w:szCs w:val="24"/>
        </w:rPr>
      </w:pPr>
      <w:r>
        <w:rPr>
          <w:sz w:val="24"/>
          <w:szCs w:val="24"/>
        </w:rPr>
      </w:r>
    </w:p>
    <w:p>
      <w:pPr>
        <w:pStyle w:val="ListParagraph"/>
        <w:ind w:left="0" w:hanging="0"/>
        <w:rPr>
          <w:sz w:val="24"/>
          <w:szCs w:val="24"/>
        </w:rPr>
      </w:pPr>
      <w:r>
        <w:rPr>
          <w:b/>
          <w:sz w:val="24"/>
          <w:szCs w:val="24"/>
        </w:rPr>
        <w:t>Figure 5</w:t>
      </w:r>
      <w:r>
        <w:rPr>
          <w:sz w:val="24"/>
          <w:szCs w:val="24"/>
        </w:rPr>
        <w:t xml:space="preserve"> plots </w:t>
      </w:r>
      <w:r>
        <w:rPr>
          <w:sz w:val="24"/>
          <w:szCs w:val="24"/>
        </w:rPr>
      </w:r>
      <m:oMath xmlns:m="http://schemas.openxmlformats.org/officeDocument/2006/math">
        <m:sSub>
          <m:e>
            <m:r>
              <w:rPr>
                <w:rFonts w:ascii="Cambria Math" w:hAnsi="Cambria Math"/>
              </w:rPr>
              <m:t xml:space="preserve">EQ</m:t>
            </m:r>
          </m:e>
          <m:sub>
            <m:r>
              <w:rPr>
                <w:rFonts w:ascii="Cambria Math" w:hAnsi="Cambria Math"/>
              </w:rPr>
              <m:t xml:space="preserve">I</m:t>
            </m:r>
          </m:sub>
        </m:sSub>
      </m:oMath>
      <w:r>
        <w:rPr>
          <w:sz w:val="24"/>
          <w:szCs w:val="24"/>
        </w:rPr>
        <w:t xml:space="preserve"> in the </w:t>
      </w:r>
      <w:r>
        <w:rPr>
          <w:i/>
          <w:sz w:val="24"/>
          <w:szCs w:val="24"/>
        </w:rPr>
        <w:t>second to act facing raise</w:t>
      </w:r>
      <w:r>
        <w:rPr>
          <w:sz w:val="24"/>
          <w:szCs w:val="24"/>
        </w:rPr>
        <w:t xml:space="preserve"> situation when facing a low skill player as defined in section 4. The population of low skill players elect to raise with a 70% frequency, which we model as the strongest 70% of possible private holdings. The player second to act facing raise will have 100% of possible holdings as this is his first action. This is done by 100,000 montecarlo trials simulating a poker hand with no actions taken by either player using the </w:t>
      </w:r>
      <w:r>
        <w:rPr>
          <w:i/>
          <w:sz w:val="24"/>
          <w:szCs w:val="24"/>
        </w:rPr>
        <w:t>Odds Oracle</w:t>
      </w:r>
      <w:r>
        <w:rPr>
          <w:sz w:val="24"/>
          <w:szCs w:val="24"/>
        </w:rPr>
        <w:t xml:space="preserve"> software</w:t>
      </w:r>
      <w:r>
        <w:rPr>
          <w:rStyle w:val="FootnoteAnchor"/>
          <w:rStyle w:val="FootnoteAnchor"/>
          <w:sz w:val="24"/>
          <w:szCs w:val="24"/>
        </w:rPr>
        <w:footnoteReference w:id="8"/>
      </w:r>
      <w:r>
        <w:rPr>
          <w:sz w:val="24"/>
          <w:szCs w:val="24"/>
        </w:rPr>
        <w:t>.</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drawing>
          <wp:anchor behindDoc="0" distT="0" distB="6350" distL="114300" distR="123190" simplePos="0" locked="0" layoutInCell="1" allowOverlap="1" relativeHeight="7">
            <wp:simplePos x="0" y="0"/>
            <wp:positionH relativeFrom="column">
              <wp:posOffset>0</wp:posOffset>
            </wp:positionH>
            <wp:positionV relativeFrom="paragraph">
              <wp:posOffset>635</wp:posOffset>
            </wp:positionV>
            <wp:extent cx="3933825" cy="2527300"/>
            <wp:effectExtent l="0" t="0" r="0" b="0"/>
            <wp:wrapSquare wrapText="bothSides"/>
            <wp:docPr id="6" name="Picture 4" descr="C:\Users\Matt\AppData\Local\Microsoft\Windows\INetCache\Content.Word\equ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Matt\AppData\Local\Microsoft\Windows\INetCache\Content.Word\equity.png"/>
                    <pic:cNvPicPr>
                      <a:picLocks noChangeAspect="1" noChangeArrowheads="1"/>
                    </pic:cNvPicPr>
                  </pic:nvPicPr>
                  <pic:blipFill>
                    <a:blip r:embed="rId7"/>
                    <a:stretch>
                      <a:fillRect/>
                    </a:stretch>
                  </pic:blipFill>
                  <pic:spPr bwMode="auto">
                    <a:xfrm>
                      <a:off x="0" y="0"/>
                      <a:ext cx="3933825" cy="2527300"/>
                    </a:xfrm>
                    <a:prstGeom prst="rect">
                      <a:avLst/>
                    </a:prstGeom>
                  </pic:spPr>
                </pic:pic>
              </a:graphicData>
            </a:graphic>
          </wp:anchor>
        </w:drawing>
      </w:r>
    </w:p>
    <w:p>
      <w:pPr>
        <w:pStyle w:val="ListParagraph"/>
        <w:ind w:left="0" w:hanging="0"/>
        <w:rPr>
          <w:b/>
          <w:b/>
          <w:sz w:val="24"/>
          <w:szCs w:val="24"/>
        </w:rPr>
      </w:pPr>
      <w:r>
        <w:rPr>
          <w:b/>
          <w:sz w:val="24"/>
          <w:szCs w:val="24"/>
        </w:rPr>
      </w:r>
    </w:p>
    <w:p>
      <w:pPr>
        <w:pStyle w:val="ListParagraph"/>
        <w:ind w:left="0" w:hanging="0"/>
        <w:jc w:val="center"/>
        <w:rPr>
          <w:sz w:val="24"/>
          <w:szCs w:val="24"/>
        </w:rPr>
      </w:pPr>
      <w:r>
        <w:rPr>
          <w:b/>
          <w:sz w:val="24"/>
          <w:szCs w:val="24"/>
        </w:rPr>
        <w:t xml:space="preserve">Figure 5. </w:t>
      </w:r>
      <w:r>
        <w:rPr>
          <w:i/>
          <w:sz w:val="24"/>
          <w:szCs w:val="24"/>
        </w:rPr>
        <w:t xml:space="preserve">Emprirical distribution of </w:t>
      </w:r>
      <w:r>
        <w:rPr>
          <w:i/>
          <w:sz w:val="24"/>
          <w:szCs w:val="24"/>
        </w:rPr>
      </w:r>
      <m:oMath xmlns:m="http://schemas.openxmlformats.org/officeDocument/2006/math">
        <m:sSub>
          <m:e>
            <m:r>
              <w:rPr>
                <w:rFonts w:ascii="Cambria Math" w:hAnsi="Cambria Math"/>
              </w:rPr>
              <m:t xml:space="preserve">EQ</m:t>
            </m:r>
          </m:e>
          <m:sub>
            <m:r>
              <w:rPr>
                <w:rFonts w:ascii="Cambria Math" w:hAnsi="Cambria Math"/>
              </w:rPr>
              <m:t xml:space="preserve">I</m:t>
            </m:r>
          </m:sub>
        </m:sSub>
      </m:oMath>
      <w:r>
        <w:rPr>
          <w:i/>
          <w:sz w:val="24"/>
          <w:szCs w:val="24"/>
        </w:rPr>
        <w:t xml:space="preserve"> for the “second to act facing raise” position when facing a “low skill” opponent in the treatment group. X axis is the frequency at which the player has the </w:t>
      </w:r>
      <w:r>
        <w:rPr>
          <w:i/>
          <w:sz w:val="24"/>
          <w:szCs w:val="24"/>
        </w:rPr>
      </w:r>
      <m:oMath xmlns:m="http://schemas.openxmlformats.org/officeDocument/2006/math">
        <m:sSub>
          <m:e>
            <m:r>
              <w:rPr>
                <w:rFonts w:ascii="Cambria Math" w:hAnsi="Cambria Math"/>
              </w:rPr>
              <m:t xml:space="preserve">EQ</m:t>
            </m:r>
          </m:e>
          <m:sub>
            <m:r>
              <w:rPr>
                <w:rFonts w:ascii="Cambria Math" w:hAnsi="Cambria Math"/>
              </w:rPr>
              <m:t xml:space="preserve">I</m:t>
            </m:r>
          </m:sub>
        </m:sSub>
      </m:oMath>
      <w:r>
        <w:rPr>
          <w:i/>
          <w:sz w:val="24"/>
          <w:szCs w:val="24"/>
        </w:rPr>
        <w:t xml:space="preserve"> in the Y axis.</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r>
    </w:p>
    <w:p>
      <w:pPr>
        <w:pStyle w:val="ListParagraph"/>
        <w:ind w:left="0" w:hanging="0"/>
        <w:rPr>
          <w:sz w:val="24"/>
          <w:szCs w:val="24"/>
        </w:rPr>
      </w:pPr>
      <w:r>
        <w:rPr>
          <w:sz w:val="24"/>
          <w:szCs w:val="24"/>
        </w:rPr>
      </w:r>
    </w:p>
    <w:p>
      <w:pPr>
        <w:pStyle w:val="ListParagraph"/>
        <w:ind w:left="0" w:hanging="0"/>
        <w:rPr>
          <w:sz w:val="24"/>
          <w:szCs w:val="24"/>
        </w:rPr>
      </w:pPr>
      <w:r>
        <w:rPr>
          <w:sz w:val="24"/>
          <w:szCs w:val="24"/>
        </w:rPr>
      </w:r>
    </w:p>
    <w:p>
      <w:pPr>
        <w:pStyle w:val="ListParagraph"/>
        <w:ind w:left="0" w:hanging="0"/>
        <w:rPr>
          <w:sz w:val="24"/>
          <w:szCs w:val="24"/>
        </w:rPr>
      </w:pPr>
      <w:r>
        <w:rPr>
          <w:sz w:val="24"/>
          <w:szCs w:val="24"/>
        </w:rPr>
        <w:t>Using the theoretical framework and empirical values, we can estimate the best strategy under the new price for the low skill group as defined in section 3 by the k-means algorithm. Because the situation is repeated for all 1326 possible, the total expected value of electing to continue in the information set is:</w:t>
      </w:r>
    </w:p>
    <w:p>
      <w:pPr>
        <w:pStyle w:val="ListParagraph"/>
        <w:ind w:left="0" w:hanging="0"/>
        <w:rPr>
          <w:sz w:val="24"/>
          <w:szCs w:val="24"/>
        </w:rPr>
      </w:pPr>
      <w:r>
        <w:rPr/>
      </w:r>
      <m:oMath xmlns:m="http://schemas.openxmlformats.org/officeDocument/2006/math">
        <m:sSub>
          <m:e>
            <m:r>
              <w:rPr>
                <w:rFonts w:ascii="Cambria Math" w:hAnsi="Cambria Math"/>
              </w:rPr>
              <m:t xml:space="preserve">EV</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1326</m:t>
            </m:r>
          </m:sup>
          <m:e>
            <m:sSub>
              <m:e>
                <m:r>
                  <w:rPr>
                    <w:rFonts w:ascii="Cambria Math" w:hAnsi="Cambria Math"/>
                  </w:rPr>
                  <m:t xml:space="preserve">Max</m:t>
                </m:r>
                <m:r>
                  <w:rPr>
                    <w:rFonts w:ascii="Cambria Math" w:hAnsi="Cambria Math"/>
                  </w:rPr>
                  <m:t xml:space="preserve">{</m:t>
                </m:r>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EQ</m:t>
                </m:r>
              </m:e>
              <m:sub>
                <m:r>
                  <w:rPr>
                    <w:rFonts w:ascii="Cambria Math" w:hAnsi="Cambria Math"/>
                  </w:rPr>
                  <m:t xml:space="preserve">I</m:t>
                </m:r>
                <m:r>
                  <w:rPr>
                    <w:rFonts w:ascii="Cambria Math" w:hAnsi="Cambria Math"/>
                  </w:rPr>
                  <m:t xml:space="preserve">,</m:t>
                </m:r>
                <m:r>
                  <w:rPr>
                    <w:rFonts w:ascii="Cambria Math" w:hAnsi="Cambria Math"/>
                  </w:rPr>
                  <m:t xml:space="preserve">k</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P</m:t>
                </m:r>
                <m:r>
                  <w:rPr>
                    <w:rFonts w:ascii="Cambria Math" w:hAnsi="Cambria Math"/>
                  </w:rPr>
                  <m:t xml:space="preserve">1,</m:t>
                </m:r>
                <m:r>
                  <w:rPr>
                    <w:rFonts w:ascii="Cambria Math" w:hAnsi="Cambria Math"/>
                  </w:rPr>
                  <m:t xml:space="preserve">p</m:t>
                </m:r>
                <m:r>
                  <w:rPr>
                    <w:rFonts w:ascii="Cambria Math" w:hAnsi="Cambria Math"/>
                  </w:rPr>
                  <m:t xml:space="preserve">2,</m:t>
                </m:r>
                <m:r>
                  <w:rPr>
                    <w:rFonts w:ascii="Cambria Math" w:hAnsi="Cambria Math"/>
                  </w:rPr>
                  <m:t xml:space="preserve">I</m:t>
                </m:r>
              </m:sub>
            </m:sSub>
            <m:r>
              <w:rPr>
                <w:rFonts w:ascii="Cambria Math" w:hAnsi="Cambria Math"/>
              </w:rPr>
              <m:t xml:space="preserve">−</m:t>
            </m:r>
            <m:sSub>
              <m:e>
                <m:r>
                  <w:rPr>
                    <w:rFonts w:ascii="Cambria Math" w:hAnsi="Cambria Math"/>
                  </w:rPr>
                  <m:t xml:space="preserve">rake</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e>
        </m:nary>
      </m:oMath>
    </w:p>
    <w:p>
      <w:pPr>
        <w:pStyle w:val="ListParagraph"/>
        <w:ind w:left="0" w:hanging="0"/>
        <w:rPr>
          <w:sz w:val="24"/>
          <w:szCs w:val="24"/>
        </w:rPr>
      </w:pPr>
      <w:r>
        <w:rPr>
          <w:sz w:val="24"/>
          <w:szCs w:val="24"/>
        </w:rPr>
        <w:t xml:space="preserve">This is the sum of the expected values in (2) for all possible private holdings of the player at the decision node. </w:t>
      </w:r>
      <w:r>
        <w:rPr>
          <w:sz w:val="24"/>
          <w:szCs w:val="24"/>
        </w:rPr>
      </w:r>
      <m:oMath xmlns:m="http://schemas.openxmlformats.org/officeDocument/2006/math">
        <m:sSub>
          <m:e>
            <m:r>
              <w:rPr>
                <w:rFonts w:ascii="Cambria Math" w:hAnsi="Cambria Math"/>
              </w:rPr>
              <m:t xml:space="preserve">Pr</m:t>
            </m:r>
          </m:e>
          <m:sub>
            <m:r>
              <w:rPr>
                <w:rFonts w:ascii="Cambria Math" w:hAnsi="Cambria Math"/>
              </w:rPr>
              <m:t xml:space="preserve">I</m:t>
            </m:r>
            <m:r>
              <w:rPr>
                <w:rFonts w:ascii="Cambria Math" w:hAnsi="Cambria Math"/>
              </w:rPr>
              <m:t xml:space="preserve">,</m:t>
            </m:r>
            <m:r>
              <w:rPr>
                <w:rFonts w:ascii="Cambria Math" w:hAnsi="Cambria Math"/>
              </w:rPr>
              <m:t xml:space="preserve">k</m:t>
            </m:r>
          </m:sub>
        </m:sSub>
      </m:oMath>
      <w:r>
        <w:rPr>
          <w:sz w:val="24"/>
          <w:szCs w:val="24"/>
        </w:rPr>
        <w:t xml:space="preserve"> is the probability of having the private holding </w:t>
      </w:r>
      <w:r>
        <w:rPr>
          <w:sz w:val="24"/>
          <w:szCs w:val="24"/>
        </w:rPr>
      </w:r>
      <m:oMath xmlns:m="http://schemas.openxmlformats.org/officeDocument/2006/math">
        <m:r>
          <w:rPr>
            <w:rFonts w:ascii="Cambria Math" w:hAnsi="Cambria Math"/>
          </w:rPr>
          <m:t xml:space="preserve">k</m:t>
        </m:r>
      </m:oMath>
      <w:r>
        <w:rPr>
          <w:sz w:val="24"/>
          <w:szCs w:val="24"/>
        </w:rPr>
        <w:t xml:space="preserve"> in the information set </w:t>
      </w:r>
      <w:r>
        <w:rPr>
          <w:sz w:val="24"/>
          <w:szCs w:val="24"/>
        </w:rPr>
      </w:r>
      <m:oMath xmlns:m="http://schemas.openxmlformats.org/officeDocument/2006/math">
        <m:r>
          <w:rPr>
            <w:rFonts w:ascii="Cambria Math" w:hAnsi="Cambria Math"/>
          </w:rPr>
          <m:t xml:space="preserve">I</m:t>
        </m:r>
      </m:oMath>
      <w:r>
        <w:rPr>
          <w:sz w:val="24"/>
          <w:szCs w:val="24"/>
        </w:rPr>
        <w:t xml:space="preserve">. </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t xml:space="preserve">The values of </w:t>
      </w:r>
      <w:r>
        <w:rPr>
          <w:sz w:val="24"/>
          <w:szCs w:val="24"/>
        </w:rPr>
      </w:r>
      <m:oMath xmlns:m="http://schemas.openxmlformats.org/officeDocument/2006/math">
        <m:sSub>
          <m:e>
            <m:r>
              <w:rPr>
                <w:rFonts w:ascii="Cambria Math" w:hAnsi="Cambria Math"/>
              </w:rPr>
              <m:t xml:space="preserve">EV</m:t>
            </m:r>
          </m:e>
          <m:sub>
            <m:r>
              <w:rPr>
                <w:rFonts w:ascii="Cambria Math" w:hAnsi="Cambria Math"/>
              </w:rPr>
              <m:t xml:space="preserve">I</m:t>
            </m:r>
          </m:sub>
        </m:sSub>
      </m:oMath>
      <w:r>
        <w:rPr>
          <w:sz w:val="24"/>
          <w:szCs w:val="24"/>
        </w:rPr>
        <w:t xml:space="preserve"> are 0 under regular price and -0.711 under the increased price, as seen in section 6.1. The average </w:t>
      </w:r>
      <w:r>
        <w:rPr>
          <w:sz w:val="24"/>
          <w:szCs w:val="24"/>
        </w:rPr>
      </w:r>
      <m:oMath xmlns:m="http://schemas.openxmlformats.org/officeDocument/2006/math">
        <m:r>
          <w:rPr>
            <w:rFonts w:ascii="Cambria Math" w:hAnsi="Cambria Math"/>
          </w:rPr>
          <m:t xml:space="preserve">P</m:t>
        </m:r>
      </m:oMath>
      <w:r>
        <w:rPr>
          <w:sz w:val="24"/>
          <w:szCs w:val="24"/>
        </w:rPr>
        <w:t xml:space="preserve"> observed in the </w:t>
      </w:r>
      <w:r>
        <w:rPr>
          <w:i/>
          <w:sz w:val="24"/>
          <w:szCs w:val="24"/>
        </w:rPr>
        <w:t>second to act facing raise</w:t>
      </w:r>
      <w:r>
        <w:rPr>
          <w:sz w:val="24"/>
          <w:szCs w:val="24"/>
        </w:rPr>
        <w:t xml:space="preserve"> situation is 4.93minimum bets</w:t>
      </w:r>
      <w:r>
        <w:rPr>
          <w:b/>
          <w:sz w:val="24"/>
          <w:szCs w:val="24"/>
        </w:rPr>
        <w:t xml:space="preserve">. </w:t>
      </w:r>
      <w:r>
        <w:rPr>
          <w:sz w:val="24"/>
          <w:szCs w:val="24"/>
        </w:rPr>
        <w:t xml:space="preserve">If players do not adjust their strategies, which is empirically the case, </w:t>
      </w:r>
      <w:r>
        <w:rPr>
          <w:sz w:val="24"/>
          <w:szCs w:val="24"/>
        </w:rPr>
      </w:r>
      <m:oMath xmlns:m="http://schemas.openxmlformats.org/officeDocument/2006/math">
        <m:sSub>
          <m:e>
            <m:r>
              <w:rPr>
                <w:rFonts w:ascii="Cambria Math" w:hAnsi="Cambria Math"/>
              </w:rPr>
              <m:t xml:space="preserve">R</m:t>
            </m:r>
          </m:e>
          <m:sub>
            <m:r>
              <w:rPr>
                <w:rFonts w:ascii="Cambria Math" w:hAnsi="Cambria Math"/>
              </w:rPr>
              <m:t xml:space="preserve">P</m:t>
            </m:r>
            <m:r>
              <w:rPr>
                <w:rFonts w:ascii="Cambria Math" w:hAnsi="Cambria Math"/>
              </w:rPr>
              <m:t xml:space="preserve">1,</m:t>
            </m:r>
            <m:r>
              <w:rPr>
                <w:rFonts w:ascii="Cambria Math" w:hAnsi="Cambria Math"/>
              </w:rPr>
              <m:t xml:space="preserve">P</m:t>
            </m:r>
            <m:r>
              <w:rPr>
                <w:rFonts w:ascii="Cambria Math" w:hAnsi="Cambria Math"/>
              </w:rPr>
              <m:t xml:space="preserve">2,</m:t>
            </m:r>
            <m:r>
              <w:rPr>
                <w:rFonts w:ascii="Cambria Math" w:hAnsi="Cambria Math"/>
              </w:rPr>
              <m:t xml:space="preserve">I</m:t>
            </m:r>
          </m:sub>
        </m:sSub>
      </m:oMath>
      <w:r>
        <w:rPr>
          <w:sz w:val="24"/>
          <w:szCs w:val="24"/>
        </w:rPr>
        <w:t xml:space="preserve"> is going to be held constant under a change in </w:t>
      </w:r>
      <w:r>
        <w:rPr>
          <w:sz w:val="24"/>
          <w:szCs w:val="24"/>
        </w:rPr>
      </w:r>
      <m:oMath xmlns:m="http://schemas.openxmlformats.org/officeDocument/2006/math">
        <m:r>
          <w:rPr>
            <w:rFonts w:ascii="Cambria Math" w:hAnsi="Cambria Math"/>
          </w:rPr>
          <m:t xml:space="preserve">rake</m:t>
        </m:r>
      </m:oMath>
      <w:r>
        <w:rPr>
          <w:sz w:val="24"/>
          <w:szCs w:val="24"/>
        </w:rPr>
        <w:t xml:space="preserve">. Assuming </w:t>
      </w:r>
      <w:r>
        <w:rPr>
          <w:sz w:val="24"/>
          <w:szCs w:val="24"/>
        </w:rPr>
      </w:r>
      <m:oMath xmlns:m="http://schemas.openxmlformats.org/officeDocument/2006/math">
        <m:sSub>
          <m:e>
            <m:r>
              <w:rPr>
                <w:rFonts w:ascii="Cambria Math" w:hAnsi="Cambria Math"/>
              </w:rPr>
              <m:t xml:space="preserve">R</m:t>
            </m:r>
          </m:e>
          <m:sub>
            <m:r>
              <w:rPr>
                <w:rFonts w:ascii="Cambria Math" w:hAnsi="Cambria Math"/>
              </w:rPr>
              <m:t xml:space="preserve">I</m:t>
            </m:r>
          </m:sub>
        </m:sSub>
      </m:oMath>
      <w:r>
        <w:rPr>
          <w:sz w:val="24"/>
          <w:szCs w:val="24"/>
        </w:rPr>
        <w:t xml:space="preserve"> is the same for all </w:t>
      </w:r>
      <w:r>
        <w:rPr>
          <w:sz w:val="24"/>
          <w:szCs w:val="24"/>
        </w:rPr>
      </w:r>
      <m:oMath xmlns:m="http://schemas.openxmlformats.org/officeDocument/2006/math">
        <m:r>
          <w:rPr>
            <w:rFonts w:ascii="Cambria Math" w:hAnsi="Cambria Math"/>
          </w:rPr>
          <m:t xml:space="preserve">k</m:t>
        </m:r>
      </m:oMath>
      <w:r>
        <w:rPr>
          <w:sz w:val="24"/>
          <w:szCs w:val="24"/>
        </w:rPr>
        <w:t xml:space="preserve">, the average </w:t>
      </w:r>
      <w:r>
        <w:rPr>
          <w:sz w:val="24"/>
          <w:szCs w:val="24"/>
        </w:rPr>
      </w:r>
      <m:oMath xmlns:m="http://schemas.openxmlformats.org/officeDocument/2006/math">
        <m:sSub>
          <m:e>
            <m:r>
              <w:rPr>
                <w:rFonts w:ascii="Cambria Math" w:hAnsi="Cambria Math"/>
              </w:rPr>
              <m:t xml:space="preserve">R</m:t>
            </m:r>
          </m:e>
          <m:sub>
            <m:r>
              <w:rPr>
                <w:rFonts w:ascii="Cambria Math" w:hAnsi="Cambria Math"/>
              </w:rPr>
              <m:t xml:space="preserve">I</m:t>
            </m:r>
          </m:sub>
        </m:sSub>
      </m:oMath>
      <w:r>
        <w:rPr>
          <w:sz w:val="24"/>
          <w:szCs w:val="24"/>
        </w:rPr>
        <w:t xml:space="preserve"> for the population at this decision node is 0.86. This is done by estimating the population </w:t>
      </w:r>
      <w:r>
        <w:rPr>
          <w:sz w:val="24"/>
          <w:szCs w:val="24"/>
        </w:rPr>
      </w:r>
      <m:oMath xmlns:m="http://schemas.openxmlformats.org/officeDocument/2006/math">
        <m:sSub>
          <m:e>
            <m:r>
              <w:rPr>
                <w:rFonts w:ascii="Cambria Math" w:hAnsi="Cambria Math"/>
              </w:rPr>
              <m:t xml:space="preserve">EQ</m:t>
            </m:r>
          </m:e>
          <m:sub>
            <m:r>
              <w:rPr>
                <w:rFonts w:ascii="Cambria Math" w:hAnsi="Cambria Math"/>
              </w:rPr>
              <m:t xml:space="preserve">I</m:t>
            </m:r>
          </m:sub>
        </m:sSub>
      </m:oMath>
      <w:r>
        <w:rPr>
          <w:sz w:val="24"/>
          <w:szCs w:val="24"/>
        </w:rPr>
        <w:t xml:space="preserve"> for the situation by montecarlo simulations (0.585), assuming players continue with the best 28% of private holdings when ranked by </w:t>
      </w:r>
      <w:r>
        <w:rPr>
          <w:sz w:val="24"/>
          <w:szCs w:val="24"/>
        </w:rPr>
      </w:r>
      <m:oMath xmlns:m="http://schemas.openxmlformats.org/officeDocument/2006/math">
        <m:sSub>
          <m:e>
            <m:r>
              <w:rPr>
                <w:rFonts w:ascii="Cambria Math" w:hAnsi="Cambria Math"/>
              </w:rPr>
              <m:t xml:space="preserve">EQ</m:t>
            </m:r>
          </m:e>
          <m:sub>
            <m:r>
              <w:rPr>
                <w:rFonts w:ascii="Cambria Math" w:hAnsi="Cambria Math"/>
              </w:rPr>
              <m:t xml:space="preserve">I</m:t>
            </m:r>
          </m:sub>
        </m:sSub>
      </m:oMath>
      <w:r>
        <w:rPr>
          <w:sz w:val="24"/>
          <w:szCs w:val="24"/>
        </w:rPr>
        <w:t xml:space="preserve">  against all possible hands and solving for </w:t>
      </w:r>
      <w:r>
        <w:rPr>
          <w:sz w:val="24"/>
          <w:szCs w:val="24"/>
        </w:rPr>
      </w:r>
      <m:oMath xmlns:m="http://schemas.openxmlformats.org/officeDocument/2006/math">
        <m:sSub>
          <m:e>
            <m:r>
              <w:rPr>
                <w:rFonts w:ascii="Cambria Math" w:hAnsi="Cambria Math"/>
              </w:rPr>
              <m:t xml:space="preserve">R</m:t>
            </m:r>
          </m:e>
          <m:sub>
            <m:r>
              <w:rPr>
                <w:rFonts w:ascii="Cambria Math" w:hAnsi="Cambria Math"/>
              </w:rPr>
              <m:t xml:space="preserve">I</m:t>
            </m:r>
          </m:sub>
        </m:sSub>
      </m:oMath>
      <w:r>
        <w:rPr>
          <w:sz w:val="24"/>
          <w:szCs w:val="24"/>
        </w:rPr>
        <w:t xml:space="preserve">. </w:t>
      </w:r>
      <w:r>
        <w:rPr>
          <w:sz w:val="24"/>
          <w:szCs w:val="24"/>
        </w:rPr>
      </w:r>
      <m:oMath xmlns:m="http://schemas.openxmlformats.org/officeDocument/2006/math">
        <m:sSub>
          <m:e>
            <m:r>
              <w:rPr>
                <w:rFonts w:ascii="Cambria Math" w:hAnsi="Cambria Math"/>
              </w:rPr>
              <m:t xml:space="preserve">rake</m:t>
            </m:r>
          </m:e>
          <m:sub>
            <m:r>
              <w:rPr>
                <w:rFonts w:ascii="Cambria Math" w:hAnsi="Cambria Math"/>
              </w:rPr>
              <m:t xml:space="preserve">I</m:t>
            </m:r>
          </m:sub>
        </m:sSub>
      </m:oMath>
      <w:r>
        <w:rPr>
          <w:sz w:val="24"/>
          <w:szCs w:val="24"/>
        </w:rPr>
        <w:t>is estimated to 0.178 before the price increase and 0.290 during the price increase.</w:t>
      </w:r>
    </w:p>
    <w:p>
      <w:pPr>
        <w:pStyle w:val="ListParagraph"/>
        <w:ind w:left="0" w:hanging="0"/>
        <w:rPr>
          <w:sz w:val="24"/>
          <w:szCs w:val="24"/>
        </w:rPr>
      </w:pPr>
      <w:r>
        <w:rPr>
          <w:sz w:val="24"/>
          <w:szCs w:val="24"/>
        </w:rPr>
      </w:r>
    </w:p>
    <w:p>
      <w:pPr>
        <w:pStyle w:val="ListParagraph"/>
        <w:ind w:left="0" w:hanging="0"/>
        <w:rPr>
          <w:sz w:val="24"/>
          <w:szCs w:val="24"/>
        </w:rPr>
      </w:pPr>
      <w:r>
        <w:rPr>
          <w:sz w:val="24"/>
          <w:szCs w:val="24"/>
        </w:rPr>
        <w:t xml:space="preserve">Using these values, we can identify all private holdings </w:t>
      </w:r>
      <w:r>
        <w:rPr>
          <w:sz w:val="24"/>
          <w:szCs w:val="24"/>
        </w:rPr>
      </w:r>
      <m:oMath xmlns:m="http://schemas.openxmlformats.org/officeDocument/2006/math">
        <m:r>
          <w:rPr>
            <w:rFonts w:ascii="Cambria Math" w:hAnsi="Cambria Math"/>
          </w:rPr>
          <m:t xml:space="preserve">k</m:t>
        </m:r>
      </m:oMath>
      <w:r>
        <w:rPr>
          <w:sz w:val="24"/>
          <w:szCs w:val="24"/>
        </w:rPr>
        <w:t xml:space="preserve"> which have expected value less than    -1 as holdings which a player should elect to fold with instead of continuing. This works out to </w:t>
      </w:r>
    </w:p>
    <w:p>
      <w:pPr>
        <w:pStyle w:val="ListParagraph"/>
        <w:ind w:left="0" w:hanging="0"/>
        <w:rPr>
          <w:sz w:val="24"/>
          <w:szCs w:val="24"/>
        </w:rPr>
      </w:pPr>
      <w:r>
        <w:rPr>
          <w:sz w:val="24"/>
          <w:szCs w:val="24"/>
        </w:rPr>
        <w:t>continuing with a 5</w:t>
      </w:r>
      <w:bookmarkStart w:id="3" w:name="_GoBack"/>
      <w:bookmarkEnd w:id="3"/>
      <w:r>
        <w:rPr>
          <w:sz w:val="24"/>
          <w:szCs w:val="24"/>
        </w:rPr>
        <w:t>.3% lower frequency.</w:t>
      </w:r>
    </w:p>
    <w:p>
      <w:pPr>
        <w:pStyle w:val="ListParagraph"/>
        <w:numPr>
          <w:ilvl w:val="0"/>
          <w:numId w:val="3"/>
        </w:numPr>
        <w:rPr>
          <w:b/>
          <w:b/>
          <w:sz w:val="32"/>
          <w:szCs w:val="24"/>
        </w:rPr>
      </w:pPr>
      <w:r>
        <w:rPr>
          <w:b/>
          <w:sz w:val="32"/>
          <w:szCs w:val="24"/>
        </w:rPr>
        <w:t>Conclusion</w:t>
      </w:r>
    </w:p>
    <w:p>
      <w:pPr>
        <w:pStyle w:val="Normal"/>
        <w:rPr>
          <w:sz w:val="24"/>
          <w:szCs w:val="24"/>
        </w:rPr>
      </w:pPr>
      <w:r>
        <w:rPr>
          <w:sz w:val="24"/>
          <w:szCs w:val="24"/>
        </w:rPr>
        <w:t>We exploited a natural experiment (increase in the price to online poker) to study player behavior and test the credibility of models of learning in games.</w:t>
      </w:r>
    </w:p>
    <w:p>
      <w:pPr>
        <w:pStyle w:val="Normal"/>
        <w:rPr>
          <w:sz w:val="24"/>
          <w:szCs w:val="24"/>
        </w:rPr>
      </w:pPr>
      <w:r>
        <w:rPr>
          <w:sz w:val="24"/>
          <w:szCs w:val="24"/>
        </w:rPr>
        <w:t>We find that low skill poker players do not adapt their strategies at all in response to a significant change in payoffs. High skill poker players were effectively unaffected by the change in price due to particularities of the pricing structure and their aggressive approach to the game, leading to a small to nil effect from the price increase.</w:t>
      </w:r>
    </w:p>
    <w:p>
      <w:pPr>
        <w:pStyle w:val="Normal"/>
        <w:rPr>
          <w:sz w:val="24"/>
          <w:szCs w:val="24"/>
        </w:rPr>
      </w:pPr>
      <w:r>
        <w:rPr>
          <w:sz w:val="24"/>
          <w:szCs w:val="24"/>
        </w:rPr>
        <w:t>These results imply that any model of learning which bases its update method on payoff information (eg. reinforcement learning or regret minimization) is unlikely to explain player behavior well in large games with noisy payoffs like the one studied here.</w:t>
      </w:r>
    </w:p>
    <w:p>
      <w:pPr>
        <w:pStyle w:val="Normal"/>
        <w:rPr>
          <w:sz w:val="24"/>
          <w:szCs w:val="24"/>
        </w:rPr>
      </w:pPr>
      <w:r>
        <w:rPr>
          <w:sz w:val="24"/>
          <w:szCs w:val="24"/>
        </w:rPr>
      </w:r>
    </w:p>
    <w:p>
      <w:pPr>
        <w:pStyle w:val="ListParagraph"/>
        <w:jc w:val="center"/>
        <w:rPr>
          <w:b/>
          <w:b/>
          <w:sz w:val="36"/>
          <w:szCs w:val="24"/>
        </w:rPr>
      </w:pPr>
      <w:r>
        <w:rPr>
          <w:b/>
          <w:sz w:val="36"/>
          <w:szCs w:val="24"/>
        </w:rPr>
        <w:t>References</w:t>
      </w:r>
    </w:p>
    <w:p>
      <w:pPr>
        <w:pStyle w:val="ListParagraph"/>
        <w:jc w:val="center"/>
        <w:rPr>
          <w:b/>
          <w:b/>
          <w:sz w:val="36"/>
          <w:szCs w:val="24"/>
        </w:rPr>
      </w:pPr>
      <w:r>
        <w:rPr>
          <w:b/>
          <w:sz w:val="36"/>
          <w:szCs w:val="24"/>
        </w:rPr>
      </w:r>
    </w:p>
    <w:p>
      <w:pPr>
        <w:pStyle w:val="ListParagraph"/>
        <w:rPr/>
      </w:pPr>
      <w:r>
        <w:rPr/>
        <w:t xml:space="preserve">Babichenko, Y. and A. Rubinstein. 2016. “Communication complexity of approximate Nash equilibria.” </w:t>
      </w:r>
      <w:r>
        <w:rPr>
          <w:i/>
          <w:szCs w:val="24"/>
        </w:rPr>
        <w:t>Arxiv preprint</w:t>
      </w:r>
      <w:r>
        <w:rPr>
          <w:szCs w:val="24"/>
        </w:rPr>
        <w:t>. Arxiv: 1608:06580, 2016</w:t>
      </w:r>
    </w:p>
    <w:p>
      <w:pPr>
        <w:pStyle w:val="ListParagraph"/>
        <w:rPr/>
      </w:pPr>
      <w:r>
        <w:rPr/>
      </w:r>
    </w:p>
    <w:p>
      <w:pPr>
        <w:pStyle w:val="ListParagraph"/>
        <w:rPr/>
      </w:pPr>
      <w:r>
        <w:rPr/>
        <w:t>Bronowski, Jay. 1973. “The ascent of man,” Documentary. Episode 13</w:t>
      </w:r>
    </w:p>
    <w:p>
      <w:pPr>
        <w:pStyle w:val="ListParagraph"/>
        <w:rPr/>
      </w:pPr>
      <w:r>
        <w:rPr/>
      </w:r>
    </w:p>
    <w:p>
      <w:pPr>
        <w:pStyle w:val="ListParagraph"/>
        <w:rPr/>
      </w:pPr>
      <w:r>
        <w:rPr/>
        <w:t>Bonhomme, S., and E. Manresa (2015): “Grouped Patterns of Heterogeneity in Panel</w:t>
      </w:r>
    </w:p>
    <w:p>
      <w:pPr>
        <w:pStyle w:val="ListParagraph"/>
        <w:rPr/>
      </w:pPr>
      <w:r>
        <w:rPr/>
        <w:tab/>
        <w:t>Data," Econometrica, 83(3), 1147-1184.</w:t>
      </w:r>
    </w:p>
    <w:p>
      <w:pPr>
        <w:pStyle w:val="ListParagraph"/>
        <w:rPr/>
      </w:pPr>
      <w:r>
        <w:rPr/>
      </w:r>
    </w:p>
    <w:p>
      <w:pPr>
        <w:pStyle w:val="ListParagraph"/>
        <w:rPr/>
      </w:pPr>
      <w:r>
        <w:rPr/>
        <w:t xml:space="preserve">Bonhomme, S., T. Lamandon and E. Manresa (2017): “Discretizing unobserved heterogeneity," </w:t>
        <w:tab/>
        <w:t>Working paper.</w:t>
      </w:r>
    </w:p>
    <w:p>
      <w:pPr>
        <w:pStyle w:val="ListParagraph"/>
        <w:rPr/>
      </w:pPr>
      <w:r>
        <w:rPr/>
      </w:r>
    </w:p>
    <w:p>
      <w:pPr>
        <w:pStyle w:val="ListParagraph"/>
        <w:rPr>
          <w:szCs w:val="24"/>
        </w:rPr>
      </w:pPr>
      <w:r>
        <w:rPr>
          <w:szCs w:val="24"/>
        </w:rPr>
        <w:t xml:space="preserve">Camerer, C. F. 2011.  “The promise and success of lab-field generalizability in experimental </w:t>
        <w:tab/>
        <w:t>economics: a critical reply to Levitt and List.” SSRN Working Paper</w:t>
      </w:r>
    </w:p>
    <w:p>
      <w:pPr>
        <w:pStyle w:val="ListParagraph"/>
        <w:rPr>
          <w:szCs w:val="24"/>
        </w:rPr>
      </w:pPr>
      <w:r>
        <w:rPr>
          <w:szCs w:val="24"/>
        </w:rPr>
      </w:r>
    </w:p>
    <w:p>
      <w:pPr>
        <w:pStyle w:val="ListParagraph"/>
        <w:rPr>
          <w:szCs w:val="24"/>
        </w:rPr>
      </w:pPr>
      <w:r>
        <w:rPr>
          <w:szCs w:val="24"/>
        </w:rPr>
        <w:t xml:space="preserve">Camerer, Colin, and Teck-Hua Ho. 1999. “Experienced-weighted attraction learning in normal </w:t>
        <w:tab/>
        <w:t xml:space="preserve">form games." </w:t>
      </w:r>
      <w:r>
        <w:rPr>
          <w:i/>
          <w:szCs w:val="24"/>
        </w:rPr>
        <w:t>Econometrica</w:t>
      </w:r>
      <w:r>
        <w:rPr>
          <w:szCs w:val="24"/>
        </w:rPr>
        <w:t>: 827-874</w:t>
      </w:r>
    </w:p>
    <w:p>
      <w:pPr>
        <w:pStyle w:val="ListParagraph"/>
        <w:rPr>
          <w:szCs w:val="24"/>
        </w:rPr>
      </w:pPr>
      <w:r>
        <w:rPr>
          <w:szCs w:val="24"/>
        </w:rPr>
      </w:r>
    </w:p>
    <w:p>
      <w:pPr>
        <w:pStyle w:val="ListParagraph"/>
        <w:rPr>
          <w:szCs w:val="24"/>
        </w:rPr>
      </w:pPr>
      <w:r>
        <w:rPr>
          <w:szCs w:val="24"/>
        </w:rPr>
        <w:t>Hastie. T., R. Tishrani and J. Friedman. 2009. “Elements of Statistical Learning</w:t>
      </w:r>
      <w:r>
        <w:rPr>
          <w:i/>
          <w:szCs w:val="24"/>
        </w:rPr>
        <w:t>”.</w:t>
      </w:r>
      <w:r>
        <w:rPr>
          <w:szCs w:val="24"/>
        </w:rPr>
        <w:t xml:space="preserve"> Springer-Verlarg, </w:t>
        <w:tab/>
        <w:t>2</w:t>
      </w:r>
      <w:r>
        <w:rPr>
          <w:szCs w:val="24"/>
          <w:vertAlign w:val="superscript"/>
        </w:rPr>
        <w:t>nd</w:t>
      </w:r>
      <w:r>
        <w:rPr>
          <w:szCs w:val="24"/>
        </w:rPr>
        <w:t xml:space="preserve"> edition.</w:t>
      </w:r>
    </w:p>
    <w:p>
      <w:pPr>
        <w:pStyle w:val="ListParagraph"/>
        <w:rPr>
          <w:szCs w:val="24"/>
        </w:rPr>
      </w:pPr>
      <w:r>
        <w:rPr>
          <w:szCs w:val="24"/>
        </w:rPr>
      </w:r>
    </w:p>
    <w:p>
      <w:pPr>
        <w:pStyle w:val="ListParagraph"/>
        <w:rPr>
          <w:szCs w:val="24"/>
        </w:rPr>
      </w:pPr>
      <w:r>
        <w:rPr>
          <w:szCs w:val="24"/>
        </w:rPr>
        <w:t xml:space="preserve">Johansen, Michael. 2013. “Measuring the size of large No-Limit games.” </w:t>
      </w:r>
      <w:r>
        <w:rPr>
          <w:i/>
          <w:szCs w:val="24"/>
        </w:rPr>
        <w:t>Arxiv preprint</w:t>
      </w:r>
      <w:r>
        <w:rPr>
          <w:szCs w:val="24"/>
        </w:rPr>
        <w:t xml:space="preserve">. Arxiv: </w:t>
        <w:tab/>
        <w:t>1302:7008, 2013</w:t>
      </w:r>
    </w:p>
    <w:p>
      <w:pPr>
        <w:pStyle w:val="ListParagraph"/>
        <w:rPr>
          <w:szCs w:val="24"/>
        </w:rPr>
      </w:pPr>
      <w:r>
        <w:rPr>
          <w:szCs w:val="24"/>
        </w:rPr>
      </w:r>
    </w:p>
    <w:p>
      <w:pPr>
        <w:pStyle w:val="ListParagraph"/>
        <w:rPr>
          <w:szCs w:val="24"/>
        </w:rPr>
      </w:pPr>
      <w:r>
        <w:rPr>
          <w:szCs w:val="24"/>
        </w:rPr>
        <w:t>Levitt, S. and J. A. List. 2007. “Viewpoint: On the Generalizability of Lab Behaviour</w:t>
      </w:r>
    </w:p>
    <w:p>
      <w:pPr>
        <w:pStyle w:val="ListParagraph"/>
        <w:rPr>
          <w:szCs w:val="24"/>
        </w:rPr>
      </w:pPr>
      <w:r>
        <w:rPr>
          <w:szCs w:val="24"/>
        </w:rPr>
        <w:tab/>
        <w:t>to the Field.” Canadian Journal of Economics 40(2): 347-370</w:t>
      </w:r>
    </w:p>
    <w:p>
      <w:pPr>
        <w:pStyle w:val="ListParagraph"/>
        <w:rPr>
          <w:szCs w:val="24"/>
        </w:rPr>
      </w:pPr>
      <w:r>
        <w:rPr>
          <w:szCs w:val="24"/>
        </w:rPr>
      </w:r>
    </w:p>
    <w:p>
      <w:pPr>
        <w:pStyle w:val="ListParagraph"/>
        <w:rPr>
          <w:szCs w:val="24"/>
        </w:rPr>
      </w:pPr>
      <w:r>
        <w:rPr>
          <w:szCs w:val="24"/>
        </w:rPr>
        <w:t xml:space="preserve">Levitt, S.D., List, J.A. and Reiley, D. H. 2010. “What Happens in the Field Stays in the Field: </w:t>
      </w:r>
    </w:p>
    <w:p>
      <w:pPr>
        <w:pStyle w:val="ListParagraph"/>
        <w:rPr>
          <w:i/>
          <w:i/>
          <w:szCs w:val="24"/>
        </w:rPr>
      </w:pPr>
      <w:r>
        <w:rPr>
          <w:szCs w:val="24"/>
        </w:rPr>
        <w:tab/>
        <w:t xml:space="preserve">Professionals Do Not Play Minimax in Laboratory Experiments.”  </w:t>
      </w:r>
      <w:r>
        <w:rPr>
          <w:i/>
          <w:szCs w:val="24"/>
        </w:rPr>
        <w:t>Econometrica 78:1413-</w:t>
        <w:tab/>
        <w:t>1434</w:t>
      </w:r>
    </w:p>
    <w:p>
      <w:pPr>
        <w:pStyle w:val="ListParagraph"/>
        <w:rPr>
          <w:i/>
          <w:i/>
          <w:szCs w:val="24"/>
        </w:rPr>
      </w:pPr>
      <w:r>
        <w:rPr>
          <w:i/>
          <w:szCs w:val="24"/>
        </w:rPr>
      </w:r>
    </w:p>
    <w:p>
      <w:pPr>
        <w:pStyle w:val="ListParagraph"/>
        <w:rPr>
          <w:szCs w:val="24"/>
        </w:rPr>
      </w:pPr>
      <w:r>
        <w:rPr>
          <w:szCs w:val="24"/>
        </w:rPr>
        <w:t>Lin, C. C., and S. Ng (2011): “Estimation of Panel Data Models with Parameter Heterogeneity</w:t>
      </w:r>
    </w:p>
    <w:p>
      <w:pPr>
        <w:pStyle w:val="ListParagraph"/>
        <w:rPr>
          <w:szCs w:val="24"/>
        </w:rPr>
      </w:pPr>
      <w:r>
        <w:rPr>
          <w:szCs w:val="24"/>
        </w:rPr>
        <w:tab/>
        <w:t>when Group Membership is Unknown”, to appear in Journal of Econometric Methods</w:t>
      </w:r>
    </w:p>
    <w:p>
      <w:pPr>
        <w:pStyle w:val="ListParagraph"/>
        <w:rPr>
          <w:i/>
          <w:i/>
          <w:szCs w:val="24"/>
        </w:rPr>
      </w:pPr>
      <w:r>
        <w:rPr>
          <w:i/>
          <w:szCs w:val="24"/>
        </w:rPr>
      </w:r>
    </w:p>
    <w:p>
      <w:pPr>
        <w:pStyle w:val="ListParagraph"/>
        <w:rPr>
          <w:szCs w:val="24"/>
        </w:rPr>
      </w:pPr>
      <w:r>
        <w:rPr>
          <w:szCs w:val="24"/>
        </w:rPr>
        <w:t xml:space="preserve">Linnet, J. et al. 2010. “Experienced poker players differ from inexperienced poker players in </w:t>
        <w:tab/>
        <w:t xml:space="preserve">estimation bias and decision bias.” </w:t>
      </w:r>
      <w:r>
        <w:rPr>
          <w:i/>
          <w:szCs w:val="24"/>
        </w:rPr>
        <w:t>Journal of Gambling Issues</w:t>
      </w:r>
      <w:r>
        <w:rPr>
          <w:szCs w:val="24"/>
        </w:rPr>
        <w:t xml:space="preserve"> 24</w:t>
      </w:r>
    </w:p>
    <w:p>
      <w:pPr>
        <w:pStyle w:val="ListParagraph"/>
        <w:rPr>
          <w:szCs w:val="24"/>
        </w:rPr>
      </w:pPr>
      <w:r>
        <w:rPr>
          <w:szCs w:val="24"/>
        </w:rPr>
      </w:r>
    </w:p>
    <w:p>
      <w:pPr>
        <w:pStyle w:val="ListParagraph"/>
        <w:rPr>
          <w:szCs w:val="24"/>
        </w:rPr>
      </w:pPr>
      <w:r>
        <w:rPr>
          <w:szCs w:val="24"/>
        </w:rPr>
        <w:t xml:space="preserve">Fudenberg, D.  and D.  Levine. 2016. “Whither Game Theory?  Towards a Theory of Learning in </w:t>
        <w:tab/>
        <w:t>Games,” Journal of Economic Perspectives, 30, 151–170.</w:t>
      </w:r>
    </w:p>
    <w:p>
      <w:pPr>
        <w:pStyle w:val="ListParagraph"/>
        <w:rPr>
          <w:szCs w:val="24"/>
        </w:rPr>
      </w:pPr>
      <w:r>
        <w:rPr>
          <w:szCs w:val="24"/>
        </w:rPr>
      </w:r>
    </w:p>
    <w:p>
      <w:pPr>
        <w:pStyle w:val="ListParagraph"/>
        <w:rPr>
          <w:szCs w:val="24"/>
        </w:rPr>
      </w:pPr>
      <w:r>
        <w:rPr>
          <w:szCs w:val="24"/>
        </w:rPr>
        <w:t xml:space="preserve">Hart, S. and A. Mas-Colell. 2000. “A simple adaptive procedure leading to correlated </w:t>
        <w:tab/>
        <w:t xml:space="preserve">equilibrium.” </w:t>
      </w:r>
      <w:r>
        <w:rPr>
          <w:i/>
          <w:szCs w:val="24"/>
        </w:rPr>
        <w:t>Econometrica</w:t>
      </w:r>
      <w:r>
        <w:rPr>
          <w:szCs w:val="24"/>
        </w:rPr>
        <w:t>, 68:1127–1150</w:t>
      </w:r>
    </w:p>
    <w:p>
      <w:pPr>
        <w:pStyle w:val="ListParagraph"/>
        <w:rPr>
          <w:szCs w:val="24"/>
        </w:rPr>
      </w:pPr>
      <w:r>
        <w:rPr>
          <w:szCs w:val="24"/>
        </w:rPr>
      </w:r>
    </w:p>
    <w:p>
      <w:pPr>
        <w:pStyle w:val="ListParagraph"/>
        <w:rPr>
          <w:szCs w:val="24"/>
        </w:rPr>
      </w:pPr>
      <w:r>
        <w:rPr>
          <w:szCs w:val="24"/>
        </w:rPr>
        <w:t xml:space="preserve">Hart, S. and A. Mas-Colell. 2003. “Uncoupled dynamics do not lead to Nash equilibrium.” </w:t>
        <w:tab/>
        <w:t>American Economic Review, 93:1830–1836</w:t>
      </w:r>
    </w:p>
    <w:p>
      <w:pPr>
        <w:pStyle w:val="ListParagraph"/>
        <w:rPr>
          <w:szCs w:val="24"/>
        </w:rPr>
      </w:pPr>
      <w:r>
        <w:rPr>
          <w:szCs w:val="24"/>
        </w:rPr>
      </w:r>
    </w:p>
    <w:p>
      <w:pPr>
        <w:pStyle w:val="ListParagraph"/>
        <w:rPr>
          <w:szCs w:val="24"/>
        </w:rPr>
      </w:pPr>
      <w:r>
        <w:rPr>
          <w:szCs w:val="24"/>
        </w:rPr>
        <w:t xml:space="preserve">Mohlin, E., R. Ostling and J. T. Wang. 2015. “Learning by Imitation in Games: Theory, Field, and </w:t>
        <w:tab/>
        <w:t>Laboratory.” Oxford discussion paper series.</w:t>
      </w:r>
    </w:p>
    <w:p>
      <w:pPr>
        <w:pStyle w:val="ListParagraph"/>
        <w:rPr>
          <w:szCs w:val="24"/>
        </w:rPr>
      </w:pPr>
      <w:r>
        <w:rPr>
          <w:szCs w:val="24"/>
        </w:rPr>
      </w:r>
    </w:p>
    <w:p>
      <w:pPr>
        <w:pStyle w:val="ListParagraph"/>
        <w:rPr>
          <w:szCs w:val="24"/>
        </w:rPr>
      </w:pPr>
      <w:r>
        <w:rPr>
          <w:szCs w:val="24"/>
        </w:rPr>
        <w:t xml:space="preserve">M.  Moravcík, M. Schmid, N. Burch, V. Lisý, D. Morrill, N Bard, T. Davis, K. Waugh, M. Johanson, </w:t>
        <w:tab/>
        <w:t>and M. Bowling. 2017. “Deepstack: Expert-level artificial intelligence in no-limit poker.”</w:t>
      </w:r>
    </w:p>
    <w:p>
      <w:pPr>
        <w:pStyle w:val="ListParagraph"/>
        <w:rPr>
          <w:szCs w:val="24"/>
        </w:rPr>
      </w:pPr>
      <w:r>
        <w:rPr>
          <w:szCs w:val="24"/>
        </w:rPr>
        <w:tab/>
        <w:t>ArXiv e-prints</w:t>
      </w:r>
    </w:p>
    <w:p>
      <w:pPr>
        <w:pStyle w:val="ListParagraph"/>
        <w:rPr>
          <w:szCs w:val="24"/>
        </w:rPr>
      </w:pPr>
      <w:r>
        <w:rPr>
          <w:szCs w:val="24"/>
        </w:rPr>
      </w:r>
    </w:p>
    <w:p>
      <w:pPr>
        <w:pStyle w:val="ListParagraph"/>
        <w:rPr>
          <w:szCs w:val="24"/>
        </w:rPr>
      </w:pPr>
      <w:r>
        <w:rPr>
          <w:szCs w:val="24"/>
        </w:rPr>
        <w:t>Roth, Alvin E., and Ido Erev. 1995. “Learning in extensive-form games: Experimental data and</w:t>
      </w:r>
    </w:p>
    <w:p>
      <w:pPr>
        <w:pStyle w:val="ListParagraph"/>
        <w:rPr>
          <w:szCs w:val="24"/>
        </w:rPr>
      </w:pPr>
      <w:r>
        <w:rPr>
          <w:szCs w:val="24"/>
        </w:rPr>
        <w:tab/>
        <w:t>simple dynamic models in the intermediate term,” Games and Economic Behavior 8: 164-212.</w:t>
      </w:r>
    </w:p>
    <w:p>
      <w:pPr>
        <w:pStyle w:val="ListParagraph"/>
        <w:jc w:val="center"/>
        <w:rPr>
          <w:b/>
          <w:b/>
          <w:sz w:val="36"/>
          <w:szCs w:val="24"/>
        </w:rPr>
      </w:pPr>
      <w:r>
        <w:rPr>
          <w:b/>
          <w:sz w:val="36"/>
          <w:szCs w:val="24"/>
        </w:rPr>
      </w:r>
    </w:p>
    <w:p>
      <w:pPr>
        <w:pStyle w:val="ListParagraph"/>
        <w:jc w:val="center"/>
        <w:rPr>
          <w:b/>
          <w:b/>
          <w:sz w:val="36"/>
          <w:szCs w:val="24"/>
        </w:rPr>
      </w:pPr>
      <w:r>
        <w:rPr>
          <w:b/>
          <w:sz w:val="36"/>
          <w:szCs w:val="24"/>
        </w:rPr>
      </w:r>
    </w:p>
    <w:p>
      <w:pPr>
        <w:pStyle w:val="ListParagraph"/>
        <w:jc w:val="center"/>
        <w:rPr>
          <w:b/>
          <w:b/>
          <w:sz w:val="36"/>
          <w:szCs w:val="24"/>
        </w:rPr>
      </w:pPr>
      <w:r>
        <w:rPr>
          <w:b/>
          <w:sz w:val="36"/>
          <w:szCs w:val="24"/>
        </w:rPr>
      </w:r>
    </w:p>
    <w:p>
      <w:pPr>
        <w:pStyle w:val="ListParagraph"/>
        <w:ind w:left="0" w:hanging="0"/>
        <w:rPr>
          <w:sz w:val="24"/>
          <w:szCs w:val="24"/>
        </w:rPr>
      </w:pPr>
      <w:r>
        <w:rPr>
          <w:sz w:val="24"/>
          <w:szCs w:val="24"/>
        </w:rPr>
      </w:r>
    </w:p>
    <w:p>
      <w:pPr>
        <w:pStyle w:val="ListParagraph"/>
        <w:ind w:left="0" w:hanging="0"/>
        <w:rPr>
          <w:sz w:val="24"/>
          <w:szCs w:val="24"/>
        </w:rPr>
      </w:pPr>
      <w:r>
        <w:rPr>
          <w:sz w:val="24"/>
          <w:szCs w:val="24"/>
        </w:rPr>
      </w:r>
    </w:p>
    <w:p>
      <w:pPr>
        <w:pStyle w:val="ListParagraph"/>
        <w:ind w:left="0" w:hanging="0"/>
        <w:rPr>
          <w:sz w:val="24"/>
          <w:szCs w:val="24"/>
        </w:rPr>
      </w:pPr>
      <w:r>
        <w:rPr>
          <w:sz w:val="24"/>
          <w:szCs w:val="24"/>
        </w:rPr>
      </w:r>
    </w:p>
    <w:p>
      <w:pPr>
        <w:pStyle w:val="ListParagraph"/>
        <w:ind w:left="0" w:hanging="0"/>
        <w:rPr>
          <w:sz w:val="24"/>
          <w:szCs w:val="24"/>
        </w:rPr>
      </w:pPr>
      <w:r>
        <w:rPr>
          <w:sz w:val="24"/>
          <w:szCs w:val="24"/>
        </w:rPr>
      </w:r>
    </w:p>
    <w:p>
      <w:pPr>
        <w:pStyle w:val="ListParagraph"/>
        <w:ind w:left="0" w:hanging="0"/>
        <w:rPr>
          <w:sz w:val="24"/>
          <w:szCs w:val="24"/>
        </w:rPr>
      </w:pPr>
      <w:r>
        <w:rPr>
          <w:sz w:val="24"/>
          <w:szCs w:val="24"/>
        </w:rPr>
      </w:r>
    </w:p>
    <w:p>
      <w:pPr>
        <w:pStyle w:val="ListParagraph"/>
        <w:ind w:left="0" w:hanging="0"/>
        <w:rPr>
          <w:sz w:val="24"/>
          <w:szCs w:val="24"/>
        </w:rPr>
      </w:pPr>
      <w:r>
        <w:rPr>
          <w:sz w:val="24"/>
          <w:szCs w:val="24"/>
        </w:rPr>
      </w:r>
    </w:p>
    <w:p>
      <w:pPr>
        <w:pStyle w:val="ListParagraph"/>
        <w:ind w:left="0" w:hanging="0"/>
        <w:rPr>
          <w:sz w:val="24"/>
          <w:szCs w:val="24"/>
        </w:rPr>
      </w:pPr>
      <w:r>
        <w:rPr>
          <w:sz w:val="24"/>
          <w:szCs w:val="24"/>
        </w:rPr>
      </w:r>
    </w:p>
    <w:p>
      <w:pPr>
        <w:pStyle w:val="ListParagraph"/>
        <w:ind w:left="0" w:hanging="0"/>
        <w:rPr>
          <w:sz w:val="24"/>
          <w:szCs w:val="24"/>
        </w:rPr>
      </w:pPr>
      <w:r>
        <w:rPr>
          <w:sz w:val="24"/>
          <w:szCs w:val="24"/>
        </w:rPr>
      </w:r>
    </w:p>
    <w:p>
      <w:pPr>
        <w:pStyle w:val="ListParagraph"/>
        <w:ind w:left="0" w:hanging="0"/>
        <w:rPr>
          <w:sz w:val="24"/>
          <w:szCs w:val="24"/>
        </w:rPr>
      </w:pPr>
      <w:r>
        <w:rPr>
          <w:sz w:val="24"/>
          <w:szCs w:val="24"/>
        </w:rPr>
      </w:r>
    </w:p>
    <w:p>
      <w:pPr>
        <w:pStyle w:val="ListParagraph"/>
        <w:ind w:left="0" w:hanging="0"/>
        <w:rPr>
          <w:sz w:val="24"/>
          <w:szCs w:val="24"/>
        </w:rPr>
      </w:pPr>
      <w:r>
        <w:rPr>
          <w:sz w:val="24"/>
          <w:szCs w:val="24"/>
        </w:rPr>
      </w:r>
    </w:p>
    <w:p>
      <w:pPr>
        <w:pStyle w:val="ListParagraph"/>
        <w:ind w:left="0" w:hanging="0"/>
        <w:rPr>
          <w:sz w:val="24"/>
          <w:szCs w:val="24"/>
        </w:rPr>
      </w:pPr>
      <w:r>
        <w:rPr>
          <w:sz w:val="24"/>
          <w:szCs w:val="24"/>
        </w:rPr>
      </w:r>
    </w:p>
    <w:p>
      <w:pPr>
        <w:pStyle w:val="ListParagraph"/>
        <w:spacing w:before="0" w:after="160"/>
        <w:ind w:left="0" w:hanging="0"/>
        <w:contextualSpacing/>
        <w:rPr/>
      </w:pPr>
      <w:r>
        <w:rPr/>
      </w:r>
    </w:p>
    <w:sectPr>
      <w:footnotePr>
        <w:numFmt w:val="decimal"/>
      </w:footnote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MRoman10-Regular">
    <w:charset w:val="00"/>
    <w:family w:val="roman"/>
    <w:pitch w:val="variable"/>
  </w:font>
  <w:font w:name="Liberation Sans">
    <w:altName w:val="Arial"/>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rStyle w:val="FootnoteCharacters"/>
        </w:rPr>
        <w:tab/>
        <w:tab/>
        <w:tab/>
        <w:tab/>
      </w:r>
      <w:r>
        <w:rPr>
          <w:rFonts w:cs="Calibri"/>
        </w:rPr>
        <w:t xml:space="preserve"> </w:t>
      </w:r>
      <w:r>
        <w:rPr/>
        <w:t>Source: pokerscout.com reports</w:t>
      </w:r>
    </w:p>
  </w:footnote>
  <w:footnote w:id="3">
    <w:p>
      <w:pPr>
        <w:pStyle w:val="Footnote"/>
        <w:rPr/>
      </w:pPr>
      <w:r>
        <w:rPr>
          <w:rStyle w:val="FootnoteCharacters"/>
        </w:rPr>
        <w:footnoteRef/>
      </w:r>
      <w:r>
        <w:rPr>
          <w:rStyle w:val="FootnoteCharacters"/>
        </w:rPr>
        <w:tab/>
      </w:r>
      <w:r>
        <w:rPr>
          <w:rStyle w:val="FootnoteCharacters"/>
        </w:rPr>
        <w:tab/>
        <w:tab/>
        <w:tab/>
        <w:tab/>
      </w:r>
      <w:r>
        <w:rPr>
          <w:rFonts w:cs="Calibri"/>
        </w:rPr>
        <w:t xml:space="preserve"> </w:t>
      </w:r>
      <w:r>
        <w:rPr/>
        <w:t>Pokerstars was acquired in June 2014 by the Quebec firm Amaya inc. The upper management of Amaya inc., including its then CEO David Baazov and 10 co-conspirators, were later indicted of insider trading by the Quebec financial markets regulator for this transaction (AMF filing 2016-11). If knowledge of the change in management was worthy of insider trading, it is reasonable that the new management and its expected decisions were unforeseen from the poker players’ point of view.</w:t>
      </w:r>
    </w:p>
  </w:footnote>
  <w:footnote w:id="4">
    <w:p>
      <w:pPr>
        <w:pStyle w:val="Footnote"/>
        <w:rPr/>
      </w:pPr>
      <w:r>
        <w:rPr>
          <w:rStyle w:val="FootnoteCharacters"/>
        </w:rPr>
        <w:footnoteRef/>
      </w:r>
      <w:r>
        <w:rPr>
          <w:rStyle w:val="FootnoteCharacters"/>
        </w:rPr>
        <w:tab/>
      </w:r>
      <w:r>
        <w:rPr>
          <w:rStyle w:val="FootnoteCharacters"/>
        </w:rPr>
        <w:tab/>
        <w:tab/>
      </w:r>
      <w:r>
        <w:rPr>
          <w:rStyle w:val="FootnoteCharacters"/>
          <w:rFonts w:cs="Calibri"/>
        </w:rPr>
        <w:t xml:space="preserve">  </w:t>
      </w:r>
      <w:r>
        <w:rPr/>
        <w:t>The structure of the game of poker admits only a mixed strategy Nash Equilibrium. Any skilled poker player will play a mixed strategy in commonly encountered situations, even off equilibrium. Pure strategies leave players too easily exploited by response strategies.</w:t>
      </w:r>
    </w:p>
  </w:footnote>
  <w:footnote w:id="5">
    <w:p>
      <w:pPr>
        <w:pStyle w:val="Footnote"/>
        <w:rPr/>
      </w:pPr>
      <w:r>
        <w:rPr>
          <w:rStyle w:val="FootnoteCharacters"/>
        </w:rPr>
        <w:footnoteRef/>
      </w:r>
      <w:r>
        <w:rPr>
          <w:rStyle w:val="FootnoteCharacters"/>
        </w:rPr>
        <w:tab/>
      </w:r>
      <w:r>
        <w:rPr>
          <w:rStyle w:val="FootnoteCharacters"/>
        </w:rPr>
        <w:tab/>
        <w:tab/>
      </w:r>
      <w:r>
        <w:rPr>
          <w:rStyle w:val="FootnoteCharacters"/>
          <w:rFonts w:cs="Calibri"/>
        </w:rPr>
        <w:t xml:space="preserve">  </w:t>
      </w:r>
      <w:r>
        <w:rPr/>
        <w:t>https://www.pokerstars.com/en/blog/corporate_blog/2015/2015-rake-rollback-153140.shtml</w:t>
      </w:r>
    </w:p>
  </w:footnote>
  <w:footnote w:id="6">
    <w:p>
      <w:pPr>
        <w:pStyle w:val="Footnote"/>
        <w:rPr/>
      </w:pPr>
      <w:r>
        <w:rPr>
          <w:rStyle w:val="FootnoteCharacters"/>
        </w:rPr>
        <w:footnoteRef/>
      </w:r>
      <w:r>
        <w:rPr>
          <w:rStyle w:val="FootnoteCharacters"/>
        </w:rPr>
        <w:tab/>
      </w:r>
      <w:r>
        <w:rPr>
          <w:rStyle w:val="FootnoteCharacters"/>
        </w:rPr>
        <w:tab/>
        <w:tab/>
        <w:tab/>
        <w:tab/>
        <w:tab/>
      </w:r>
      <w:r>
        <w:rPr/>
        <w:t xml:space="preserve"> See </w:t>
      </w:r>
      <w:hyperlink r:id="rId1">
        <w:r>
          <w:rPr>
            <w:rStyle w:val="InternetLink"/>
          </w:rPr>
          <w:t>https://www.pokertracker.com/guides/PT3/general/statistical-reference-guide</w:t>
        </w:r>
      </w:hyperlink>
      <w:r>
        <w:rPr/>
        <w:t xml:space="preserve"> for definitions. The statistics are </w:t>
      </w:r>
      <w:r>
        <w:rPr>
          <w:szCs w:val="24"/>
        </w:rPr>
        <w:t>the frequency at which a player willing plays a hand, the frequency at which a player raises when first to act, the ratio of aggressive to passive actions, the ratio of hands played when second to act, the frequency at which the player re-raises when second to act, the frequency at which a player makes a “continuation bet”, the frequency of “donkbets” on flop, the frequency of folding vs. a flop bet, and check raise frequency son flop.</w:t>
      </w:r>
    </w:p>
  </w:footnote>
  <w:footnote w:id="7">
    <w:p>
      <w:pPr>
        <w:pStyle w:val="Footnote"/>
        <w:rPr/>
      </w:pPr>
      <w:r>
        <w:rPr>
          <w:rStyle w:val="FootnoteCharacters"/>
        </w:rPr>
        <w:footnoteRef/>
      </w:r>
      <w:r>
        <w:rPr>
          <w:rStyle w:val="FootnoteCharacters"/>
        </w:rPr>
        <w:tab/>
      </w:r>
      <w:r>
        <w:rPr>
          <w:rStyle w:val="FootnoteCharacters"/>
        </w:rPr>
        <w:tab/>
        <w:tab/>
        <w:tab/>
        <w:tab/>
        <w:tab/>
      </w:r>
      <w:r>
        <w:rPr/>
        <w:t xml:space="preserve"> See (DOYLE). For instance, in the Nash Equlibrium solved in (AU 2014) for the related game of limit hold’em a player takes this action with &lt;0.5% frequency in his aggregated strategy (see http://poker.srv.ualberta.ca/preflop)</w:t>
      </w:r>
    </w:p>
  </w:footnote>
  <w:footnote w:id="8">
    <w:p>
      <w:pPr>
        <w:pStyle w:val="Footnote"/>
        <w:rPr/>
      </w:pPr>
      <w:r>
        <w:rPr>
          <w:rStyle w:val="FootnoteCharacters"/>
        </w:rPr>
        <w:footnoteRef/>
      </w:r>
      <w:r>
        <w:rPr>
          <w:rStyle w:val="FootnoteCharacters"/>
        </w:rPr>
        <w:tab/>
      </w:r>
      <w:r>
        <w:rPr>
          <w:rStyle w:val="FootnoteCharacters"/>
        </w:rPr>
        <w:tab/>
        <w:tab/>
        <w:tab/>
        <w:tab/>
        <w:tab/>
      </w:r>
      <w:r>
        <w:rPr/>
        <w:t xml:space="preserve"> http://www.propokertools.com</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2"/>
        <w:b/>
        <w:szCs w:val="32"/>
      </w:rPr>
    </w:lvl>
    <w:lvl w:ilvl="1">
      <w:start w:val="1"/>
      <w:numFmt w:val="decimal"/>
      <w:lvlText w:val="%1.%2"/>
      <w:lvlJc w:val="left"/>
      <w:pPr>
        <w:ind w:left="1440" w:hanging="720"/>
      </w:pPr>
      <w:rPr>
        <w:sz w:val="32"/>
        <w:b/>
        <w:szCs w:val="32"/>
      </w:rPr>
    </w:lvl>
    <w:lvl w:ilvl="2">
      <w:start w:val="1"/>
      <w:numFmt w:val="decimal"/>
      <w:lvlText w:val="%1.%2.%3"/>
      <w:lvlJc w:val="left"/>
      <w:pPr>
        <w:ind w:left="1800" w:hanging="720"/>
      </w:pPr>
      <w:rPr>
        <w:sz w:val="32"/>
        <w:b/>
        <w:szCs w:val="32"/>
      </w:rPr>
    </w:lvl>
    <w:lvl w:ilvl="3">
      <w:start w:val="1"/>
      <w:numFmt w:val="decimal"/>
      <w:lvlText w:val="%1.%2.%3.%4"/>
      <w:lvlJc w:val="left"/>
      <w:pPr>
        <w:ind w:left="2520" w:hanging="1080"/>
      </w:pPr>
      <w:rPr>
        <w:sz w:val="32"/>
        <w:b/>
        <w:szCs w:val="32"/>
      </w:rPr>
    </w:lvl>
    <w:lvl w:ilvl="4">
      <w:start w:val="1"/>
      <w:numFmt w:val="decimal"/>
      <w:lvlText w:val="%1.%2.%3.%4.%5"/>
      <w:lvlJc w:val="left"/>
      <w:pPr>
        <w:ind w:left="3240" w:hanging="1440"/>
      </w:pPr>
      <w:rPr>
        <w:sz w:val="32"/>
        <w:b/>
        <w:szCs w:val="32"/>
      </w:rPr>
    </w:lvl>
    <w:lvl w:ilvl="5">
      <w:start w:val="1"/>
      <w:numFmt w:val="decimal"/>
      <w:lvlText w:val="%1.%2.%3.%4.%5.%6"/>
      <w:lvlJc w:val="left"/>
      <w:pPr>
        <w:ind w:left="3600" w:hanging="1440"/>
      </w:pPr>
      <w:rPr>
        <w:sz w:val="32"/>
        <w:b/>
        <w:szCs w:val="32"/>
      </w:rPr>
    </w:lvl>
    <w:lvl w:ilvl="6">
      <w:start w:val="1"/>
      <w:numFmt w:val="decimal"/>
      <w:lvlText w:val="%1.%2.%3.%4.%5.%6.%7"/>
      <w:lvlJc w:val="left"/>
      <w:pPr>
        <w:ind w:left="4320" w:hanging="1800"/>
      </w:pPr>
      <w:rPr>
        <w:sz w:val="32"/>
        <w:b/>
        <w:szCs w:val="32"/>
      </w:rPr>
    </w:lvl>
    <w:lvl w:ilvl="7">
      <w:start w:val="1"/>
      <w:numFmt w:val="decimal"/>
      <w:lvlText w:val="%1.%2.%3.%4.%5.%6.%7.%8"/>
      <w:lvlJc w:val="left"/>
      <w:pPr>
        <w:ind w:left="5040" w:hanging="2160"/>
      </w:pPr>
      <w:rPr>
        <w:sz w:val="32"/>
        <w:b/>
        <w:szCs w:val="32"/>
      </w:rPr>
    </w:lvl>
    <w:lvl w:ilvl="8">
      <w:start w:val="1"/>
      <w:numFmt w:val="decimal"/>
      <w:lvlText w:val="%1.%2.%3.%4.%5.%6.%7.%8.%9"/>
      <w:lvlJc w:val="left"/>
      <w:pPr>
        <w:ind w:left="5400" w:hanging="2160"/>
      </w:pPr>
      <w:rPr>
        <w:sz w:val="32"/>
        <w:b/>
        <w:szCs w:val="32"/>
      </w:rPr>
    </w:lvl>
  </w:abstractNum>
  <w:abstractNum w:abstractNumId="2">
    <w:lvl w:ilvl="0">
      <w:start w:val="6"/>
      <w:numFmt w:val="decimal"/>
      <w:lvlText w:val="%1"/>
      <w:lvlJc w:val="left"/>
      <w:pPr>
        <w:ind w:left="420" w:hanging="42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3">
    <w:lvl w:ilvl="0">
      <w:start w:val="7"/>
      <w:numFmt w:val="decimal"/>
      <w:lvlText w:val="%1."/>
      <w:lvlJc w:val="left"/>
      <w:pPr>
        <w:ind w:left="720" w:hanging="360"/>
      </w:pPr>
      <w:rPr>
        <w:sz w:val="32"/>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fals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2" w:before="0" w:after="160"/>
      <w:jc w:val="left"/>
    </w:pPr>
    <w:rPr>
      <w:rFonts w:ascii="Calibri" w:hAnsi="Calibri" w:eastAsia="Calibri" w:cs="Times New Roman"/>
      <w:color w:val="00000A"/>
      <w:kern w:val="0"/>
      <w:sz w:val="22"/>
      <w:szCs w:val="22"/>
      <w:lang w:val="en-CA" w:eastAsia="zh-CN" w:bidi="ar-SA"/>
    </w:rPr>
  </w:style>
  <w:style w:type="character" w:styleId="DefaultParagraphFont" w:default="1">
    <w:name w:val="Default Paragraph Font"/>
    <w:uiPriority w:val="1"/>
    <w:semiHidden/>
    <w:unhideWhenUsed/>
    <w:qFormat/>
    <w:rPr/>
  </w:style>
  <w:style w:type="character" w:styleId="WW8Num1z0" w:customStyle="1">
    <w:name w:val="WW8Num1z0"/>
    <w:qFormat/>
    <w:rPr>
      <w:b/>
      <w:sz w:val="32"/>
      <w:szCs w:val="32"/>
    </w:rPr>
  </w:style>
  <w:style w:type="character" w:styleId="WW8Num2z0" w:customStyle="1">
    <w:name w:val="WW8Num2z0"/>
    <w:qFormat/>
    <w:rPr/>
  </w:style>
  <w:style w:type="character" w:styleId="WW8Num3z0" w:customStyle="1">
    <w:name w:val="WW8Num3z0"/>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FootnoteTextChar" w:customStyle="1">
    <w:name w:val="Footnote Text Char"/>
    <w:qFormat/>
    <w:rPr>
      <w:sz w:val="20"/>
      <w:szCs w:val="20"/>
    </w:rPr>
  </w:style>
  <w:style w:type="character" w:styleId="FootnoteCharacters" w:customStyle="1">
    <w:name w:val="Footnote Characters"/>
    <w:qFormat/>
    <w:rPr>
      <w:vertAlign w:val="superscript"/>
    </w:rPr>
  </w:style>
  <w:style w:type="character" w:styleId="InternetLink">
    <w:name w:val="Internet Link"/>
    <w:rPr>
      <w:color w:val="0563C1"/>
      <w:u w:val="single"/>
    </w:rPr>
  </w:style>
  <w:style w:type="character" w:styleId="UnresolvedMention">
    <w:name w:val="Unresolved Mention"/>
    <w:qFormat/>
    <w:rPr>
      <w:color w:val="808080"/>
      <w:shd w:fill="E6E6E6" w:val="clear"/>
    </w:rPr>
  </w:style>
  <w:style w:type="character" w:styleId="FootnoteAnchor">
    <w:name w:val="Footnote Anchor"/>
    <w:rPr>
      <w:vertAlign w:val="superscript"/>
    </w:rPr>
  </w:style>
  <w:style w:type="character" w:styleId="EndnoteCharacters" w:customStyle="1">
    <w:name w:val="Endnote Characters"/>
    <w:qFormat/>
    <w:rPr/>
  </w:style>
  <w:style w:type="character" w:styleId="EndnoteAnchor">
    <w:name w:val="Endnote Anchor"/>
    <w:rPr>
      <w:vertAlign w:val="superscript"/>
    </w:rPr>
  </w:style>
  <w:style w:type="character" w:styleId="PlaceholderText">
    <w:name w:val="Placeholder Text"/>
    <w:basedOn w:val="DefaultParagraphFont"/>
    <w:uiPriority w:val="99"/>
    <w:semiHidden/>
    <w:qFormat/>
    <w:rsid w:val="00c93c9c"/>
    <w:rPr>
      <w:color w:val="808080"/>
    </w:rPr>
  </w:style>
  <w:style w:type="character" w:styleId="Fontstyle01" w:customStyle="1">
    <w:name w:val="fontstyle01"/>
    <w:basedOn w:val="DefaultParagraphFont"/>
    <w:qFormat/>
    <w:rsid w:val="00511078"/>
    <w:rPr>
      <w:rFonts w:ascii="LMRoman10-Regular" w:hAnsi="LMRoman10-Regular"/>
      <w:b w:val="false"/>
      <w:bCs w:val="false"/>
      <w:i w:val="false"/>
      <w:iCs w:val="false"/>
      <w:color w:val="000000"/>
      <w:sz w:val="22"/>
      <w:szCs w:val="22"/>
    </w:rPr>
  </w:style>
  <w:style w:type="character" w:styleId="ListLabel1">
    <w:name w:val="ListLabel 1"/>
    <w:qFormat/>
    <w:rPr>
      <w:b/>
      <w:sz w:val="32"/>
      <w:szCs w:val="32"/>
    </w:rPr>
  </w:style>
  <w:style w:type="character" w:styleId="ListLabel2">
    <w:name w:val="ListLabel 2"/>
    <w:qFormat/>
    <w:rPr>
      <w:b/>
      <w:sz w:val="32"/>
      <w:szCs w:val="32"/>
    </w:rPr>
  </w:style>
  <w:style w:type="character" w:styleId="ListLabel3">
    <w:name w:val="ListLabel 3"/>
    <w:qFormat/>
    <w:rPr>
      <w:b/>
      <w:sz w:val="32"/>
      <w:szCs w:val="32"/>
    </w:rPr>
  </w:style>
  <w:style w:type="character" w:styleId="ListLabel4">
    <w:name w:val="ListLabel 4"/>
    <w:qFormat/>
    <w:rPr>
      <w:b/>
      <w:sz w:val="32"/>
      <w:szCs w:val="32"/>
    </w:rPr>
  </w:style>
  <w:style w:type="character" w:styleId="ListLabel5">
    <w:name w:val="ListLabel 5"/>
    <w:qFormat/>
    <w:rPr>
      <w:b/>
      <w:sz w:val="32"/>
      <w:szCs w:val="32"/>
    </w:rPr>
  </w:style>
  <w:style w:type="character" w:styleId="ListLabel6">
    <w:name w:val="ListLabel 6"/>
    <w:qFormat/>
    <w:rPr>
      <w:b/>
      <w:sz w:val="32"/>
      <w:szCs w:val="32"/>
    </w:rPr>
  </w:style>
  <w:style w:type="character" w:styleId="ListLabel7">
    <w:name w:val="ListLabel 7"/>
    <w:qFormat/>
    <w:rPr>
      <w:b/>
      <w:sz w:val="32"/>
      <w:szCs w:val="32"/>
    </w:rPr>
  </w:style>
  <w:style w:type="character" w:styleId="ListLabel8">
    <w:name w:val="ListLabel 8"/>
    <w:qFormat/>
    <w:rPr>
      <w:b/>
      <w:sz w:val="32"/>
      <w:szCs w:val="32"/>
    </w:rPr>
  </w:style>
  <w:style w:type="character" w:styleId="ListLabel9">
    <w:name w:val="ListLabel 9"/>
    <w:qFormat/>
    <w:rPr>
      <w:b/>
      <w:sz w:val="32"/>
      <w:szCs w:val="32"/>
    </w:rPr>
  </w:style>
  <w:style w:type="character" w:styleId="ListLabel10">
    <w:name w:val="ListLabel 10"/>
    <w:qFormat/>
    <w:rPr>
      <w:b/>
      <w:sz w:val="32"/>
    </w:rPr>
  </w:style>
  <w:style w:type="character" w:styleId="ListLabel11">
    <w:name w:val="ListLabel 11"/>
    <w:qFormat/>
    <w:rPr>
      <w:b/>
      <w:sz w:val="32"/>
    </w:rPr>
  </w:style>
  <w:style w:type="character" w:styleId="ListLabel12">
    <w:name w:val="ListLabel 12"/>
    <w:qFormat/>
    <w:rPr>
      <w:b/>
      <w:sz w:val="32"/>
    </w:rPr>
  </w:style>
  <w:style w:type="character" w:styleId="ListLabel13">
    <w:name w:val="ListLabel 13"/>
    <w:qFormat/>
    <w:rPr>
      <w:b/>
      <w:sz w:val="32"/>
      <w:szCs w:val="32"/>
    </w:rPr>
  </w:style>
  <w:style w:type="character" w:styleId="ListLabel14">
    <w:name w:val="ListLabel 14"/>
    <w:qFormat/>
    <w:rPr>
      <w:rFonts w:eastAsia="Calibri" w:cs="Calibri"/>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b/>
      <w:sz w:val="32"/>
      <w:szCs w:val="32"/>
    </w:rPr>
  </w:style>
  <w:style w:type="character" w:styleId="ListLabel19">
    <w:name w:val="ListLabel 19"/>
    <w:qFormat/>
    <w:rPr>
      <w:b/>
      <w:sz w:val="32"/>
      <w:szCs w:val="32"/>
    </w:rPr>
  </w:style>
  <w:style w:type="character" w:styleId="ListLabel20">
    <w:name w:val="ListLabel 20"/>
    <w:qFormat/>
    <w:rPr>
      <w:b/>
      <w:sz w:val="32"/>
      <w:szCs w:val="32"/>
    </w:rPr>
  </w:style>
  <w:style w:type="character" w:styleId="ListLabel21">
    <w:name w:val="ListLabel 21"/>
    <w:qFormat/>
    <w:rPr>
      <w:b/>
      <w:sz w:val="32"/>
      <w:szCs w:val="32"/>
    </w:rPr>
  </w:style>
  <w:style w:type="character" w:styleId="ListLabel22">
    <w:name w:val="ListLabel 22"/>
    <w:qFormat/>
    <w:rPr>
      <w:b/>
      <w:sz w:val="32"/>
      <w:szCs w:val="32"/>
    </w:rPr>
  </w:style>
  <w:style w:type="character" w:styleId="ListLabel23">
    <w:name w:val="ListLabel 23"/>
    <w:qFormat/>
    <w:rPr>
      <w:b/>
      <w:sz w:val="32"/>
      <w:szCs w:val="32"/>
    </w:rPr>
  </w:style>
  <w:style w:type="character" w:styleId="ListLabel24">
    <w:name w:val="ListLabel 24"/>
    <w:qFormat/>
    <w:rPr>
      <w:b/>
      <w:sz w:val="32"/>
      <w:szCs w:val="32"/>
    </w:rPr>
  </w:style>
  <w:style w:type="character" w:styleId="ListLabel25">
    <w:name w:val="ListLabel 25"/>
    <w:qFormat/>
    <w:rPr>
      <w:b/>
      <w:sz w:val="32"/>
      <w:szCs w:val="32"/>
    </w:rPr>
  </w:style>
  <w:style w:type="character" w:styleId="ListLabel26">
    <w:name w:val="ListLabel 26"/>
    <w:qFormat/>
    <w:rPr>
      <w:b/>
      <w:sz w:val="32"/>
      <w:szCs w:val="32"/>
    </w:rPr>
  </w:style>
  <w:style w:type="character" w:styleId="ListLabel27">
    <w:name w:val="ListLabel 27"/>
    <w:qFormat/>
    <w:rPr>
      <w:b/>
      <w:sz w:val="32"/>
    </w:rPr>
  </w:style>
  <w:style w:type="character" w:styleId="ListLabel28">
    <w:name w:val="ListLabel 28"/>
    <w:qFormat/>
    <w:rPr>
      <w:rFonts w:eastAsia="Calibri" w:cs="Calibri"/>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b/>
      <w:sz w:val="32"/>
      <w:szCs w:val="32"/>
    </w:rPr>
  </w:style>
  <w:style w:type="character" w:styleId="ListLabel33">
    <w:name w:val="ListLabel 33"/>
    <w:qFormat/>
    <w:rPr>
      <w:b/>
      <w:sz w:val="32"/>
      <w:szCs w:val="32"/>
    </w:rPr>
  </w:style>
  <w:style w:type="character" w:styleId="ListLabel34">
    <w:name w:val="ListLabel 34"/>
    <w:qFormat/>
    <w:rPr>
      <w:b/>
      <w:sz w:val="32"/>
      <w:szCs w:val="32"/>
    </w:rPr>
  </w:style>
  <w:style w:type="character" w:styleId="ListLabel35">
    <w:name w:val="ListLabel 35"/>
    <w:qFormat/>
    <w:rPr>
      <w:b/>
      <w:sz w:val="32"/>
      <w:szCs w:val="32"/>
    </w:rPr>
  </w:style>
  <w:style w:type="character" w:styleId="ListLabel36">
    <w:name w:val="ListLabel 36"/>
    <w:qFormat/>
    <w:rPr>
      <w:b/>
      <w:sz w:val="32"/>
      <w:szCs w:val="32"/>
    </w:rPr>
  </w:style>
  <w:style w:type="character" w:styleId="ListLabel37">
    <w:name w:val="ListLabel 37"/>
    <w:qFormat/>
    <w:rPr>
      <w:b/>
      <w:sz w:val="32"/>
      <w:szCs w:val="32"/>
    </w:rPr>
  </w:style>
  <w:style w:type="character" w:styleId="ListLabel38">
    <w:name w:val="ListLabel 38"/>
    <w:qFormat/>
    <w:rPr>
      <w:b/>
      <w:sz w:val="32"/>
      <w:szCs w:val="32"/>
    </w:rPr>
  </w:style>
  <w:style w:type="character" w:styleId="ListLabel39">
    <w:name w:val="ListLabel 39"/>
    <w:qFormat/>
    <w:rPr>
      <w:b/>
      <w:sz w:val="32"/>
      <w:szCs w:val="32"/>
    </w:rPr>
  </w:style>
  <w:style w:type="character" w:styleId="ListLabel40">
    <w:name w:val="ListLabel 40"/>
    <w:qFormat/>
    <w:rPr>
      <w:b/>
      <w:sz w:val="32"/>
      <w:szCs w:val="32"/>
    </w:rPr>
  </w:style>
  <w:style w:type="character" w:styleId="ListLabel41">
    <w:name w:val="ListLabel 41"/>
    <w:qFormat/>
    <w:rPr>
      <w:b/>
      <w:sz w:val="32"/>
    </w:rPr>
  </w:style>
  <w:style w:type="character" w:styleId="ListLabel42">
    <w:name w:val="ListLabel 42"/>
    <w:qFormat/>
    <w:rPr>
      <w:b/>
      <w:sz w:val="32"/>
      <w:szCs w:val="32"/>
    </w:rPr>
  </w:style>
  <w:style w:type="character" w:styleId="ListLabel43">
    <w:name w:val="ListLabel 43"/>
    <w:qFormat/>
    <w:rPr>
      <w:b/>
      <w:sz w:val="32"/>
      <w:szCs w:val="32"/>
    </w:rPr>
  </w:style>
  <w:style w:type="character" w:styleId="ListLabel44">
    <w:name w:val="ListLabel 44"/>
    <w:qFormat/>
    <w:rPr>
      <w:b/>
      <w:sz w:val="32"/>
      <w:szCs w:val="32"/>
    </w:rPr>
  </w:style>
  <w:style w:type="character" w:styleId="ListLabel45">
    <w:name w:val="ListLabel 45"/>
    <w:qFormat/>
    <w:rPr>
      <w:b/>
      <w:sz w:val="32"/>
      <w:szCs w:val="32"/>
    </w:rPr>
  </w:style>
  <w:style w:type="character" w:styleId="ListLabel46">
    <w:name w:val="ListLabel 46"/>
    <w:qFormat/>
    <w:rPr>
      <w:b/>
      <w:sz w:val="32"/>
      <w:szCs w:val="32"/>
    </w:rPr>
  </w:style>
  <w:style w:type="character" w:styleId="ListLabel47">
    <w:name w:val="ListLabel 47"/>
    <w:qFormat/>
    <w:rPr>
      <w:b/>
      <w:sz w:val="32"/>
      <w:szCs w:val="32"/>
    </w:rPr>
  </w:style>
  <w:style w:type="character" w:styleId="ListLabel48">
    <w:name w:val="ListLabel 48"/>
    <w:qFormat/>
    <w:rPr>
      <w:b/>
      <w:sz w:val="32"/>
      <w:szCs w:val="32"/>
    </w:rPr>
  </w:style>
  <w:style w:type="character" w:styleId="ListLabel49">
    <w:name w:val="ListLabel 49"/>
    <w:qFormat/>
    <w:rPr>
      <w:b/>
      <w:sz w:val="32"/>
      <w:szCs w:val="32"/>
    </w:rPr>
  </w:style>
  <w:style w:type="character" w:styleId="ListLabel50">
    <w:name w:val="ListLabel 50"/>
    <w:qFormat/>
    <w:rPr>
      <w:b/>
      <w:sz w:val="32"/>
      <w:szCs w:val="32"/>
    </w:rPr>
  </w:style>
  <w:style w:type="character" w:styleId="ListLabel51">
    <w:name w:val="ListLabel 51"/>
    <w:qFormat/>
    <w:rPr>
      <w:b/>
      <w:sz w:val="32"/>
    </w:rPr>
  </w:style>
  <w:style w:type="character" w:styleId="ListLabel52">
    <w:name w:val="ListLabel 52"/>
    <w:qFormat/>
    <w:rPr>
      <w:b/>
      <w:sz w:val="32"/>
      <w:szCs w:val="32"/>
    </w:rPr>
  </w:style>
  <w:style w:type="character" w:styleId="ListLabel53">
    <w:name w:val="ListLabel 53"/>
    <w:qFormat/>
    <w:rPr>
      <w:b/>
      <w:sz w:val="32"/>
      <w:szCs w:val="32"/>
    </w:rPr>
  </w:style>
  <w:style w:type="character" w:styleId="ListLabel54">
    <w:name w:val="ListLabel 54"/>
    <w:qFormat/>
    <w:rPr>
      <w:b/>
      <w:sz w:val="32"/>
      <w:szCs w:val="32"/>
    </w:rPr>
  </w:style>
  <w:style w:type="character" w:styleId="ListLabel55">
    <w:name w:val="ListLabel 55"/>
    <w:qFormat/>
    <w:rPr>
      <w:b/>
      <w:sz w:val="32"/>
      <w:szCs w:val="32"/>
    </w:rPr>
  </w:style>
  <w:style w:type="character" w:styleId="ListLabel56">
    <w:name w:val="ListLabel 56"/>
    <w:qFormat/>
    <w:rPr>
      <w:b/>
      <w:sz w:val="32"/>
      <w:szCs w:val="32"/>
    </w:rPr>
  </w:style>
  <w:style w:type="character" w:styleId="ListLabel57">
    <w:name w:val="ListLabel 57"/>
    <w:qFormat/>
    <w:rPr>
      <w:b/>
      <w:sz w:val="32"/>
      <w:szCs w:val="32"/>
    </w:rPr>
  </w:style>
  <w:style w:type="character" w:styleId="ListLabel58">
    <w:name w:val="ListLabel 58"/>
    <w:qFormat/>
    <w:rPr>
      <w:b/>
      <w:sz w:val="32"/>
      <w:szCs w:val="32"/>
    </w:rPr>
  </w:style>
  <w:style w:type="character" w:styleId="ListLabel59">
    <w:name w:val="ListLabel 59"/>
    <w:qFormat/>
    <w:rPr>
      <w:b/>
      <w:sz w:val="32"/>
      <w:szCs w:val="32"/>
    </w:rPr>
  </w:style>
  <w:style w:type="character" w:styleId="ListLabel60">
    <w:name w:val="ListLabel 60"/>
    <w:qFormat/>
    <w:rPr>
      <w:b/>
      <w:sz w:val="32"/>
      <w:szCs w:val="32"/>
    </w:rPr>
  </w:style>
  <w:style w:type="character" w:styleId="ListLabel61">
    <w:name w:val="ListLabel 61"/>
    <w:qFormat/>
    <w:rPr>
      <w:b/>
      <w:sz w:val="32"/>
    </w:rPr>
  </w:style>
  <w:style w:type="character" w:styleId="ListLabel62">
    <w:name w:val="ListLabel 62"/>
    <w:qFormat/>
    <w:rPr>
      <w:b/>
      <w:sz w:val="32"/>
      <w:szCs w:val="32"/>
    </w:rPr>
  </w:style>
  <w:style w:type="character" w:styleId="ListLabel63">
    <w:name w:val="ListLabel 63"/>
    <w:qFormat/>
    <w:rPr>
      <w:b/>
      <w:sz w:val="32"/>
      <w:szCs w:val="32"/>
    </w:rPr>
  </w:style>
  <w:style w:type="character" w:styleId="ListLabel64">
    <w:name w:val="ListLabel 64"/>
    <w:qFormat/>
    <w:rPr>
      <w:b/>
      <w:sz w:val="32"/>
      <w:szCs w:val="32"/>
    </w:rPr>
  </w:style>
  <w:style w:type="character" w:styleId="ListLabel65">
    <w:name w:val="ListLabel 65"/>
    <w:qFormat/>
    <w:rPr>
      <w:b/>
      <w:sz w:val="32"/>
      <w:szCs w:val="32"/>
    </w:rPr>
  </w:style>
  <w:style w:type="character" w:styleId="ListLabel66">
    <w:name w:val="ListLabel 66"/>
    <w:qFormat/>
    <w:rPr>
      <w:b/>
      <w:sz w:val="32"/>
      <w:szCs w:val="32"/>
    </w:rPr>
  </w:style>
  <w:style w:type="character" w:styleId="ListLabel67">
    <w:name w:val="ListLabel 67"/>
    <w:qFormat/>
    <w:rPr>
      <w:b/>
      <w:sz w:val="32"/>
      <w:szCs w:val="32"/>
    </w:rPr>
  </w:style>
  <w:style w:type="character" w:styleId="ListLabel68">
    <w:name w:val="ListLabel 68"/>
    <w:qFormat/>
    <w:rPr>
      <w:b/>
      <w:sz w:val="32"/>
      <w:szCs w:val="32"/>
    </w:rPr>
  </w:style>
  <w:style w:type="character" w:styleId="ListLabel69">
    <w:name w:val="ListLabel 69"/>
    <w:qFormat/>
    <w:rPr>
      <w:b/>
      <w:sz w:val="32"/>
      <w:szCs w:val="32"/>
    </w:rPr>
  </w:style>
  <w:style w:type="character" w:styleId="ListLabel70">
    <w:name w:val="ListLabel 70"/>
    <w:qFormat/>
    <w:rPr>
      <w:b/>
      <w:sz w:val="32"/>
      <w:szCs w:val="32"/>
    </w:rPr>
  </w:style>
  <w:style w:type="character" w:styleId="ListLabel71">
    <w:name w:val="ListLabel 71"/>
    <w:qFormat/>
    <w:rPr>
      <w:b/>
      <w:sz w:val="32"/>
    </w:rPr>
  </w:style>
  <w:style w:type="character" w:styleId="ListLabel72">
    <w:name w:val="ListLabel 72"/>
    <w:qFormat/>
    <w:rPr>
      <w:b/>
      <w:sz w:val="32"/>
      <w:szCs w:val="32"/>
    </w:rPr>
  </w:style>
  <w:style w:type="character" w:styleId="ListLabel73">
    <w:name w:val="ListLabel 73"/>
    <w:qFormat/>
    <w:rPr>
      <w:b/>
      <w:sz w:val="32"/>
      <w:szCs w:val="32"/>
    </w:rPr>
  </w:style>
  <w:style w:type="character" w:styleId="ListLabel74">
    <w:name w:val="ListLabel 74"/>
    <w:qFormat/>
    <w:rPr>
      <w:b/>
      <w:sz w:val="32"/>
      <w:szCs w:val="32"/>
    </w:rPr>
  </w:style>
  <w:style w:type="character" w:styleId="ListLabel75">
    <w:name w:val="ListLabel 75"/>
    <w:qFormat/>
    <w:rPr>
      <w:b/>
      <w:sz w:val="32"/>
      <w:szCs w:val="32"/>
    </w:rPr>
  </w:style>
  <w:style w:type="character" w:styleId="ListLabel76">
    <w:name w:val="ListLabel 76"/>
    <w:qFormat/>
    <w:rPr>
      <w:b/>
      <w:sz w:val="32"/>
      <w:szCs w:val="32"/>
    </w:rPr>
  </w:style>
  <w:style w:type="character" w:styleId="ListLabel77">
    <w:name w:val="ListLabel 77"/>
    <w:qFormat/>
    <w:rPr>
      <w:b/>
      <w:sz w:val="32"/>
      <w:szCs w:val="32"/>
    </w:rPr>
  </w:style>
  <w:style w:type="character" w:styleId="ListLabel78">
    <w:name w:val="ListLabel 78"/>
    <w:qFormat/>
    <w:rPr>
      <w:b/>
      <w:sz w:val="32"/>
      <w:szCs w:val="32"/>
    </w:rPr>
  </w:style>
  <w:style w:type="character" w:styleId="ListLabel79">
    <w:name w:val="ListLabel 79"/>
    <w:qFormat/>
    <w:rPr>
      <w:b/>
      <w:sz w:val="32"/>
      <w:szCs w:val="32"/>
    </w:rPr>
  </w:style>
  <w:style w:type="character" w:styleId="ListLabel80">
    <w:name w:val="ListLabel 80"/>
    <w:qFormat/>
    <w:rPr>
      <w:b/>
      <w:sz w:val="32"/>
      <w:szCs w:val="32"/>
    </w:rPr>
  </w:style>
  <w:style w:type="character" w:styleId="ListLabel81">
    <w:name w:val="ListLabel 81"/>
    <w:qFormat/>
    <w:rPr>
      <w:b/>
      <w:sz w:val="32"/>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qFormat/>
    <w:pPr>
      <w:spacing w:before="0" w:after="160"/>
      <w:ind w:left="720" w:hanging="0"/>
      <w:contextualSpacing/>
    </w:pPr>
    <w:rPr/>
  </w:style>
  <w:style w:type="paragraph" w:styleId="Footnote">
    <w:name w:val="Footnote Text"/>
    <w:basedOn w:val="Normal"/>
    <w:pPr>
      <w:spacing w:lineRule="auto" w:line="240" w:before="0" w:after="0"/>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6064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pokertracker.com/guides/PT3/general/statistical-reference-gu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46E50-60FA-4330-B3B1-DF511C457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4500</TotalTime>
  <Application>LibreOffice/6.0.3.2$Windows_X86_64 LibreOffice_project/8f48d515416608e3a835360314dac7e47fd0b821</Application>
  <Pages>12</Pages>
  <Words>5485</Words>
  <Characters>28861</Characters>
  <CharactersWithSpaces>34176</CharactersWithSpaces>
  <Paragraphs>341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2017-07-31T05:09:00Z</dcterms:created>
  <dc:creator>Matt</dc:creator>
  <dc:description/>
  <dc:language>en-CA</dc:language>
  <cp:lastModifiedBy/>
  <cp:lastPrinted>2017-08-04T20:22:00Z</cp:lastPrinted>
  <dcterms:modified xsi:type="dcterms:W3CDTF">2018-09-08T23:49:36Z</dcterms:modified>
  <cp:revision>859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