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D673F" w14:textId="5AD64FFA" w:rsidR="006A7253" w:rsidRPr="006A7253" w:rsidRDefault="006A7253" w:rsidP="006A7253">
      <w:pPr>
        <w:jc w:val="center"/>
        <w:rPr>
          <w:b/>
          <w:bCs/>
        </w:rPr>
      </w:pPr>
      <w:r w:rsidRPr="006A7253">
        <w:rPr>
          <w:b/>
          <w:bCs/>
        </w:rPr>
        <w:t>Whi</w:t>
      </w:r>
      <w:r>
        <w:rPr>
          <w:b/>
          <w:bCs/>
        </w:rPr>
        <w:t xml:space="preserve">te Paper for The </w:t>
      </w:r>
      <w:r w:rsidRPr="006A7253">
        <w:rPr>
          <w:b/>
          <w:bCs/>
        </w:rPr>
        <w:t>SBR System</w:t>
      </w:r>
      <w:r>
        <w:rPr>
          <w:b/>
          <w:bCs/>
        </w:rPr>
        <w:t xml:space="preserve"> &amp; SBR-GOLD</w:t>
      </w:r>
    </w:p>
    <w:p w14:paraId="5A5E99C7" w14:textId="77777777" w:rsidR="006A7253" w:rsidRPr="006A7253" w:rsidRDefault="006A7253" w:rsidP="006A7253">
      <w:r w:rsidRPr="006A7253">
        <w:t>Abstract</w:t>
      </w:r>
    </w:p>
    <w:p w14:paraId="7A3E427A" w14:textId="77777777" w:rsidR="006A7253" w:rsidRPr="006A7253" w:rsidRDefault="006A7253" w:rsidP="006A7253">
      <w:r w:rsidRPr="006A7253">
        <w:t>The SBRG System introduces an innovative approach to financial inclusion, education incentives, and local community empowerment. By leveraging advanced blockchain technology, the SBRG System aims to redefine the landscape of financial services, making them more accessible, equitable, and community-focused.</w:t>
      </w:r>
    </w:p>
    <w:p w14:paraId="418944B2" w14:textId="77777777" w:rsidR="006A7253" w:rsidRPr="006A7253" w:rsidRDefault="006A7253" w:rsidP="006A7253">
      <w:r w:rsidRPr="006A7253">
        <w:t>Introduction</w:t>
      </w:r>
    </w:p>
    <w:p w14:paraId="4A1D3C9A" w14:textId="77777777" w:rsidR="006A7253" w:rsidRPr="006A7253" w:rsidRDefault="006A7253" w:rsidP="006A7253">
      <w:r w:rsidRPr="006A7253">
        <w:t>Traditional financial systems often fail to provide universal access, leaving significant portions of the global population unbanked or underbanked. Moreover, these systems rarely support community-driven projects in a manner that empowers local governance. The SBRG System seeks to address these limitations through a comprehensive, blockchain-based solution.</w:t>
      </w:r>
    </w:p>
    <w:p w14:paraId="5EAAB4EA" w14:textId="77777777" w:rsidR="006A7253" w:rsidRPr="006A7253" w:rsidRDefault="006A7253" w:rsidP="006A7253">
      <w:r w:rsidRPr="006A7253">
        <w:t>SBRG System Overview</w:t>
      </w:r>
    </w:p>
    <w:p w14:paraId="55EB4E19" w14:textId="77777777" w:rsidR="006A7253" w:rsidRPr="006A7253" w:rsidRDefault="006A7253" w:rsidP="006A7253">
      <w:pPr>
        <w:rPr>
          <w:b/>
          <w:bCs/>
        </w:rPr>
      </w:pPr>
      <w:r w:rsidRPr="006A7253">
        <w:rPr>
          <w:b/>
          <w:bCs/>
        </w:rPr>
        <w:t>Objective and Vision</w:t>
      </w:r>
    </w:p>
    <w:p w14:paraId="3F1FEDCC" w14:textId="77777777" w:rsidR="006A7253" w:rsidRPr="006A7253" w:rsidRDefault="006A7253" w:rsidP="006A7253">
      <w:r w:rsidRPr="006A7253">
        <w:t>The SBRG System is designed with the overarching goal of democratizing financial services. It facilitates accessible loans, promotes a universal basic income model tied to educational achievements, and empowers local communities through direct governance mechanisms.</w:t>
      </w:r>
    </w:p>
    <w:p w14:paraId="46F28759" w14:textId="77777777" w:rsidR="006A7253" w:rsidRPr="006A7253" w:rsidRDefault="006A7253" w:rsidP="006A7253">
      <w:pPr>
        <w:rPr>
          <w:b/>
          <w:bCs/>
        </w:rPr>
      </w:pPr>
      <w:r w:rsidRPr="006A7253">
        <w:rPr>
          <w:b/>
          <w:bCs/>
        </w:rPr>
        <w:t>Technical Framework</w:t>
      </w:r>
    </w:p>
    <w:p w14:paraId="613F2BCF" w14:textId="77777777" w:rsidR="006A7253" w:rsidRPr="006A7253" w:rsidRDefault="006A7253" w:rsidP="006A7253">
      <w:r w:rsidRPr="006A7253">
        <w:t>The system is underpinned by robust blockchain technology, ensuring transparency, security, and efficiency. Key components include:</w:t>
      </w:r>
    </w:p>
    <w:p w14:paraId="4F80932B" w14:textId="77777777" w:rsidR="006A7253" w:rsidRPr="006A7253" w:rsidRDefault="006A7253" w:rsidP="006A7253">
      <w:pPr>
        <w:numPr>
          <w:ilvl w:val="0"/>
          <w:numId w:val="1"/>
        </w:numPr>
      </w:pPr>
      <w:r w:rsidRPr="006A7253">
        <w:rPr>
          <w:b/>
          <w:bCs/>
        </w:rPr>
        <w:t>Loan Leveraging System</w:t>
      </w:r>
      <w:r w:rsidRPr="006A7253">
        <w:t>: Utilizes SBRG tokens as collateral, enabling secure and accessible loans.</w:t>
      </w:r>
    </w:p>
    <w:p w14:paraId="129AB2D6" w14:textId="77777777" w:rsidR="006A7253" w:rsidRPr="006A7253" w:rsidRDefault="006A7253" w:rsidP="006A7253">
      <w:pPr>
        <w:numPr>
          <w:ilvl w:val="0"/>
          <w:numId w:val="1"/>
        </w:numPr>
      </w:pPr>
      <w:r w:rsidRPr="006A7253">
        <w:rPr>
          <w:b/>
          <w:bCs/>
        </w:rPr>
        <w:t>Educational Reward Mechanism</w:t>
      </w:r>
      <w:r w:rsidRPr="006A7253">
        <w:t>: Incentivizes lifelong learning and skill development through token rewards.</w:t>
      </w:r>
    </w:p>
    <w:p w14:paraId="53CB89E4" w14:textId="77777777" w:rsidR="006A7253" w:rsidRPr="006A7253" w:rsidRDefault="006A7253" w:rsidP="006A7253">
      <w:pPr>
        <w:numPr>
          <w:ilvl w:val="0"/>
          <w:numId w:val="1"/>
        </w:numPr>
      </w:pPr>
      <w:r w:rsidRPr="006A7253">
        <w:rPr>
          <w:b/>
          <w:bCs/>
        </w:rPr>
        <w:t>Local Voting System</w:t>
      </w:r>
      <w:r w:rsidRPr="006A7253">
        <w:t>: Allows communities to directly participate in governance, deciding on local projects and allocations of funds.</w:t>
      </w:r>
    </w:p>
    <w:p w14:paraId="4275DAFA" w14:textId="77777777" w:rsidR="006A7253" w:rsidRPr="006A7253" w:rsidRDefault="006A7253" w:rsidP="006A7253">
      <w:pPr>
        <w:rPr>
          <w:b/>
          <w:bCs/>
        </w:rPr>
      </w:pPr>
      <w:r w:rsidRPr="006A7253">
        <w:rPr>
          <w:b/>
          <w:bCs/>
        </w:rPr>
        <w:t>Benefits</w:t>
      </w:r>
    </w:p>
    <w:p w14:paraId="3E5E78EB" w14:textId="77777777" w:rsidR="006A7253" w:rsidRPr="006A7253" w:rsidRDefault="006A7253" w:rsidP="006A7253">
      <w:pPr>
        <w:numPr>
          <w:ilvl w:val="0"/>
          <w:numId w:val="2"/>
        </w:numPr>
      </w:pPr>
      <w:r w:rsidRPr="006A7253">
        <w:rPr>
          <w:b/>
          <w:bCs/>
        </w:rPr>
        <w:t>Financial Inclusion</w:t>
      </w:r>
      <w:r w:rsidRPr="006A7253">
        <w:t>: Makes financial services accessible to a broader population, including those traditionally excluded from the banking system.</w:t>
      </w:r>
    </w:p>
    <w:p w14:paraId="4951AFE1" w14:textId="77777777" w:rsidR="006A7253" w:rsidRPr="006A7253" w:rsidRDefault="006A7253" w:rsidP="006A7253">
      <w:pPr>
        <w:numPr>
          <w:ilvl w:val="0"/>
          <w:numId w:val="2"/>
        </w:numPr>
      </w:pPr>
      <w:r w:rsidRPr="006A7253">
        <w:rPr>
          <w:b/>
          <w:bCs/>
        </w:rPr>
        <w:t>Educational Advancement</w:t>
      </w:r>
      <w:r w:rsidRPr="006A7253">
        <w:t>: Encourages and rewards educational pursuits, linking economic benefits with learning.</w:t>
      </w:r>
    </w:p>
    <w:p w14:paraId="5DD522C7" w14:textId="77777777" w:rsidR="006A7253" w:rsidRPr="006A7253" w:rsidRDefault="006A7253" w:rsidP="006A7253">
      <w:pPr>
        <w:numPr>
          <w:ilvl w:val="0"/>
          <w:numId w:val="2"/>
        </w:numPr>
      </w:pPr>
      <w:r w:rsidRPr="006A7253">
        <w:rPr>
          <w:b/>
          <w:bCs/>
        </w:rPr>
        <w:t>Community Empowerment</w:t>
      </w:r>
      <w:r w:rsidRPr="006A7253">
        <w:t>: Gives communities control over local development projects, fostering a sense of ownership and civic engagement.</w:t>
      </w:r>
    </w:p>
    <w:p w14:paraId="54A4168A" w14:textId="77777777" w:rsidR="006A7253" w:rsidRPr="006A7253" w:rsidRDefault="006A7253" w:rsidP="006A7253">
      <w:r w:rsidRPr="006A7253">
        <w:t>Use Cases</w:t>
      </w:r>
    </w:p>
    <w:p w14:paraId="36019BB4" w14:textId="77777777" w:rsidR="006A7253" w:rsidRPr="006A7253" w:rsidRDefault="006A7253" w:rsidP="006A7253">
      <w:pPr>
        <w:numPr>
          <w:ilvl w:val="0"/>
          <w:numId w:val="3"/>
        </w:numPr>
      </w:pPr>
      <w:r w:rsidRPr="006A7253">
        <w:rPr>
          <w:b/>
          <w:bCs/>
        </w:rPr>
        <w:t>Microfinance</w:t>
      </w:r>
      <w:r w:rsidRPr="006A7253">
        <w:t>: Providing small loans to entrepreneurs in underserved communities, enabling business creation and growth.</w:t>
      </w:r>
    </w:p>
    <w:p w14:paraId="76BF0D9F" w14:textId="77777777" w:rsidR="006A7253" w:rsidRPr="006A7253" w:rsidRDefault="006A7253" w:rsidP="006A7253">
      <w:pPr>
        <w:numPr>
          <w:ilvl w:val="0"/>
          <w:numId w:val="3"/>
        </w:numPr>
      </w:pPr>
      <w:r w:rsidRPr="006A7253">
        <w:rPr>
          <w:b/>
          <w:bCs/>
        </w:rPr>
        <w:lastRenderedPageBreak/>
        <w:t>Educational Incentives</w:t>
      </w:r>
      <w:r w:rsidRPr="006A7253">
        <w:t>: Rewarding students and learners with tokens for completing courses or achieving educational milestones.</w:t>
      </w:r>
    </w:p>
    <w:p w14:paraId="1A7A86AC" w14:textId="77777777" w:rsidR="006A7253" w:rsidRPr="006A7253" w:rsidRDefault="006A7253" w:rsidP="006A7253">
      <w:pPr>
        <w:numPr>
          <w:ilvl w:val="0"/>
          <w:numId w:val="3"/>
        </w:numPr>
      </w:pPr>
      <w:r w:rsidRPr="006A7253">
        <w:rPr>
          <w:b/>
          <w:bCs/>
        </w:rPr>
        <w:t>Local Development Projects</w:t>
      </w:r>
      <w:r w:rsidRPr="006A7253">
        <w:t>: Funding community-selected projects like road repairs or public schools, based on local voting outcomes.</w:t>
      </w:r>
    </w:p>
    <w:p w14:paraId="698D3C57" w14:textId="77777777" w:rsidR="006A7253" w:rsidRPr="006A7253" w:rsidRDefault="006A7253" w:rsidP="006A7253">
      <w:r w:rsidRPr="006A7253">
        <w:t>Implementation Strategy</w:t>
      </w:r>
    </w:p>
    <w:p w14:paraId="6A50B6DC" w14:textId="77777777" w:rsidR="006A7253" w:rsidRPr="006A7253" w:rsidRDefault="006A7253" w:rsidP="006A7253">
      <w:r w:rsidRPr="006A7253">
        <w:t>Deploying the SBRG System involves:</w:t>
      </w:r>
    </w:p>
    <w:p w14:paraId="35840D49" w14:textId="77777777" w:rsidR="006A7253" w:rsidRPr="006A7253" w:rsidRDefault="006A7253" w:rsidP="006A7253">
      <w:pPr>
        <w:numPr>
          <w:ilvl w:val="0"/>
          <w:numId w:val="4"/>
        </w:numPr>
      </w:pPr>
      <w:r w:rsidRPr="006A7253">
        <w:rPr>
          <w:b/>
          <w:bCs/>
        </w:rPr>
        <w:t>Technology Deployment</w:t>
      </w:r>
      <w:r w:rsidRPr="006A7253">
        <w:t>: Building a scalable and secure blockchain network to support the SBRG ecosystem.</w:t>
      </w:r>
    </w:p>
    <w:p w14:paraId="25FE6A8F" w14:textId="77777777" w:rsidR="006A7253" w:rsidRPr="006A7253" w:rsidRDefault="006A7253" w:rsidP="006A7253">
      <w:pPr>
        <w:numPr>
          <w:ilvl w:val="0"/>
          <w:numId w:val="4"/>
        </w:numPr>
      </w:pPr>
      <w:r w:rsidRPr="006A7253">
        <w:rPr>
          <w:b/>
          <w:bCs/>
        </w:rPr>
        <w:t>Community Engagement</w:t>
      </w:r>
      <w:r w:rsidRPr="006A7253">
        <w:t>: Educating potential users on the benefits and operation of the SBRG System, fostering a supportive community.</w:t>
      </w:r>
    </w:p>
    <w:p w14:paraId="2C4ABCE7" w14:textId="77777777" w:rsidR="006A7253" w:rsidRPr="006A7253" w:rsidRDefault="006A7253" w:rsidP="006A7253">
      <w:pPr>
        <w:numPr>
          <w:ilvl w:val="0"/>
          <w:numId w:val="4"/>
        </w:numPr>
      </w:pPr>
      <w:r w:rsidRPr="006A7253">
        <w:rPr>
          <w:b/>
          <w:bCs/>
        </w:rPr>
        <w:t>Partnerships with Financial Institutions</w:t>
      </w:r>
      <w:r w:rsidRPr="006A7253">
        <w:t>: Collaborating with banks and microfinance institutions to integrate SBRG loans and services.</w:t>
      </w:r>
    </w:p>
    <w:p w14:paraId="4A3DB24C" w14:textId="77777777" w:rsidR="006A7253" w:rsidRPr="006A7253" w:rsidRDefault="006A7253" w:rsidP="006A7253">
      <w:r w:rsidRPr="006A7253">
        <w:t>Conclusion</w:t>
      </w:r>
    </w:p>
    <w:p w14:paraId="3BEDF948" w14:textId="77777777" w:rsidR="006A7253" w:rsidRPr="006A7253" w:rsidRDefault="006A7253" w:rsidP="006A7253">
      <w:r w:rsidRPr="006A7253">
        <w:t>The SBRG System stands as a beacon of innovation in financial technology and community development. It offers a path toward a more inclusive, educated, and empowered society. As the SBRG System continues to evolve, the commitment to collaboration, open dialogue, and continuous improvement will be key to unlocking its full potential. Stakeholders worldwide are called to join in this transformative journey, paving the way for a future where financial services are accessible, education is valued, and communities are truly empowered.</w:t>
      </w:r>
    </w:p>
    <w:p w14:paraId="62C3183A" w14:textId="77777777" w:rsidR="00B64BCF" w:rsidRDefault="00B64BCF"/>
    <w:sectPr w:rsidR="00B6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62F3"/>
    <w:multiLevelType w:val="multilevel"/>
    <w:tmpl w:val="B432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A1C67"/>
    <w:multiLevelType w:val="multilevel"/>
    <w:tmpl w:val="9488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EF0F5E"/>
    <w:multiLevelType w:val="multilevel"/>
    <w:tmpl w:val="8BA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181FA2"/>
    <w:multiLevelType w:val="multilevel"/>
    <w:tmpl w:val="657A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8351139">
    <w:abstractNumId w:val="0"/>
  </w:num>
  <w:num w:numId="2" w16cid:durableId="1828204401">
    <w:abstractNumId w:val="3"/>
  </w:num>
  <w:num w:numId="3" w16cid:durableId="1203715783">
    <w:abstractNumId w:val="2"/>
  </w:num>
  <w:num w:numId="4" w16cid:durableId="122043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53"/>
    <w:rsid w:val="006A7253"/>
    <w:rsid w:val="00B64BCF"/>
    <w:rsid w:val="00DC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0CF95"/>
  <w15:chartTrackingRefBased/>
  <w15:docId w15:val="{35975A1F-4284-43B5-8344-AB1F5D1D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2883</Characters>
  <Application>Microsoft Office Word</Application>
  <DocSecurity>0</DocSecurity>
  <Lines>53</Lines>
  <Paragraphs>28</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 day</dc:creator>
  <cp:keywords/>
  <dc:description/>
  <cp:lastModifiedBy>day day</cp:lastModifiedBy>
  <cp:revision>1</cp:revision>
  <dcterms:created xsi:type="dcterms:W3CDTF">2024-03-05T11:46:00Z</dcterms:created>
  <dcterms:modified xsi:type="dcterms:W3CDTF">2024-03-05T11:47:00Z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af8842d4-6558-4aeb-b9d9-3e31c972d9eb</vt:lpwstr>
  </property>
</Properties>
</file>