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CCBF" w14:textId="77CF5AE5" w:rsidR="00D37572" w:rsidRDefault="006E782B" w:rsidP="006E782B">
      <w:pPr>
        <w:pStyle w:val="Heading1"/>
      </w:pPr>
      <w:r>
        <w:t>Secret Histories rulebook</w:t>
      </w:r>
    </w:p>
    <w:p w14:paraId="1FBF75F4" w14:textId="203A61D5" w:rsidR="006E782B" w:rsidRDefault="006E782B" w:rsidP="006E782B">
      <w:r>
        <w:t xml:space="preserve">In Secret Histories game players </w:t>
      </w:r>
      <w:r w:rsidR="00773B0F">
        <w:t>attempt to fulfill their</w:t>
      </w:r>
      <w:r>
        <w:t xml:space="preserve"> </w:t>
      </w:r>
      <w:r w:rsidR="00773B0F">
        <w:t>desire</w:t>
      </w:r>
      <w:r>
        <w:t xml:space="preserve"> to gain immortality and ascend to become one of the Long. There are many paths to shedding or transforming </w:t>
      </w:r>
      <w:proofErr w:type="gramStart"/>
      <w:r>
        <w:t>ones</w:t>
      </w:r>
      <w:proofErr w:type="gramEnd"/>
      <w:r>
        <w:t xml:space="preserve"> physical form but ultimately the Hours</w:t>
      </w:r>
      <w:r w:rsidR="00773B0F">
        <w:t xml:space="preserve"> that dwell in Mansus</w:t>
      </w:r>
      <w:r>
        <w:t xml:space="preserve"> will </w:t>
      </w:r>
      <w:r w:rsidR="00986A8D">
        <w:t xml:space="preserve">only </w:t>
      </w:r>
      <w:r>
        <w:t xml:space="preserve">allow one player </w:t>
      </w:r>
      <w:r w:rsidR="00773B0F">
        <w:t xml:space="preserve">to bask </w:t>
      </w:r>
      <w:r w:rsidR="00773B0F" w:rsidRPr="00773B0F">
        <w:t>in the illumination of The Glory</w:t>
      </w:r>
      <w:r w:rsidR="00773B0F">
        <w:t>.</w:t>
      </w:r>
    </w:p>
    <w:p w14:paraId="530F7747" w14:textId="2702F530" w:rsidR="004A321D" w:rsidRDefault="004A321D" w:rsidP="006E782B">
      <w:r w:rsidRPr="004A321D">
        <w:rPr>
          <w:highlight w:val="yellow"/>
        </w:rPr>
        <w:t>TODO brief summary of core mechanics, player interaction and end conditions</w:t>
      </w:r>
    </w:p>
    <w:p w14:paraId="3A735C41" w14:textId="4A909839" w:rsidR="00A77843" w:rsidRDefault="008E62E1" w:rsidP="00A77843">
      <w:r>
        <w:t>Ascension to immortality requires an occult ritual</w:t>
      </w:r>
      <w:r w:rsidR="008F0351">
        <w:t xml:space="preserve"> using one of each</w:t>
      </w:r>
      <w:r>
        <w:t xml:space="preserve"> </w:t>
      </w:r>
      <w:r w:rsidR="008F0351">
        <w:t xml:space="preserve">card with the following </w:t>
      </w:r>
      <w:r w:rsidR="008F0351" w:rsidRPr="008F0351">
        <w:rPr>
          <w:i/>
          <w:iCs/>
        </w:rPr>
        <w:t>Aspects</w:t>
      </w:r>
      <w:r w:rsidR="00A7784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32"/>
        <w:gridCol w:w="3132"/>
        <w:gridCol w:w="3132"/>
      </w:tblGrid>
      <w:tr w:rsidR="00A77843" w14:paraId="10196CCF" w14:textId="77777777" w:rsidTr="00A77843">
        <w:tc>
          <w:tcPr>
            <w:tcW w:w="3132" w:type="dxa"/>
          </w:tcPr>
          <w:p w14:paraId="50005ACF" w14:textId="4BD3717D" w:rsidR="00A77843" w:rsidRPr="008F0351" w:rsidRDefault="00A77843" w:rsidP="00A77843">
            <w:pPr>
              <w:jc w:val="center"/>
              <w:rPr>
                <w:b/>
                <w:bCs/>
                <w:sz w:val="28"/>
                <w:szCs w:val="28"/>
              </w:rPr>
            </w:pPr>
            <w:r w:rsidRPr="008F0351">
              <w:rPr>
                <w:b/>
                <w:bCs/>
                <w:sz w:val="28"/>
                <w:szCs w:val="28"/>
              </w:rPr>
              <w:t>Lore</w:t>
            </w:r>
          </w:p>
        </w:tc>
        <w:tc>
          <w:tcPr>
            <w:tcW w:w="3132" w:type="dxa"/>
          </w:tcPr>
          <w:p w14:paraId="38A89469" w14:textId="78FF57E0" w:rsidR="00A77843" w:rsidRPr="008F0351" w:rsidRDefault="00A77843" w:rsidP="00A77843">
            <w:pPr>
              <w:jc w:val="center"/>
              <w:rPr>
                <w:b/>
                <w:bCs/>
                <w:sz w:val="28"/>
                <w:szCs w:val="28"/>
              </w:rPr>
            </w:pPr>
            <w:r w:rsidRPr="008F0351">
              <w:rPr>
                <w:b/>
                <w:bCs/>
                <w:sz w:val="28"/>
                <w:szCs w:val="28"/>
              </w:rPr>
              <w:t>Influence</w:t>
            </w:r>
          </w:p>
        </w:tc>
        <w:tc>
          <w:tcPr>
            <w:tcW w:w="3132" w:type="dxa"/>
          </w:tcPr>
          <w:p w14:paraId="3652587C" w14:textId="79E72BFF" w:rsidR="00A77843" w:rsidRPr="008F0351" w:rsidRDefault="00A77843" w:rsidP="00A77843">
            <w:pPr>
              <w:jc w:val="center"/>
              <w:rPr>
                <w:b/>
                <w:bCs/>
                <w:sz w:val="28"/>
                <w:szCs w:val="28"/>
              </w:rPr>
            </w:pPr>
            <w:r w:rsidRPr="008F0351">
              <w:rPr>
                <w:b/>
                <w:bCs/>
                <w:sz w:val="28"/>
                <w:szCs w:val="28"/>
              </w:rPr>
              <w:t>Ingredient</w:t>
            </w:r>
          </w:p>
        </w:tc>
      </w:tr>
      <w:tr w:rsidR="00A77843" w14:paraId="1EF91940" w14:textId="77777777" w:rsidTr="00A77843">
        <w:tc>
          <w:tcPr>
            <w:tcW w:w="3132" w:type="dxa"/>
          </w:tcPr>
          <w:p w14:paraId="3A6FF9EC" w14:textId="1125006E" w:rsidR="00A77843" w:rsidRDefault="00A77843" w:rsidP="00A77843">
            <w:pPr>
              <w:jc w:val="center"/>
            </w:pPr>
            <w:r w:rsidRPr="008E62E1">
              <w:rPr>
                <w:noProof/>
              </w:rPr>
              <w:drawing>
                <wp:inline distT="0" distB="0" distL="0" distR="0" wp14:anchorId="538E276B" wp14:editId="3F9B2CCA">
                  <wp:extent cx="457200" cy="457200"/>
                  <wp:effectExtent l="0" t="0" r="0" b="0"/>
                  <wp:docPr id="648662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662630" name="Picture 6486626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</w:tcPr>
          <w:p w14:paraId="74D39977" w14:textId="5DB33AB1" w:rsidR="00A77843" w:rsidRDefault="00A77843" w:rsidP="00A778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DF7763" wp14:editId="25FBCB32">
                  <wp:extent cx="457200" cy="457200"/>
                  <wp:effectExtent l="0" t="0" r="0" b="0"/>
                  <wp:docPr id="3350696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069666" name="Picture 33506966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</w:tcPr>
          <w:p w14:paraId="74B3560D" w14:textId="71B4168C" w:rsidR="00A77843" w:rsidRDefault="00A77843" w:rsidP="00A778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1DD31" wp14:editId="676B99E5">
                  <wp:extent cx="457200" cy="457200"/>
                  <wp:effectExtent l="0" t="0" r="0" b="0"/>
                  <wp:docPr id="16358620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862092" name="Picture 163586209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8719F" w14:textId="2832EAFB" w:rsidR="008E62E1" w:rsidRDefault="00A77843" w:rsidP="00A77843">
      <w:pPr>
        <w:jc w:val="center"/>
      </w:pPr>
      <w:r>
        <w:t xml:space="preserve"> </w:t>
      </w:r>
    </w:p>
    <w:p w14:paraId="40F60076" w14:textId="75858260" w:rsidR="008F0351" w:rsidRDefault="008F0351" w:rsidP="00A77843">
      <w:r>
        <w:t xml:space="preserve">There are three paths available to ascension: </w:t>
      </w:r>
      <w:r w:rsidRPr="008F0351">
        <w:rPr>
          <w:i/>
          <w:iCs/>
        </w:rPr>
        <w:t>Power</w:t>
      </w:r>
      <w:r>
        <w:t xml:space="preserve">, </w:t>
      </w:r>
      <w:r w:rsidRPr="008F0351">
        <w:rPr>
          <w:i/>
          <w:iCs/>
        </w:rPr>
        <w:t>Sensation</w:t>
      </w:r>
      <w:r>
        <w:t xml:space="preserve"> and </w:t>
      </w:r>
      <w:r w:rsidRPr="008F0351">
        <w:rPr>
          <w:i/>
          <w:iCs/>
        </w:rPr>
        <w:t>Enlightenment</w:t>
      </w:r>
      <w:r>
        <w:t xml:space="preserve">. Multiple players can compete for the same path but there is limited number of resources for each path. Once a player </w:t>
      </w:r>
      <w:r w:rsidR="00711D2B">
        <w:t>dedicates</w:t>
      </w:r>
      <w:r>
        <w:t xml:space="preserve"> themselves to a path, it cannot be changed.</w:t>
      </w:r>
    </w:p>
    <w:p w14:paraId="3AFAB7FB" w14:textId="19503862" w:rsidR="006734AA" w:rsidRDefault="0046165F" w:rsidP="00A77843">
      <w:r>
        <w:t>Cards</w:t>
      </w:r>
      <w:r w:rsidR="006734AA">
        <w:t xml:space="preserve"> ha</w:t>
      </w:r>
      <w:r>
        <w:t>ve</w:t>
      </w:r>
      <w:r w:rsidR="006734AA">
        <w:t xml:space="preserve"> one or more </w:t>
      </w:r>
      <w:r w:rsidR="006734AA">
        <w:t>associated</w:t>
      </w:r>
      <w:r w:rsidR="006734AA">
        <w:t xml:space="preserve"> </w:t>
      </w:r>
      <w:r w:rsidR="008F0351" w:rsidRPr="008F0351">
        <w:rPr>
          <w:i/>
          <w:iCs/>
        </w:rPr>
        <w:t>Principle</w:t>
      </w:r>
      <w:r>
        <w:t xml:space="preserve"> together with </w:t>
      </w:r>
      <w:r w:rsidR="008F0351">
        <w:t>a</w:t>
      </w:r>
      <w:r>
        <w:t xml:space="preserve"> strength as a numeric value</w:t>
      </w:r>
      <w:r w:rsidR="006734AA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1175"/>
        <w:gridCol w:w="1174"/>
        <w:gridCol w:w="1174"/>
        <w:gridCol w:w="1174"/>
        <w:gridCol w:w="1174"/>
        <w:gridCol w:w="1175"/>
        <w:gridCol w:w="1175"/>
      </w:tblGrid>
      <w:tr w:rsidR="006734AA" w14:paraId="2810AE9A" w14:textId="77777777" w:rsidTr="0046165F">
        <w:tc>
          <w:tcPr>
            <w:tcW w:w="1175" w:type="dxa"/>
          </w:tcPr>
          <w:p w14:paraId="742C7E8A" w14:textId="6762A39C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Heart</w:t>
            </w:r>
          </w:p>
        </w:tc>
        <w:tc>
          <w:tcPr>
            <w:tcW w:w="1175" w:type="dxa"/>
          </w:tcPr>
          <w:p w14:paraId="69FF5EAE" w14:textId="0930612A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Grail</w:t>
            </w:r>
          </w:p>
        </w:tc>
        <w:tc>
          <w:tcPr>
            <w:tcW w:w="1174" w:type="dxa"/>
          </w:tcPr>
          <w:p w14:paraId="52F130AB" w14:textId="57174B1A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Moth</w:t>
            </w:r>
          </w:p>
        </w:tc>
        <w:tc>
          <w:tcPr>
            <w:tcW w:w="1174" w:type="dxa"/>
          </w:tcPr>
          <w:p w14:paraId="04E029D5" w14:textId="786CB810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Lantern</w:t>
            </w:r>
          </w:p>
        </w:tc>
        <w:tc>
          <w:tcPr>
            <w:tcW w:w="1174" w:type="dxa"/>
          </w:tcPr>
          <w:p w14:paraId="26B18415" w14:textId="0E91F10E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Forge</w:t>
            </w:r>
          </w:p>
        </w:tc>
        <w:tc>
          <w:tcPr>
            <w:tcW w:w="1174" w:type="dxa"/>
          </w:tcPr>
          <w:p w14:paraId="0324D9D9" w14:textId="6B26F908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Edge</w:t>
            </w:r>
          </w:p>
        </w:tc>
        <w:tc>
          <w:tcPr>
            <w:tcW w:w="1175" w:type="dxa"/>
          </w:tcPr>
          <w:p w14:paraId="37C6007F" w14:textId="11CB46F5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Winter</w:t>
            </w:r>
          </w:p>
        </w:tc>
        <w:tc>
          <w:tcPr>
            <w:tcW w:w="1175" w:type="dxa"/>
          </w:tcPr>
          <w:p w14:paraId="420DD77D" w14:textId="30F1FF54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Knock</w:t>
            </w:r>
          </w:p>
        </w:tc>
      </w:tr>
      <w:tr w:rsidR="006734AA" w14:paraId="2383DD20" w14:textId="77777777" w:rsidTr="0046165F">
        <w:tc>
          <w:tcPr>
            <w:tcW w:w="1175" w:type="dxa"/>
          </w:tcPr>
          <w:p w14:paraId="23071BC5" w14:textId="33F51F11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5DB5AE68" wp14:editId="02873748">
                  <wp:extent cx="457200" cy="457200"/>
                  <wp:effectExtent l="0" t="0" r="0" b="0"/>
                  <wp:docPr id="138192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920044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62C11587" w14:textId="7ADB0DD0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40ADEC1C" wp14:editId="4BF98464">
                  <wp:extent cx="457200" cy="457200"/>
                  <wp:effectExtent l="0" t="0" r="0" b="0"/>
                  <wp:docPr id="867010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10098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2E1E51F9" w14:textId="397547EC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6354F130" wp14:editId="6D1A5EC5">
                  <wp:extent cx="457200" cy="457200"/>
                  <wp:effectExtent l="0" t="0" r="0" b="0"/>
                  <wp:docPr id="635857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857474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2463C864" w14:textId="715722A8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36D9716E" wp14:editId="07920E80">
                  <wp:extent cx="457200" cy="457200"/>
                  <wp:effectExtent l="0" t="0" r="0" b="0"/>
                  <wp:docPr id="1904382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82418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230B70D5" w14:textId="3730A8CD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60C894C4" wp14:editId="63030B40">
                  <wp:extent cx="457200" cy="457200"/>
                  <wp:effectExtent l="0" t="0" r="0" b="0"/>
                  <wp:docPr id="3534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4719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08F46051" w14:textId="3E9829C7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6E879028" wp14:editId="7D6B1262">
                  <wp:extent cx="457200" cy="457200"/>
                  <wp:effectExtent l="0" t="0" r="0" b="0"/>
                  <wp:docPr id="156116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6393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221FBB1A" w14:textId="0D363A12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745E6E7F" wp14:editId="01D79973">
                  <wp:extent cx="457200" cy="457200"/>
                  <wp:effectExtent l="0" t="0" r="0" b="0"/>
                  <wp:docPr id="1813309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309577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36598659" w14:textId="5CA933F9" w:rsidR="006734AA" w:rsidRPr="006734AA" w:rsidRDefault="006734AA" w:rsidP="006734AA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623BC9CC" wp14:editId="2A733163">
                  <wp:extent cx="457200" cy="457200"/>
                  <wp:effectExtent l="0" t="0" r="0" b="0"/>
                  <wp:docPr id="1845162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162350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84FF2" w14:textId="77777777" w:rsidR="006734AA" w:rsidRDefault="006734AA" w:rsidP="00A77843"/>
    <w:p w14:paraId="65E3619E" w14:textId="3AC7A2D0" w:rsidR="008F0351" w:rsidRDefault="00711D2B" w:rsidP="00A77843">
      <w:r w:rsidRPr="008F0351">
        <w:rPr>
          <w:i/>
          <w:iCs/>
        </w:rPr>
        <w:t>Enlightenment</w:t>
      </w:r>
      <w:r>
        <w:t xml:space="preserve"> path</w:t>
      </w:r>
      <w:r w:rsidR="008F0351">
        <w:t xml:space="preserve"> seeks</w:t>
      </w:r>
      <w:r>
        <w:t xml:space="preserve"> sufficiently strong</w:t>
      </w:r>
      <w:r w:rsidR="008F0351">
        <w:t xml:space="preserve"> </w:t>
      </w:r>
      <w:r w:rsidR="008F0351" w:rsidRPr="00711D2B">
        <w:rPr>
          <w:i/>
          <w:iCs/>
          <w:color w:val="CC9900"/>
        </w:rPr>
        <w:t>Lantern</w:t>
      </w:r>
      <w:r w:rsidR="008F0351" w:rsidRPr="00711D2B">
        <w:rPr>
          <w:color w:val="000000" w:themeColor="text1"/>
        </w:rPr>
        <w:t xml:space="preserve"> </w:t>
      </w:r>
      <w:r>
        <w:t xml:space="preserve">lore, influence and ingredient to </w:t>
      </w:r>
      <w:r w:rsidRPr="00711D2B">
        <w:t>gain ultimate knowledge and immortality</w:t>
      </w:r>
      <w:r>
        <w:t>.</w:t>
      </w:r>
    </w:p>
    <w:p w14:paraId="0FDA14A3" w14:textId="04CFF44B" w:rsidR="00711D2B" w:rsidRDefault="00711D2B" w:rsidP="00A77843">
      <w:r w:rsidRPr="008F0351">
        <w:rPr>
          <w:i/>
          <w:iCs/>
        </w:rPr>
        <w:t>Sensation</w:t>
      </w:r>
      <w:r>
        <w:rPr>
          <w:i/>
          <w:iCs/>
        </w:rPr>
        <w:t xml:space="preserve"> </w:t>
      </w:r>
      <w:r>
        <w:t xml:space="preserve">path seeks </w:t>
      </w:r>
      <w:r>
        <w:t>sufficiently strong</w:t>
      </w:r>
      <w:r>
        <w:t xml:space="preserve"> </w:t>
      </w:r>
      <w:r w:rsidRPr="00711D2B">
        <w:rPr>
          <w:color w:val="FF0000"/>
        </w:rPr>
        <w:t>Grail</w:t>
      </w:r>
      <w:r>
        <w:t xml:space="preserve"> </w:t>
      </w:r>
      <w:r>
        <w:t>lore, influence and ingredient</w:t>
      </w:r>
      <w:r>
        <w:t xml:space="preserve"> to </w:t>
      </w:r>
      <w:r w:rsidRPr="00711D2B">
        <w:t>discover new pleasures and evolve your body to achieve immortality</w:t>
      </w:r>
    </w:p>
    <w:p w14:paraId="061095AB" w14:textId="77777777" w:rsidR="00711D2B" w:rsidRDefault="00711D2B" w:rsidP="00A77843">
      <w:r>
        <w:t xml:space="preserve">Power </w:t>
      </w:r>
      <w:r>
        <w:t xml:space="preserve">path seeks sufficiently strong </w:t>
      </w:r>
      <w:r w:rsidRPr="00711D2B">
        <w:rPr>
          <w:i/>
          <w:iCs/>
          <w:color w:val="FF6600"/>
        </w:rPr>
        <w:t>Forge</w:t>
      </w:r>
      <w:r w:rsidRPr="00711D2B">
        <w:rPr>
          <w:color w:val="000000" w:themeColor="text1"/>
        </w:rPr>
        <w:t xml:space="preserve"> </w:t>
      </w:r>
      <w:r>
        <w:t xml:space="preserve">lore, influence and ingredient to </w:t>
      </w:r>
      <w:r w:rsidRPr="00711D2B">
        <w:t>gain true power and immortality</w:t>
      </w:r>
      <w:r>
        <w:t>.</w:t>
      </w:r>
    </w:p>
    <w:p w14:paraId="7A282816" w14:textId="002DDA78" w:rsidR="00A77843" w:rsidRDefault="00A77843" w:rsidP="00A77843">
      <w:pPr>
        <w:rPr>
          <w:i/>
          <w:iCs/>
        </w:rPr>
      </w:pPr>
      <w:r>
        <w:t xml:space="preserve">Player will spend their turns </w:t>
      </w:r>
      <w:r w:rsidR="00FD2757">
        <w:t>trying to obtain and upgrade</w:t>
      </w:r>
      <w:r w:rsidR="008F0351">
        <w:t xml:space="preserve"> Lore, Influence and Ingredient cards of</w:t>
      </w:r>
      <w:r w:rsidR="00FD2757">
        <w:t xml:space="preserve"> </w:t>
      </w:r>
      <w:r w:rsidR="008F0351">
        <w:t xml:space="preserve">the </w:t>
      </w:r>
      <w:r w:rsidR="00711D2B">
        <w:t>chosen</w:t>
      </w:r>
      <w:r w:rsidR="008F0351">
        <w:t xml:space="preserve"> </w:t>
      </w:r>
      <w:r w:rsidR="008F0351" w:rsidRPr="008F0351">
        <w:rPr>
          <w:i/>
          <w:iCs/>
        </w:rPr>
        <w:t>Principle</w:t>
      </w:r>
      <w:r w:rsidR="00711D2B">
        <w:rPr>
          <w:i/>
          <w:iCs/>
        </w:rPr>
        <w:t>.</w:t>
      </w:r>
    </w:p>
    <w:p w14:paraId="23EE0613" w14:textId="5BB87EC9" w:rsidR="004A321D" w:rsidRDefault="004A321D" w:rsidP="004A321D">
      <w:pPr>
        <w:pStyle w:val="Heading2"/>
      </w:pPr>
      <w:r>
        <w:t>Game components</w:t>
      </w:r>
    </w:p>
    <w:p w14:paraId="15DC8B33" w14:textId="03671980" w:rsidR="004A321D" w:rsidRDefault="004A321D" w:rsidP="004A321D">
      <w:r w:rsidRPr="004A321D">
        <w:rPr>
          <w:highlight w:val="yellow"/>
        </w:rPr>
        <w:t>TODO</w:t>
      </w:r>
    </w:p>
    <w:p w14:paraId="20AEB0D7" w14:textId="7CA2F714" w:rsidR="004A321D" w:rsidRDefault="004A321D" w:rsidP="004A321D">
      <w:pPr>
        <w:pStyle w:val="Heading3"/>
      </w:pPr>
      <w:r>
        <w:lastRenderedPageBreak/>
        <w:t>Preparation</w:t>
      </w:r>
    </w:p>
    <w:p w14:paraId="1D616252" w14:textId="77777777" w:rsidR="004A321D" w:rsidRDefault="004A321D" w:rsidP="004A321D">
      <w:r w:rsidRPr="004A321D">
        <w:rPr>
          <w:highlight w:val="yellow"/>
        </w:rPr>
        <w:t>TODO</w:t>
      </w:r>
    </w:p>
    <w:p w14:paraId="0E70EDD9" w14:textId="2B78200A" w:rsidR="004A321D" w:rsidRDefault="004A321D" w:rsidP="004A321D">
      <w:pPr>
        <w:pStyle w:val="Heading2"/>
      </w:pPr>
      <w:r>
        <w:t>Key terms</w:t>
      </w:r>
    </w:p>
    <w:p w14:paraId="2BBC8046" w14:textId="77777777" w:rsidR="004A321D" w:rsidRDefault="004A321D" w:rsidP="004A321D">
      <w:r w:rsidRPr="004A321D">
        <w:rPr>
          <w:highlight w:val="yellow"/>
        </w:rPr>
        <w:t>TODO</w:t>
      </w:r>
    </w:p>
    <w:p w14:paraId="574C78A0" w14:textId="77777777" w:rsidR="004A321D" w:rsidRPr="004A321D" w:rsidRDefault="004A321D" w:rsidP="004A321D"/>
    <w:sectPr w:rsidR="004A321D" w:rsidRPr="004A32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72"/>
    <w:rsid w:val="0046165F"/>
    <w:rsid w:val="004A321D"/>
    <w:rsid w:val="006734AA"/>
    <w:rsid w:val="006E782B"/>
    <w:rsid w:val="00711D2B"/>
    <w:rsid w:val="00773B0F"/>
    <w:rsid w:val="008E62E1"/>
    <w:rsid w:val="008F0351"/>
    <w:rsid w:val="00986A8D"/>
    <w:rsid w:val="009E07A6"/>
    <w:rsid w:val="00A77843"/>
    <w:rsid w:val="00AE7E74"/>
    <w:rsid w:val="00D37572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A02C"/>
  <w15:chartTrackingRefBased/>
  <w15:docId w15:val="{D283227E-2DC0-4422-ACFF-6A6A3C02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B0F"/>
    <w:rPr>
      <w:color w:val="605E5C"/>
      <w:shd w:val="clear" w:color="auto" w:fill="E1DFDD"/>
    </w:rPr>
  </w:style>
  <w:style w:type="paragraph" w:customStyle="1" w:styleId="InlinePicture">
    <w:name w:val="InlinePicture"/>
    <w:basedOn w:val="Normal"/>
    <w:next w:val="Normal"/>
    <w:link w:val="InlinePictureChar"/>
    <w:qFormat/>
    <w:rsid w:val="00A77843"/>
    <w:pPr>
      <w:spacing w:before="240" w:after="280"/>
      <w:jc w:val="center"/>
    </w:pPr>
    <w:rPr>
      <w:noProof/>
      <w:position w:val="-24"/>
    </w:rPr>
  </w:style>
  <w:style w:type="character" w:customStyle="1" w:styleId="InlinePictureChar">
    <w:name w:val="InlinePicture Char"/>
    <w:basedOn w:val="DefaultParagraphFont"/>
    <w:link w:val="InlinePicture"/>
    <w:rsid w:val="00A77843"/>
    <w:rPr>
      <w:noProof/>
      <w:position w:val="-24"/>
    </w:rPr>
  </w:style>
  <w:style w:type="table" w:styleId="TableGrid">
    <w:name w:val="Table Grid"/>
    <w:basedOn w:val="TableNormal"/>
    <w:uiPriority w:val="39"/>
    <w:rsid w:val="00A77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7968-D1AC-47BD-BDDD-635E621A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8</cp:revision>
  <dcterms:created xsi:type="dcterms:W3CDTF">2025-04-05T10:56:00Z</dcterms:created>
  <dcterms:modified xsi:type="dcterms:W3CDTF">2025-04-05T12:00:00Z</dcterms:modified>
</cp:coreProperties>
</file>