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  <w:jc w:val="both"/>
      </w:pPr>
      <w:r>
        <w:rPr>
          <w:b/>
          <w:bCs/>
          <w:i w:val="false"/>
          <w:iCs w:val="false"/>
        </w:rPr>
        <w:t xml:space="preserve">Víctor Hugo Pinto-Páez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Independent researcher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Ibarra, Imbabura, Ecuador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E-mail: vpintopaez@gmail.com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ORCID: 0009-0001-5573-8294</w:t>
      </w:r>
    </w:p>
    <w:p>
      <w:pPr>
        <w:spacing w:after="100"/>
      </w:pPr>
      <w:r>
        <w:t xml:space="preserve"/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27 April 2026</w:t>
      </w:r>
    </w:p>
    <w:p>
      <w:pPr>
        <w:spacing w:after="100"/>
      </w:pPr>
      <w:r>
        <w:t xml:space="preserve"/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Dr. Enric Aguilar and Prof. Christopher J. White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Editors-in-Chief</w:t>
      </w:r>
    </w:p>
    <w:p>
      <w:pPr>
        <w:spacing w:after="200" w:line="360"/>
        <w:jc w:val="both"/>
      </w:pPr>
      <w:r>
        <w:rPr>
          <w:b w:val="false"/>
          <w:bCs w:val="false"/>
          <w:i/>
          <w:iCs/>
        </w:rPr>
        <w:t xml:space="preserve">International Journal of Climatology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Royal Meteorological Society</w:t>
      </w:r>
    </w:p>
    <w:p>
      <w:pPr>
        <w:spacing w:after="100"/>
      </w:pPr>
      <w:r>
        <w:t xml:space="preserve"/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Dear Editors,</w:t>
      </w:r>
    </w:p>
    <w:p>
      <w:pPr>
        <w:spacing w:after="100"/>
      </w:pPr>
      <w:r>
        <w:t xml:space="preserve"/>
      </w:r>
    </w:p>
    <w:p>
      <w:pPr>
        <w:spacing w:after="200" w:line="360"/>
        <w:jc w:val="both"/>
      </w:pPr>
      <w:r>
        <w:t xml:space="preserve">I am pleased to submit the manuscript </w:t>
      </w:r>
      <w:r>
        <w:rPr>
          <w:i/>
          <w:iCs/>
        </w:rPr>
        <w:t xml:space="preserve">"Hydroclimatic trends, El Niño–Southern Oscillation teleconnection, and climate-model projections in Imbabura Province, Ecuador: a traceable regional analysis with projected elevation-dependent warming, 1981–2070"</w:t>
      </w:r>
      <w:r>
        <w:t xml:space="preserve"> for consideration as an Original Research Article in the International Journal of Climatology.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This study integrates digitised INAMHI station records (1994–2025), gridded products (CHIRPS v2.0, ERA5-Land, TerraClimate, MOD16A2GF) and a bias-adjusted ten-member CMIP6 ensemble to characterise hydroclimatic trends, the ENSO teleconnection, and climate-model projections to 2070 in Imbabura Province, a tropical Andean territory of northern Ecuador with a 2,465-m altitudinal range. The work makes three contributions of interest beyond the regional case. First, it provides a transparent test of how a ~9-km reanalysis grid behaves in a complex inter-Andean topography: 5 of 16 grid cells host two stations each, so per-station counts overstate spatial independence; once aggregated to the 16 spatially-independent pixels, 14 (88 %) show statistically significant positive Theil-Sen slopes during 1981–2025 (median +0.0112 °C yr⁻¹). Second, it reports an in-situ thermal lapse rate of −8.24 °C km⁻¹ (R² = 0.97, n = 7), robust to a leave-one-out sensitivity test excluding the principal-city station M1240 (difference 0.1 %). Third, it characterises a robust ENSO–precipitation teleconnection (negative ρ at all 21 stations, 3-month dominant lag, 463 of 588 multivariable correlations retained after Benjamini–Hochberg FDR at q = 0.05) and a CMIP6-projected warming of +1.1 to +2.1 °C by 2041–2070 with directionally consistent, modest altitudinal amplification.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Methodological transparency is central to the contribution. The manuscript reports the original Mann-Kendall test as the principal statistic, with the Hamed-Rao MMK variant declared explicitly as a global sensitivity analysis (the only variable losing significance under MMK is TerraClimate PET, where lag-1 autocorrelation is 0.47; this exception is reported in Table 3 and discussed in the Limitations). Bootstrap 95 % confidence intervals for GEV-derived 100-year return levels of daily extremes are reported in Table S9 with explicit declaration of their stationary-fit assumption. Inter-model interquartile ranges across the ten GCMs are reported for every CMIP6 projection statement (Table 7). Comparisons of CMIP6 against the bias-adjusted product reference (BASD-CMIP6-PE; Lange 2019) are framed as diagnostics of representation incompatibility, not as conventional skill metrics.</w:t>
      </w:r>
    </w:p>
    <w:p>
      <w:pPr>
        <w:spacing w:after="200" w:line="360"/>
        <w:jc w:val="both"/>
      </w:pPr>
      <w:r>
        <w:t xml:space="preserve">All processed datasets, derived analytical products, code, and figures are openly archived in the Zenodo repository (concept DOI </w:t>
      </w:r>
      <w:r>
        <w:rPr>
          <w:b/>
          <w:bCs/>
        </w:rPr>
        <w:t xml:space="preserve">https://doi.org/10.5281/zenodo.19821757</w:t>
      </w:r>
      <w:r>
        <w:t xml:space="preserve">). Original INAMHI hourly records obtained through formal request are not redistributed beyond what INAMHI permits; the deposit contains the processed monthly derivatives used in the analyses. End-to-end traceability of every numerical claim and figure—from raw input file to final product, including production scripts and reproducibility seeds—is provided in Table S10 of the Supporting Information.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I confirm that this manuscript is original, has not been published elsewhere, and is not currently under consideration by any other journal. I declare no conflict of interest and no external funding source. The manuscript has not been posted to a preprint server. As the sole author I take full responsibility for the integrity of the data, the accuracy of the analysis, and the approval of the submitted version.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I would suggest, if appropriate, an associate editor with expertise in tropical South-American climatology, CMIP downscaling, or mountain hydroclimate as the most suitable handling editor for this submission.</w:t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Thank you for your consideration. I remain at the disposal of the editorial team for any clarification.</w:t>
      </w:r>
    </w:p>
    <w:p>
      <w:pPr>
        <w:spacing w:after="100"/>
      </w:pPr>
      <w:r>
        <w:t xml:space="preserve"/>
      </w:r>
    </w:p>
    <w:p>
      <w:pPr>
        <w:spacing w:after="200" w:line="360"/>
        <w:jc w:val="both"/>
      </w:pPr>
      <w:r>
        <w:rPr>
          <w:b w:val="false"/>
          <w:bCs w:val="false"/>
          <w:i w:val="false"/>
          <w:iCs w:val="false"/>
        </w:rPr>
        <w:t xml:space="preserve">Sincerely,</w:t>
      </w:r>
    </w:p>
    <w:p>
      <w:pPr>
        <w:spacing w:after="100"/>
      </w:pPr>
      <w:r>
        <w:t xml:space="preserve"/>
      </w:r>
    </w:p>
    <w:p>
      <w:pPr>
        <w:spacing w:after="200" w:line="360"/>
        <w:jc w:val="both"/>
      </w:pPr>
      <w:r>
        <w:rPr>
          <w:b/>
          <w:bCs/>
          <w:i w:val="false"/>
          <w:iCs w:val="false"/>
        </w:rPr>
        <w:t xml:space="preserve">Víctor Hugo Pinto-Páez</w:t>
      </w:r>
    </w:p>
    <w:p>
      <w:pPr>
        <w:spacing w:after="200" w:line="360"/>
        <w:jc w:val="both"/>
      </w:pPr>
      <w:r>
        <w:rPr>
          <w:b w:val="false"/>
          <w:bCs w:val="false"/>
          <w:i/>
          <w:iCs/>
        </w:rPr>
        <w:t xml:space="preserve">Corresponding author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2026-04-27T11:48:07.694Z</dcterms:created>
  <dcterms:modified xsi:type="dcterms:W3CDTF">2026-04-27T11:48:07.694Z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