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480" w:lineRule="auto"/>
        <w:jc w:val="center"/>
      </w:pPr>
      <w:r>
        <w:rPr>
          <w:rFonts w:ascii="Times New Roman" w:hAnsi="Times New Roman"/>
          <w:b/>
          <w:i w:val="0"/>
          <w:sz w:val="28"/>
        </w:rPr>
        <w:t>Hydroclimatic trends, El Niño–Southern Oscillation teleconnection, and climate-model projections in Imbabura Province, Ecuador: a traceable regional hydroclimatic baseline with projected elevation-dependent warming, 1981–2070</w:t>
      </w:r>
    </w:p>
    <w:p>
      <w:pPr>
        <w:spacing w:after="480" w:line="480" w:lineRule="auto"/>
        <w:jc w:val="center"/>
      </w:pPr>
      <w:r>
        <w:rPr>
          <w:rFonts w:ascii="Times New Roman" w:hAnsi="Times New Roman"/>
          <w:b w:val="0"/>
          <w:i/>
          <w:sz w:val="22"/>
        </w:rPr>
        <w:t>Short running title: Andean climate trends, ENSO and CMIP6 (Imbabura) · 48 characters ≤ 70</w:t>
      </w:r>
    </w:p>
    <w:p>
      <w:pPr>
        <w:spacing w:after="240" w:line="480" w:lineRule="auto"/>
        <w:jc w:val="center"/>
      </w:pPr>
      <w:r>
        <w:rPr>
          <w:rFonts w:ascii="Times New Roman" w:hAnsi="Times New Roman"/>
          <w:b/>
          <w:i w:val="0"/>
          <w:sz w:val="24"/>
        </w:rPr>
        <w:t>Víctor Hugo Pinto-Páez 1*</w:t>
      </w:r>
    </w:p>
    <w:p>
      <w:pPr>
        <w:spacing w:after="240" w:line="480" w:lineRule="auto"/>
        <w:jc w:val="center"/>
      </w:pPr>
      <w:r>
        <w:rPr>
          <w:rFonts w:ascii="Times New Roman" w:hAnsi="Times New Roman"/>
          <w:b w:val="0"/>
          <w:i w:val="0"/>
          <w:sz w:val="22"/>
        </w:rPr>
        <w:t>1 Independent researcher, Ibarra, Imbabura, Ecuador. ORCID: 0009-0001-5573-8294</w:t>
      </w:r>
    </w:p>
    <w:p>
      <w:pPr>
        <w:spacing w:after="80" w:line="480" w:lineRule="auto"/>
        <w:jc w:val="center"/>
      </w:pPr>
      <w:r>
        <w:rPr>
          <w:rFonts w:ascii="Times New Roman" w:hAnsi="Times New Roman"/>
          <w:b w:val="0"/>
          <w:i w:val="0"/>
          <w:sz w:val="22"/>
        </w:rPr>
        <w:t>* Corresponding author.</w:t>
      </w:r>
    </w:p>
    <w:p>
      <w:pPr>
        <w:spacing w:after="480" w:line="480" w:lineRule="auto"/>
        <w:jc w:val="center"/>
      </w:pPr>
      <w:r>
        <w:rPr>
          <w:rFonts w:ascii="Times New Roman" w:hAnsi="Times New Roman"/>
          <w:b w:val="0"/>
          <w:i w:val="0"/>
          <w:sz w:val="22"/>
        </w:rPr>
        <w:t>E-mail: vpintopaez@gmail.com</w:t>
      </w:r>
    </w:p>
    <w:p>
      <w:pPr>
        <w:spacing w:before="360" w:after="240"/>
        <w:jc w:val="left"/>
      </w:pPr>
      <w:r>
        <w:rPr>
          <w:rFonts w:ascii="Times New Roman" w:hAnsi="Times New Roman"/>
          <w:b/>
          <w:sz w:val="28"/>
        </w:rPr>
        <w:t>Abstract</w:t>
      </w:r>
    </w:p>
    <w:p>
      <w:pPr>
        <w:spacing w:after="240" w:line="480" w:lineRule="auto"/>
        <w:jc w:val="both"/>
      </w:pPr>
      <w:r>
        <w:rPr>
          <w:rFonts w:ascii="Times New Roman" w:hAnsi="Times New Roman"/>
          <w:b w:val="0"/>
          <w:i w:val="0"/>
          <w:sz w:val="24"/>
        </w:rPr>
        <w:t>Tropical Andean regions concentrate strong climatic gradients within short distances, yet long homogeneous observational series are scarce. Imbabura Province (northern Ecuadorian Andes), with a 2,465-m altitudinal range and direct exposure to tropical Pacific variability, provides an INAMHI station network with digitised 1994–2013 coverage extended by two automatic stations for 2014–2025. We assess hydroclimatic trends (1981–2025), the ENSO teleconnection, and CMIP6 projections (2021–2070). Records from 21 INAMHI stations were combined with gridded products (CHIRPS v2.0 and ERA5-Land 1981–2025; TerraClimate 1981–2024; MOD16A2GF 2001–2024) and a bias-adjusted ensemble of ten CMIP6 models under SSP1-2.6, SSP3-7.0, and SSP5-8.5. Methods include WMO quality control, Alexandersson homogeneity, Mann-Kendall (Hamed-Rao as sensitivity), Theil-Sen slopes, and Benjamini-Hochberg FDR. ERA5-Land sampled at the 21 station locations indicates a coherent regional warming signal during 1981–2025; spatial inference, however, is based on the 16 independent ~9-km grid cells represented across the network footprint, of which 14 show a statistically significant positive trend (median Theil-Sen slope +0.0112 °C yr⁻¹; ~+0.49 °C over 44 years). Per-station counts (20/21 positive; 19/21 significant) are retained for traceability. The in-situ thermal lapse rate is −8.24 °C km⁻¹ (R² = 0.97; n = 7), robust to leave-one-out exclusion of M1240 (difference 0.1 %). CHIRPS precipitation increases at 7 stations; ETCCDI extremes intensify without volumetric change (Rx1day +0.49 mm yr⁻¹; R95p +4.17 mm yr⁻¹). The Precipitation–ONI correlation is negative at all 21 stations (median ρ = −0.23, 3-month dominant lag); 463 of 588 ENSO multivariable correlations remain significant after FDR-BH at q = 0.05. CMIP6 projects warming of +1.1 to +2.1 °C by 2041–2070 with directionally consistent, modest altitudinal amplification (≈0.25 °C additional). Results provide a traceable hydroclimatic baseline for Imbabura and a methodological reference for the tropical Andes, supporting elevation-dependent adaptation planning in data-sparse mountain regions.</w:t>
      </w:r>
    </w:p>
    <w:p>
      <w:pPr>
        <w:spacing w:after="480" w:line="480" w:lineRule="auto"/>
        <w:jc w:val="both"/>
      </w:pPr>
      <w:r>
        <w:rPr>
          <w:rFonts w:ascii="Times New Roman" w:hAnsi="Times New Roman"/>
          <w:b w:val="0"/>
          <w:i/>
          <w:sz w:val="24"/>
        </w:rPr>
        <w:t>Keywords: climate change; elevation-dependent warming; CMIP6; ENSO; evapotranspiration; Imbabura; Ecuador; Mann-Kendall</w:t>
      </w:r>
    </w:p>
    <w:p>
      <w:pPr>
        <w:spacing w:before="360" w:after="240"/>
        <w:jc w:val="left"/>
      </w:pPr>
      <w:r>
        <w:rPr>
          <w:rFonts w:ascii="Times New Roman" w:hAnsi="Times New Roman"/>
          <w:b/>
          <w:sz w:val="28"/>
        </w:rPr>
        <w:t>1 | INTRODUCTION</w:t>
      </w:r>
    </w:p>
    <w:p>
      <w:pPr>
        <w:spacing w:after="240" w:line="480" w:lineRule="auto"/>
        <w:jc w:val="both"/>
      </w:pPr>
      <w:r>
        <w:rPr>
          <w:rFonts w:ascii="Times New Roman" w:hAnsi="Times New Roman"/>
          <w:b w:val="0"/>
          <w:i w:val="0"/>
          <w:sz w:val="24"/>
        </w:rPr>
        <w:t>Tropical mountain regions concentrate exceptional climatic variability across short distances. Their elevation gradients, complex topography, and exposure to multiple synoptic regimes generate spatial signals that often differ from those reported in temperate latitudes. Documenting climate change in these systems is critical for understanding the persistence of high-elevation ecosystems, the mountain water balance, and the risks faced by communities dependent on mountain agriculture and water resources (Pepin et al., 2015; Pepin et al., 2022; Vuille et al., 2008; Bradley et al., 2006; Pabón-Caicedo et al., 2020).</w:t>
      </w:r>
    </w:p>
    <w:p>
      <w:pPr>
        <w:spacing w:after="240" w:line="480" w:lineRule="auto"/>
        <w:jc w:val="both"/>
      </w:pPr>
      <w:r>
        <w:rPr>
          <w:rFonts w:ascii="Times New Roman" w:hAnsi="Times New Roman"/>
          <w:b w:val="0"/>
          <w:i w:val="0"/>
          <w:sz w:val="24"/>
        </w:rPr>
        <w:t>Ecuador occupies a particular climatic position. It is crossed by the geographic equator, maintains direct exposure to the eastern tropical Pacific, and hosts one of the most compressed altitudinal gradients on the continent: from sea level to 6,310 m within less than 250 km. These attributes make variability and change signals manifest with high sensitivity to elevation (Tobar and Wyseure, 2017). However, the official network of the National Institute of Meteorology and Hydrology (INAMHI) experienced prolonged interruptions at several stations from the mid-2010s onward. This discontinuity limits the availability of homogeneous observational series of 30 years or more in interior areas of the country, justifying integration of in-situ records with satellite and reanalysis products to extend the temporal window.</w:t>
      </w:r>
    </w:p>
    <w:p>
      <w:pPr>
        <w:spacing w:after="240" w:line="480" w:lineRule="auto"/>
        <w:jc w:val="both"/>
      </w:pPr>
      <w:r>
        <w:rPr>
          <w:rFonts w:ascii="Times New Roman" w:hAnsi="Times New Roman"/>
          <w:b w:val="0"/>
          <w:i w:val="0"/>
          <w:sz w:val="24"/>
        </w:rPr>
        <w:t>The integration of satellite and reanalysis products with bias adjustment has consolidated as a valid strategy when contrasted against in-situ stations (Funk et al., 2015; Hersbach et al., 2020; Abatzoglou et al., 2018; Manzanas et al., 2014). The latest CMIP6 ensembles allow exploration of projections under multiple socioeconomic pathways (O'Neill et al., 2016; Eyring et al., 2016), although their nominal resolution requires downscaling and bias adjustment when applied to complex topography (Lange, 2019). The methodological challenge consists of combining temporally-limited INAMHI observations with long-trajectory gridded products, ensuring that the reported trends are consistent in the face of serial autocorrelation (Hamed and Rao, 1998), simultaneous multiple testing (Benjamini and Hochberg, 1995), and slope-estimator choice (Sen, 1968; Hussain et al., 2021).</w:t>
      </w:r>
    </w:p>
    <w:p>
      <w:pPr>
        <w:spacing w:after="240" w:line="480" w:lineRule="auto"/>
        <w:jc w:val="both"/>
      </w:pPr>
      <w:r>
        <w:rPr>
          <w:rFonts w:ascii="Times New Roman" w:hAnsi="Times New Roman"/>
          <w:b w:val="0"/>
          <w:i w:val="0"/>
          <w:sz w:val="24"/>
        </w:rPr>
        <w:t>Teleconnection with the El Niño–Southern Oscillation constitutes a third source of climatic variability in the equatorial Andes. Previous studies have reported a positive response to warm ENSO in western Ecuadorian precipitation and the opposite behaviour on the Amazonian slope, with lags of weeks to months depending on the sector (Vuille et al., 2000; Aceituno et al., 2008; Espinoza et al., 2014; Sulca et al., 2018; Schumacher et al., 2020; Cai et al., 2020). The interandean region of Imbabura, with basins draining simultaneously to the Pacific via the Mira River and to the northwestern cloud-forest system via the headwaters of the Intag River (a tributary of the Guayllabamba River), allows quantification of this dual response in a bounded territory.</w:t>
      </w:r>
    </w:p>
    <w:p>
      <w:pPr>
        <w:spacing w:after="240" w:line="480" w:lineRule="auto"/>
        <w:jc w:val="both"/>
      </w:pPr>
      <w:r>
        <w:rPr>
          <w:rFonts w:ascii="Times New Roman" w:hAnsi="Times New Roman"/>
          <w:b w:val="0"/>
          <w:i w:val="0"/>
          <w:sz w:val="24"/>
        </w:rPr>
        <w:t>This study sets out three specific objectives over Imbabura Province. First, document hydroclimatic trends during 1981–2025 using long-trajectory satellite and reanalysis products (CHIRPS v2.0, ERA5-Land, and TerraClimate) sampled at the 21 INAMHI station locations of the provincial network, complemented with in-situ records available within the period (digitised INAMHI yearbooks 1994–2013 for the 21 stations; automatic stations operating 2014–2025 at M0105 Otavalo and M1240 Ibarra-INAMHI), thus distinguishing the gridded regional signal from the direct observational signal. Second, quantify ENSO modulation of monthly precipitation through lag analysis and wavelet coherence. Third, project future evolution through a bias-adjusted CMIP6 ensemble, evaluating the elevation-dependent warming signal under three SSP scenarios. The contribution to the international literature is multifold: (i) digitisation, quality control, and reproducible archiving (Zenodo, SHA-256 hashes) of the 1994–2013 INAMHI yearbooks for the 21 Imbabura stations, an unprecedented observational base for the region; (ii) cross-validation between in-situ INAMHI and CHIRPS/ERA5-Land over the overlapping 1994–2013 window; (iii) first integrated 44-year (1981–2025) characterisation of hydroclimatic trends for the province, covering the natural 2,465-m altitudinal range offered by the network (from 675 m in the Chota valley to 3,140 m in the Inguincho páramo); (iv) specific quantification of the ENSO–precipitation teleconnection for Imbabura with lag analysis and wavelet coherence over the full window; and (v) local BASD-PE CMIP6 projections with identification of the elevation-dependent warming signal under three SSP trajectories.</w:t>
      </w:r>
    </w:p>
    <w:p>
      <w:pPr>
        <w:spacing w:before="360" w:after="240"/>
        <w:jc w:val="left"/>
      </w:pPr>
      <w:r>
        <w:rPr>
          <w:rFonts w:ascii="Times New Roman" w:hAnsi="Times New Roman"/>
          <w:b/>
          <w:sz w:val="28"/>
        </w:rPr>
        <w:t>2 | STUDY AREA</w:t>
      </w:r>
    </w:p>
    <w:p>
      <w:pPr>
        <w:spacing w:after="240" w:line="480" w:lineRule="auto"/>
        <w:jc w:val="both"/>
      </w:pPr>
      <w:r>
        <w:rPr>
          <w:rFonts w:ascii="Times New Roman" w:hAnsi="Times New Roman"/>
          <w:b w:val="0"/>
          <w:i w:val="0"/>
          <w:sz w:val="24"/>
        </w:rPr>
        <w:t>Imbabura Province lies between 0.12° and 0.88° north latitude and between 77.81° and 79.28° west longitude, with an area of 4,599 km² (Instituto Geográfico Militar del Ecuador [IGM], 2013) and elevations ranging from 675 m in the northwest (Chontal depression) to 4,939 m at the Cotacachi-Cayapas volcanic complex, according to the SRTM 30-m digital elevation model (Farr et al., 2007). Its population at the 2022 census was 478,257 inhabitants (Instituto Nacional de Estadística y Censos [INEC], 2023). The territory is dominated by Quaternary volcanic relief (Imbabura, Cotacachi, Mojanda) and intramontane basins with contrasting climatic regimes. Three large hydrographic units converge in the province: the Mira River basin (Pacific slope), the endorheic San Pablo lake microbasin, and the headwaters of the Intag River (a tributary of the Guayllabamba River draining to the Pacific through the northwestern cloud-forest system). Within the 21-station network analysed, mean annual precipitation derived from CHIRPS v2.0 (1991–2020) ranges from 944 mm at M0021 Atuntaqui (2,200 m, intermontane Chota–Mira corridor) to 3,136 mm at M0103 San Gabriel (2,860 m, eastern flank exposed to Amazonian moisture), while mean annual temperature derived from ERA5-Land 1991–2020 grid-cell means at the station coordinates ranges from 5.1 °C at M0107 Cahuasquí (2,335 m, high inter-Andean) to 15.1 °C at M0103 San Gabriel; the in-situ temperature record at M0001 Inguincho (1994–2013) is 10.2 °C, illustrating a typical 2,500-m altitudinal gradient. Because ERA5-Land's ~9-km grid cell does not resolve the strong topography of the inter-Andean valley, the absolute station-level temperatures reported in Table 6 are grid-cell climatologies and should not be interpreted as direct in-situ point climatologies; their use in this study is restricted to the regional pattern and to the temporal trend analysis (§4.1), where the systematic bias cancels in the inter-annual difference.</w:t>
      </w:r>
    </w:p>
    <w:p>
      <w:pPr>
        <w:spacing w:before="360" w:after="240"/>
        <w:jc w:val="left"/>
      </w:pPr>
      <w:r>
        <w:rPr>
          <w:rFonts w:ascii="Times New Roman" w:hAnsi="Times New Roman"/>
          <w:b/>
          <w:sz w:val="28"/>
        </w:rPr>
        <w:t>3 | DATA AND METHODS</w:t>
      </w:r>
    </w:p>
    <w:p>
      <w:pPr>
        <w:spacing w:before="240" w:after="240"/>
        <w:jc w:val="left"/>
      </w:pPr>
      <w:r>
        <w:rPr>
          <w:rFonts w:ascii="Times New Roman" w:hAnsi="Times New Roman"/>
          <w:b/>
          <w:sz w:val="24"/>
        </w:rPr>
        <w:t>3.1 | In-situ Data: Retrieval and Quality Control</w:t>
      </w:r>
    </w:p>
    <w:p>
      <w:pPr>
        <w:spacing w:after="240" w:line="480" w:lineRule="auto"/>
        <w:jc w:val="both"/>
      </w:pPr>
      <w:r>
        <w:rPr>
          <w:rFonts w:ascii="Times New Roman" w:hAnsi="Times New Roman"/>
          <w:b w:val="0"/>
          <w:i w:val="0"/>
          <w:sz w:val="24"/>
        </w:rPr>
        <w:t>The observational network used integrates 21 stations operated by INAMHI, whose temporal coverage in this study breaks down into two complementary windows due to documentary availability: (i) monthly records from meteorological yearbooks Nos. 34 to 53 for 1994–2013, which constitute the principal in-situ block digitised and subjected to quality control for the 21 stations, and (ii) hourly automatic records aggregated to monthly for 2014–2025 at the two automatic stations operating during that window (M0105 Otavalo and M1240 Ibarra-INAMHI). The 1981–2025 coverage referenced in the study exclusively concerns satellite and reanalysis products (CHIRPS, ERA5-Land, TerraClimate) sampled at the 21 locations, not continuous in-situ series. Subsequently, following a formal request to INAMHI, an additional package of six hourly records was received and subjected to a physical-consistency diagnostic to evaluate its suitability for extending the observational block; the result, confirming only the two already-integrated stations (M0105, M1240) as suitable for the 2014–2025 window, is summarised in §5.5 and fully documented in the associated Zenodo repository. The 21 stations are distributed between Imbabura (18 stations) and the bordering Carchi Province (3 stations: M0086 San Vicente de Pusir, M0103 San Gabriel, and M0104 Mira-FAO). The latter were selected for their proximity to the provincial limit and their contribution to closure of the northern gradient of the Chota-Mira system. Of the 21, seven have complete climatological records (temperature, relative humidity, sunshine duration, precipitation) and fourteen are strictly pluviometric. The altitudinal range covered by the network is 675 to 3,140 m (median 2,275 m), allowing definition of three homogeneous bands based on the Shuttle Radar Topography Mission (SRTM) 30-m digital elevation model aggregated to the CMIP6 0.1° resolution: B1 &lt; 2,000 m, B2 between 2,000 and 2,800 m, and B3 &gt; 2,800 m. The location and elevation of each station is shown in Figure 1 and Table 1.</w:t>
      </w:r>
    </w:p>
    <w:p>
      <w:pPr>
        <w:spacing w:after="240" w:line="480" w:lineRule="auto"/>
        <w:jc w:val="both"/>
      </w:pPr>
      <w:r>
        <w:rPr>
          <w:rFonts w:ascii="Times New Roman" w:hAnsi="Times New Roman"/>
          <w:b w:val="0"/>
          <w:i w:val="0"/>
          <w:sz w:val="24"/>
        </w:rPr>
        <w:t>Monthly precipitation and temperature records for 1994–2013 were extracted from INAMHI Meteorological Yearbooks (Nos. 34 to 53) through an automated pipeline in Python. The integrity of the 20 source files was verified through SHA-256 digital fingerprints (Table S1). The consolidated dataset contains 4,120 station-month precipitation records and 1,111 station-month temperature records with complete climatological sheet. For the 2014–2025 period, two stations with hourly records were incorporated (M0105 Otavalo and M1240 Ibarra-INAMHI) processed under the criterion of monthly completeness above 75 % of valid hours.</w:t>
      </w:r>
    </w:p>
    <w:p>
      <w:pPr>
        <w:spacing w:after="240" w:line="480" w:lineRule="auto"/>
        <w:jc w:val="both"/>
      </w:pPr>
      <w:r>
        <w:rPr>
          <w:rFonts w:ascii="Times New Roman" w:hAnsi="Times New Roman"/>
          <w:b w:val="0"/>
          <w:i w:val="0"/>
          <w:sz w:val="24"/>
        </w:rPr>
        <w:t>Quality control followed standard WMO recommendations for climatological data screening through three sequential tests. QC1 verifies physical ranges adjusted to Andean elevations (precipitation 0–2,000 mm month⁻¹; temperature −5 to 35 °C). QC2 reviews internal consistency between related variables (Tmax &gt; Tmean &gt; Tmin; relative humidity bounded 0–100 %). QC3 detects spurious persistence, i.e., repetitions over more than 10 consecutive months. Homogeneity was evaluated with the Alexandersson standard normal homogeneity test (SNHT; Alexandersson, 1986); the test was applied to all annual station-variable series with sufficient years to compute the test statistic, and the exact number of years analysed for each station-variable pair is reported in Table S6. Only records with final quality A or B entered the trend and teleconnection analyses; data discarded by QC represented 0.9 % of the total extracted volume.</w:t>
      </w:r>
    </w:p>
    <w:p>
      <w:pPr>
        <w:spacing w:before="240" w:after="240"/>
        <w:jc w:val="left"/>
      </w:pPr>
      <w:r>
        <w:rPr>
          <w:rFonts w:ascii="Times New Roman" w:hAnsi="Times New Roman"/>
          <w:b/>
          <w:sz w:val="24"/>
        </w:rPr>
        <w:t>3.2 | Satellite and Reanalysis Products</w:t>
      </w:r>
    </w:p>
    <w:p>
      <w:pPr>
        <w:spacing w:after="240" w:line="480" w:lineRule="auto"/>
        <w:jc w:val="both"/>
      </w:pPr>
      <w:r>
        <w:rPr>
          <w:rFonts w:ascii="Times New Roman" w:hAnsi="Times New Roman"/>
          <w:b w:val="0"/>
          <w:i w:val="0"/>
          <w:sz w:val="24"/>
        </w:rPr>
        <w:t>To extend the temporal window to 44 years, four long-trajectory gridded products were integrated, sampled at the closest pixel to each station with corrected official coordinates. Daily precipitation comes from CHIRPS v2.0 (0.05°, 1981–2025; Funk et al., 2015), aggregated to monthly totals and annual accumulations. Maximum, mean and minimum temperatures, precipitation and relative humidity were obtained from ERA5-Land (0.1°, 1981–2025; Hersbach et al., 2020). Penman-Monteith potential evapotranspiration and the Palmer Drought Severity Index (PDSI; Palmer, 1965) come from TerraClimate (1/24°, 1981–2024; Abatzoglou et al., 2018). The actual and potential evapotranspiration of the MODerate Resolution Imaging Spectroradiometer Global Evapotranspiration product (MOD16A2GF; 500 m, 2001–2024) was accessed via Google Earth Engine for analysis by altitudinal bands (Running et al., 2019). The monthly ONI (1950–2026) was obtained from the NOAA Climate Prediction Center.</w:t>
      </w:r>
    </w:p>
    <w:p>
      <w:pPr>
        <w:spacing w:after="240" w:line="480" w:lineRule="auto"/>
        <w:jc w:val="both"/>
      </w:pPr>
      <w:r>
        <w:rPr>
          <w:rFonts w:ascii="Times New Roman" w:hAnsi="Times New Roman"/>
          <w:b w:val="0"/>
          <w:i w:val="0"/>
          <w:sz w:val="24"/>
        </w:rPr>
        <w:t>Cross-validation of CHIRPS and ERA5-Land against the two recent INAMHI automatic stations (M0105 Otavalo and M1240 Ibarra-INAMHI) was performed at monthly resolution over their overlap windows (CHIRPS 2014–2025 and 2019–2024; ERA5-Land 2014–2025), using Pearson correlation, mean bias, root mean square error (RMSE), and the percentage of months with absolute difference greater than 50 mm (Table 5). The earlier 1994–2013 INAMHI yearbook block is used as a documentary reference for the climatological in-situ records (§4.1) but does not enter the Table 5 cross-validation, since the recent automatic block is the only one with hourly-derived observations contemporaneous with the gridded products at the same processing standard. The median CHIRPS-vs-INAMHI precipitation correlation was r = 0.46 (mean bias −47 mm month⁻¹), with maximum values exceeding 0.77 at interior stations. This concordance, consistent with previous literature for the Andean Ecuador, justifies the use of gridded products for regional trends, in line with observational-reanalysis intercomparison strategies applied in tropical and subtropical regions with limited station density (Manzanas et al., 2014). Six stations fall in 5 shared ERA5-Land pixels; Table S2 documents this overlap to avoid erroneous independent interpretations.</w:t>
      </w:r>
    </w:p>
    <w:p>
      <w:pPr>
        <w:spacing w:before="240" w:after="240"/>
        <w:jc w:val="left"/>
      </w:pPr>
      <w:r>
        <w:rPr>
          <w:rFonts w:ascii="Times New Roman" w:hAnsi="Times New Roman"/>
          <w:b/>
          <w:sz w:val="24"/>
        </w:rPr>
        <w:t>3.3 | Statistical Trend Methods</w:t>
      </w:r>
    </w:p>
    <w:p>
      <w:pPr>
        <w:spacing w:after="240" w:line="480" w:lineRule="auto"/>
        <w:jc w:val="both"/>
      </w:pPr>
      <w:r>
        <w:rPr>
          <w:rFonts w:ascii="Times New Roman" w:hAnsi="Times New Roman"/>
          <w:b w:val="0"/>
          <w:i w:val="0"/>
          <w:sz w:val="24"/>
        </w:rPr>
        <w:t>Monotonic trends were evaluated with the non-parametric Mann-Kendall test (Mann, 1945; Kendall, 1975) on annual and trimestral series (DJF, MAM, JJA, SON), complemented with the Theil-Sen slope estimator (Sen, 1968). The principal p-values reported in Tables 2, 3 and the corresponding figures of Section 4 are those of the original Mann-Kendall test. The modified Hamed-Rao variant (MMK; Hamed and Rao, 1998), which corrects for serial autocorrelation, was applied as a global sensitivity analysis (global summary in Table 3 of the manuscript, column N_significant_MMK). The sensitivity test confirms the robustness of all variables except TerraClimate potential evapotranspiration (lag-1 autocorrelation 0.47), where 17 of 18 originally-significant trends are not retained under MMK Hamed-Rao; this exception is reported explicitly in Table 3 (column N_significant_MMK) and discussed in §5.5. Multiple-testing correction followed Benjamini and Hochberg (1995) with a 5 % false discovery rate. For CHIRPS annual precipitation, 5 of 7 initially-significant trends are retained after FDR-BH.</w:t>
      </w:r>
    </w:p>
    <w:p>
      <w:pPr>
        <w:spacing w:after="240" w:line="480" w:lineRule="auto"/>
        <w:jc w:val="both"/>
      </w:pPr>
      <w:r>
        <w:rPr>
          <w:rFonts w:ascii="Times New Roman" w:hAnsi="Times New Roman"/>
          <w:b w:val="0"/>
          <w:i w:val="0"/>
          <w:sz w:val="24"/>
        </w:rPr>
        <w:t>The altitudinal temperature gradient was estimated by ordinary least-squares regression between INAMHI 1994–2013 post-QC mean annual temperature and elevation of the seven climatological stations with complete thermal series retaining records of CALIDAD_FINAL = A (M0001 Inguincho, M0103 San Gabriel, M0105 Otavalo, M0107 Cahuasquí-FAO, M0104 Mira-FAO, M1240 Ibarra-INAMHI, and M0086 San Vicente de Pusir). Its uncertainty was quantified with non-parametric bootstrap of 1,000 replicates with replacement sampling (random seed = 42), obtaining a 95 % confidence interval of [−10.9, −7.0] °C km⁻¹ (Appendix A1). The lower bound of the interval (−10.9 °C km⁻¹) slightly exceeds the dry adiabatic lapse rate (≈ −9.8 °C km⁻¹) and must be interpreted as an envelope of uncertainty associated with the reduced sample size (n = 7) and the sensitivity of the fit to the exclusion of extreme stations, not as a physically attainable value. The central point estimate (−8.24 °C km⁻¹) is physically plausible and falls within the typical range of dry tropical mountain ranges. A leave-one-out sensitivity analysis excluding M1240 Ibarra-INAMHI—the climatological station with the most limited CALIDAD_FINAL = A coverage (10 monthly records vs. 84–199 at the other six stations)—yields a slope of −8.24 °C km⁻¹ (R² = 0.96, p &lt; 0.001; bootstrap 95 % CI [−10.8, −6.5] °C km⁻¹; n = 6, seed = 42, 1,000 replicates), differing by only 0.1 % from the principal estimate (Appendix A1). The lapse-rate result is therefore robust to the inclusion of M1240. The ETCCDI extreme indices on daily CHIRPS (Rx1day, Rx5day, R95p, CDD, PRCPTOT) were computed in Google Earth Engine, with return levels estimated through generalised extreme value (GEV) maximum-likelihood fitting over the subperiods 1981–2002 and 2003–2024.</w:t>
      </w:r>
    </w:p>
    <w:p>
      <w:pPr>
        <w:spacing w:before="240" w:after="240"/>
        <w:jc w:val="left"/>
      </w:pPr>
      <w:r>
        <w:rPr>
          <w:rFonts w:ascii="Times New Roman" w:hAnsi="Times New Roman"/>
          <w:b/>
          <w:sz w:val="24"/>
        </w:rPr>
        <w:t>3.4 | ENSO Teleconnection</w:t>
      </w:r>
    </w:p>
    <w:p>
      <w:pPr>
        <w:spacing w:after="240" w:line="480" w:lineRule="auto"/>
        <w:jc w:val="both"/>
      </w:pPr>
      <w:r>
        <w:rPr>
          <w:rFonts w:ascii="Times New Roman" w:hAnsi="Times New Roman"/>
          <w:b w:val="0"/>
          <w:i w:val="0"/>
          <w:sz w:val="24"/>
        </w:rPr>
        <w:t>The relationship between ENSO and precipitation was quantified with Spearman rank correlation (Spearman, 1904) between monthly CHIRPS precipitation at each station and the concurrent and lagged ONI index at 1, 2 and 3 months (Vuille et al., 2000; Espinoza et al., 2014; Lavado Casimiro et al., 2013). For each station the lag with maximum absolute ρ was identified. Complementarily, cross-wavelet coherence was applied between monthly ONI and the CHIRPS regional PRCPTOT series (biwavelet R package; Torrence and Compo, 1998) to identify spectral co-variation bands. Due to the series length (44 years) and cone-of-influence edge effects, this technique is interpreted as exploratory for scales above the decade.</w:t>
      </w:r>
    </w:p>
    <w:p>
      <w:pPr>
        <w:spacing w:before="240" w:after="240"/>
        <w:jc w:val="left"/>
      </w:pPr>
      <w:r>
        <w:rPr>
          <w:rFonts w:ascii="Times New Roman" w:hAnsi="Times New Roman"/>
          <w:b/>
          <w:sz w:val="24"/>
        </w:rPr>
        <w:t>3.5 | CMIP6 Ensemble and Projections</w:t>
      </w:r>
    </w:p>
    <w:p>
      <w:pPr>
        <w:spacing w:after="240" w:line="480" w:lineRule="auto"/>
        <w:jc w:val="both"/>
      </w:pPr>
      <w:r>
        <w:rPr>
          <w:rFonts w:ascii="Times New Roman" w:hAnsi="Times New Roman"/>
          <w:b w:val="0"/>
          <w:i w:val="0"/>
          <w:sz w:val="24"/>
        </w:rPr>
        <w:t>Future projections use the bias-adjusted BASD-CMIP6-PE product (Lange, 2019), with a selection of ten global climate models representative of the CMIP6 ensemble: CanESM5, CNRM-CM6-1, CNRM-ESM2-1, EC-Earth3, GFDL-ESM4, IPSL-CM6A-LR, MIROC6, MPI-ESM1-2-HR, MRI-ESM2-0, and UKESM1-0-LL. These models were prioritised by simultaneous availability of precipitation, extreme temperatures and derived variables (ET₀-HS) under the historical experiment (1981–2014) and the SSP1-2.6, SSP3-7.0 and SSP5-8.5 trajectories (2015–2070). Hargreaves-Samani reference evapotranspiration (ET₀-HS) derived from daily CMIP6 temperatures is used to communicate evaporative-demand changes; its magnitude is not directly comparable with TerraClimate Penman-Monteith PET, which is reported only at the observational level.</w:t>
      </w:r>
    </w:p>
    <w:p>
      <w:pPr>
        <w:spacing w:after="240" w:line="480" w:lineRule="auto"/>
        <w:jc w:val="both"/>
      </w:pPr>
      <w:r>
        <w:rPr>
          <w:rFonts w:ascii="Times New Roman" w:hAnsi="Times New Roman"/>
          <w:b w:val="0"/>
          <w:i w:val="0"/>
          <w:sz w:val="24"/>
        </w:rPr>
        <w:t>Evaluation of the historical CMIP6 ensemble against observations was carried out as a directional contrast (consistency of sign and relative magnitude), not as formal validation, given that the BASD-CMIP6-PE product is already adjusted on observations and a closed validation would introduce circularity. The Taylor diagram (Figure S7) compares the climatological annual cycle 1991–2010 of CHIRPS precipitation and ERA5-Land temperature with the ten general circulation models (GCMs). Projected changes are reported as the ensemble median between the 2041–2070 period and the 1991–2010 baseline.</w:t>
      </w:r>
    </w:p>
    <w:p>
      <w:pPr>
        <w:spacing w:before="240" w:after="240"/>
        <w:jc w:val="left"/>
      </w:pPr>
      <w:r>
        <w:rPr>
          <w:rFonts w:ascii="Times New Roman" w:hAnsi="Times New Roman"/>
          <w:b/>
          <w:sz w:val="24"/>
        </w:rPr>
        <w:t>3.6 | Software and Reproducibility</w:t>
      </w:r>
    </w:p>
    <w:p>
      <w:pPr>
        <w:spacing w:after="240" w:line="480" w:lineRule="auto"/>
        <w:jc w:val="both"/>
      </w:pPr>
      <w:r>
        <w:rPr>
          <w:rFonts w:ascii="Times New Roman" w:hAnsi="Times New Roman"/>
          <w:b w:val="0"/>
          <w:i w:val="0"/>
          <w:sz w:val="24"/>
        </w:rPr>
        <w:t>All processing was implemented in Python 3.11 (pandas 2.0, numpy 1.24, scipy 1.10, pymannkendall 1.4.3, matplotlib 3.7) and in Google Earth Engine (JavaScript API). The code, including the PDF yearbook extraction pipelines, the QC and homogeneity modules, and the trend and teleconnection scripts, is archived together with the derived data. Details are described in the Data Availability Statement. The 21 processed stations, their corrected metadata and the catalogue of 20 INAMHI yearbooks with their SHA-256 hashes are available as supplementary material (Table S1). End-to-end traceability for every numerical claim and figure—from raw input file to final product, including production scripts and reproducibility seeds—is provided in Table S10.</w:t>
      </w:r>
    </w:p>
    <w:p>
      <w:pPr>
        <w:spacing w:before="360" w:after="240"/>
        <w:jc w:val="left"/>
      </w:pPr>
      <w:r>
        <w:rPr>
          <w:rFonts w:ascii="Times New Roman" w:hAnsi="Times New Roman"/>
          <w:b/>
          <w:sz w:val="28"/>
        </w:rPr>
        <w:t>4 | RESULTS</w:t>
      </w:r>
    </w:p>
    <w:p>
      <w:pPr>
        <w:spacing w:before="240" w:after="240"/>
        <w:jc w:val="left"/>
      </w:pPr>
      <w:r>
        <w:rPr>
          <w:rFonts w:ascii="Times New Roman" w:hAnsi="Times New Roman"/>
          <w:b/>
          <w:sz w:val="24"/>
        </w:rPr>
        <w:t>4.1 | Trends 1981–2025</w:t>
      </w:r>
    </w:p>
    <w:p>
      <w:pPr>
        <w:spacing w:after="240" w:line="480" w:lineRule="auto"/>
        <w:jc w:val="both"/>
      </w:pPr>
      <w:r>
        <w:rPr>
          <w:rFonts w:ascii="Times New Roman" w:hAnsi="Times New Roman"/>
          <w:b w:val="0"/>
          <w:i w:val="0"/>
          <w:sz w:val="24"/>
        </w:rPr>
        <w:t>ERA5-Land annual mean temperature sampled at the 21 station locations indicates a coherent regional warming signal across the province (Figure 2, right; Table 2). Because several station locations share the same ~9-km ERA5-Land grid cell (5 cells host two stations each, comprising 10 of 21 stations; full mapping in Table S8), these records should not be interpreted as 21 fully independent observations. Aggregating to the 16 independent grid cells covered by the network, 14 (88 %) exhibit statistically significant positive Theil-Sen slopes at p &lt; 0.05, all retained after Benjamini-Hochberg FDR correction at q = 0.05; the median slope across independent cells is +0.0112 °C yr⁻¹ (P10 +0.0053; P90 +0.0159 °C yr⁻¹), corresponding to ~+0.49 °C accumulated over 44 years. Per-station counts, retained here for transparency and traceability against the original network design, yield 20 of 21 sites with positive slope and 19 of 21 statistically significant; the per-station median slope is +0.0118 °C yr⁻¹ (~+0.52 °C in 44 years), with maxima of +0.71 to +0.74 °C at inter-Andean valley and high páramo locations (M0104, M0909, M0001, M0317, M0328) and minima of +0.33 to +0.34 °C at lower-elevation inter-Andean depression locations (M0021, M0314, M0107, M0312).</w:t>
      </w:r>
    </w:p>
    <w:p>
      <w:pPr>
        <w:spacing w:after="240" w:line="480" w:lineRule="auto"/>
        <w:jc w:val="both"/>
      </w:pPr>
      <w:r>
        <w:rPr>
          <w:rFonts w:ascii="Times New Roman" w:hAnsi="Times New Roman"/>
          <w:b w:val="0"/>
          <w:i w:val="0"/>
          <w:sz w:val="24"/>
        </w:rPr>
        <w:t>CHIRPS annual precipitation shows significant increase at 7 of the 21 stations (Figure 2, left), concentrated in a geographic cluster of the western slope and southeastern sector (M0086, M0103, M0104, M0314, M0328, M0317, M1240). The median slope is +2.26 mm yr⁻¹, with extreme values of +13.83 mm yr⁻¹ at M0103 San Gabriel and −1.35 mm yr⁻¹ at M0107 Cahuasquí. After FDR-BH correction, 5 of 7 significant trends are retained at q &lt; 0.05. This heterogeneous pattern is characteristic of regions with bimodal regime and large interannual variability.</w:t>
      </w:r>
    </w:p>
    <w:p>
      <w:pPr>
        <w:spacing w:after="240" w:line="480" w:lineRule="auto"/>
        <w:jc w:val="both"/>
      </w:pPr>
      <w:r>
        <w:rPr>
          <w:rFonts w:ascii="Times New Roman" w:hAnsi="Times New Roman"/>
          <w:b w:val="0"/>
          <w:i w:val="0"/>
          <w:sz w:val="24"/>
        </w:rPr>
        <w:t>The in-situ INAMHI thermal altitudinal gradient estimated with the seven climatological stations of 1994–2013 post-QC with complete thermal series results in −8.24 °C km⁻¹ (R² = 0.97, p &lt; 0.001; Figure 3), with 95 % bootstrap confidence interval of [−10.9, −7.0] °C km⁻¹. This value is more pronounced than the standard tropospheric lapse rate (−6.5 °C km⁻¹) and is consistent with other dry mountain ranges of the northern Andes. The gradient derived from ERA5-Land was physically implausible (−0.073 °C km⁻¹; R² ≈ 0.0002) because the 9-km grid does not resolve interandean topography and produces a systematic warm bias over mountainous terrain (+8.7 °C with respect to the INAMHI value). For this reason, only the in-situ gradient is reported as a valid vertical reference. It is important to distinguish, however, two non-equivalent uses of ERA5-Land: (i) estimation of absolute thermal magnitudes or instantaneous vertical gradients, where the orographic bias mentioned invalidates the product over complex topography, and (ii) detection of temporal trends, where the systematic and stationary bias cancels in the inter-annual difference and the internal consistency of the product over time allows recovery of the change signal. This second property is what justifies the use of ERA5-Land for the Mann-Kendall analysis over 1981–2025, in line with established practice for reanalysis over mountainous regions with sparse in-situ observation (Hersbach et al., 2020; Manzanas et al., 2014). The validity of the product for Δt does not extend its validity to point lapse-rate representation.</w:t>
      </w:r>
    </w:p>
    <w:p>
      <w:pPr>
        <w:spacing w:before="240" w:after="240"/>
        <w:jc w:val="left"/>
      </w:pPr>
      <w:r>
        <w:rPr>
          <w:rFonts w:ascii="Times New Roman" w:hAnsi="Times New Roman"/>
          <w:b/>
          <w:sz w:val="24"/>
        </w:rPr>
        <w:t>4.2 | Intensification of Precipitation Extremes</w:t>
      </w:r>
    </w:p>
    <w:p>
      <w:pPr>
        <w:spacing w:after="240" w:line="480" w:lineRule="auto"/>
        <w:jc w:val="both"/>
      </w:pPr>
      <w:r>
        <w:rPr>
          <w:rFonts w:ascii="Times New Roman" w:hAnsi="Times New Roman"/>
          <w:b w:val="0"/>
          <w:i w:val="0"/>
          <w:sz w:val="24"/>
        </w:rPr>
        <w:t>ETCCDI extreme precipitation indices over CHIRPS daily 1981–2025, aggregated by altitudinal band, show significant intensification despite the absence of systematic change in the annual total. The CDD index (consecutive dry days) shows positive trend at the western basin level (median Sen +0.21 days yr⁻¹; q &lt; 0.05) and slight decrease in the high band B3 (−0.08 days yr⁻¹; not significant). The Rx1day index (maximum daily precipitation) presents median Sen of +0.49 mm yr⁻¹ across the three bands, with maximum value in B2 (+0.62 mm yr⁻¹); 14 of 21 stations are individually significant. Rx5day exhibits parallel behaviour (median +0.71 mm yr⁻¹). R95p (precipitation in days above the 95th percentile) increases at +4.17 mm yr⁻¹ as a regional median, with particularly strong increase in the western basin. These results support the hypothesis of intensification of extremes without volumetric change (Trenberth, 2011; Donat et al., 2016). Bootstrap 95 % confidence intervals (n = 50 replicates with replacement, seed = 42) for the GEV-based 100-year return levels of Rx1day are 142–225 mm in the western basin (B1), 78–121 mm in the inter-Andean band (B2), 63–84 mm in the high band (B3), and 96–122 mm at the provincial scale; the corresponding intervals for Rx5day are 206–336 mm, 115–145 mm, 97–124 mm, and 136–179 mm, respectively (full table in Supporting Information, Table S9). The width of these intervals reflects the limited series length (44 years) and is broader at higher return periods, in line with extreme-value-statistics expectations.</w:t>
      </w:r>
    </w:p>
    <w:p>
      <w:pPr>
        <w:spacing w:before="240" w:after="240"/>
        <w:jc w:val="left"/>
      </w:pPr>
      <w:r>
        <w:rPr>
          <w:rFonts w:ascii="Times New Roman" w:hAnsi="Times New Roman"/>
          <w:b/>
          <w:sz w:val="24"/>
        </w:rPr>
        <w:t>4.3 | ENSO Teleconnection</w:t>
      </w:r>
    </w:p>
    <w:p>
      <w:pPr>
        <w:spacing w:after="240" w:line="480" w:lineRule="auto"/>
        <w:jc w:val="both"/>
      </w:pPr>
      <w:r>
        <w:rPr>
          <w:rFonts w:ascii="Times New Roman" w:hAnsi="Times New Roman"/>
          <w:b w:val="0"/>
          <w:i w:val="0"/>
          <w:sz w:val="24"/>
        </w:rPr>
        <w:t>The Spearman correlation between monthly CHIRPS precipitation and the ONI is negative and statistically significant (raw p &lt; 0.05) at all 21 stations (Figure 4; Table 4 summarises the ENSO teleconnection by variable and source). The dominant lag is 3 months at 17 stations and 2 months at the remaining 4 stations, indicating a coherent but not immediate response of precipitation to oceanic anomalies. Median correlation is ρ = −0.23 (range −0.30 to −0.10), with maximum absolute values at M0324 Sigsipamba (−0.30) and M0103 San Gabriel (−0.27). The N significant/total counts reported in Table 3 for the seven climatic variables correspond to the raw p &lt; 0.05 threshold. Benjamini-Hochberg multiple-testing correction applied to the global set of 588 ENSO tests (21 stations × 4 lags × 7 variables) is reported in Table S7: after FDR-BH at q = 0.05, 79/84 precipitation–ONI correlations remain significant, and 463 of 588 correlations across the multivariable set remain significant (recomputed empirically against ENSO_VARIABLES_COMPLETAS.csv with scipy.stats.false_discovery_control method='bh'; raw 465/588 at p &lt; 0.05). This confirms that the ENSO signal over the provincial hydroclimatic variables is robust to multiplicity. This negative directionality contrasts with the positive pattern reported for the western Ecuadorian coast (Vuille et al., 2000; Bendix, 2000) and matches previous literature for the Ecuadorian interandean valley, where warm Pacific events tend to suppress orographic-convective precipitation during the MAM and SON quarters.</w:t>
      </w:r>
    </w:p>
    <w:p>
      <w:pPr>
        <w:spacing w:after="240" w:line="480" w:lineRule="auto"/>
        <w:jc w:val="both"/>
      </w:pPr>
      <w:r>
        <w:rPr>
          <w:rFonts w:ascii="Times New Roman" w:hAnsi="Times New Roman"/>
          <w:b w:val="0"/>
          <w:i w:val="0"/>
          <w:sz w:val="24"/>
        </w:rPr>
        <w:t>Wavelet coherence between monthly ONI and CHIRPS regional PRCPTOT identifies a co-variation band centred at the period of approximately 23 years (maximum global coherence 0.78) and sustained coherence between 0.67 and 0.76 in the 10–22-year band, which could relate to interdecadal Pacific modulation. It must be emphasised that this band lies near the cone-of-influence edge: in a 44-year window it represents about two effective cycles, and its interpretation as a robust climatic signal requires longer series or Bayesian approaches. The classical ENSO-scale modes (2–7 years) show localised coherence (global &lt; 0.55) but consistent with the significant Spearman correlation at lag of 2–3 months reported in §4.2, suggesting a teleconnection composed of a standard interannual signal and a low-frequency modulation (Espinoza Villar et al., 2009; Aravena and Luckman, 2009).</w:t>
      </w:r>
    </w:p>
    <w:p>
      <w:pPr>
        <w:spacing w:before="240" w:after="240"/>
        <w:jc w:val="left"/>
      </w:pPr>
      <w:r>
        <w:rPr>
          <w:rFonts w:ascii="Times New Roman" w:hAnsi="Times New Roman"/>
          <w:b/>
          <w:sz w:val="24"/>
        </w:rPr>
        <w:t>4.4 | Observational Contrast vs. Historical CMIP6</w:t>
      </w:r>
    </w:p>
    <w:p>
      <w:pPr>
        <w:spacing w:after="240" w:line="480" w:lineRule="auto"/>
        <w:jc w:val="both"/>
      </w:pPr>
      <w:r>
        <w:rPr>
          <w:rFonts w:ascii="Times New Roman" w:hAnsi="Times New Roman"/>
          <w:b w:val="0"/>
          <w:i w:val="0"/>
          <w:sz w:val="24"/>
        </w:rPr>
        <w:t>The BASD-CMIP6-PE ensemble reproduces the general direction of warming observed during 1981–2014 with 100 % sign agreement among the ten GCMs for mean, maximum and minimum temperature (Figure 5). Note that the observational reference values plotted in Figure 5 represent a regional aggregate over the 21 station locations (independent-pixel weighting from §4.1) and are not stratified by altitudinal band; the CMIP6 bars, in contrast, are aggregated by band. This panel therefore compares CMIP6 by-band trends against a single regional observational reference, and the apparent inter-band consistency in CMIP6 should be read as ensemble behaviour, not as a band-by-band agreement with observations. The CMIP6 Sen-slope median for Tmean is +0.021 to +0.024 °C yr⁻¹ depending on the band, approximately twice the ERA5-Land observational median (+0.0118 °C yr⁻¹). This systematic amplification of the ensemble relative to reanalysis is consistent with that reported for other mountainous regions (Pepin et al., 2022) and reflects in part the global warming signal integrated by the ensemble, whose magnitude is generally slightly greater than the observed trajectory.</w:t>
      </w:r>
    </w:p>
    <w:p>
      <w:pPr>
        <w:spacing w:after="240" w:line="480" w:lineRule="auto"/>
        <w:jc w:val="both"/>
      </w:pPr>
      <w:r>
        <w:rPr>
          <w:rFonts w:ascii="Times New Roman" w:hAnsi="Times New Roman"/>
          <w:b w:val="0"/>
          <w:i w:val="0"/>
          <w:sz w:val="24"/>
        </w:rPr>
        <w:t>Evaluation of the absolute bias 1991–2010 (Figure 6) shows that historical CMIP6 presents systematic warming relative to ERA5-Land both in maximum temperature (+5.4 to +12.8 °C depending on band; +31 % to +82 % relative) and in minimum temperature (+8.8 to +16.6 °C; +165 % to +478 % relative). The high relative values of tasmin reflect that ERA5-Land reproduces minimum temperatures close to 0–5 °C in the high bands, compared to CMIP6 medians of 14–22 °C; this contrast is more parsimoniously interpreted as a scale and orographic mismatch between two products with very different spatial resolutions (CMIP6 grid ~100 km vs. ERA5-Land ~9 km), rather than as model error: Figure 6 is therefore presented as a diagnostic of representation incompatibility, not as a conventional model-skill metric. The absolute bias decreases monotonically with elevation, consistent with orographic smoothing in the higher-resolution reanalysis. Given that BASD-CMIP6-PE is itself bias-adjusted on observational reference (EWEMBI; Lange, 2019), the values reported here characterise the spatial-representation contrast between products and should not be read as a skill-assessment of the underlying GCMs.</w:t>
      </w:r>
    </w:p>
    <w:p>
      <w:pPr>
        <w:spacing w:after="240" w:line="480" w:lineRule="auto"/>
        <w:jc w:val="both"/>
      </w:pPr>
      <w:r>
        <w:rPr>
          <w:rFonts w:ascii="Times New Roman" w:hAnsi="Times New Roman"/>
          <w:b w:val="0"/>
          <w:i w:val="0"/>
          <w:sz w:val="24"/>
        </w:rPr>
        <w:t>The ENSO contrast CMIP6 vs. observations (Figure 7) indicates that GCMs tend to underestimate the strength of the observed negative teleconnection, with median ρ values close to zero in several bands and scenarios. Only a fraction of 10–40 % of GCMs achieves statistical significance in the ONI–regional precipitation relationship, a finding compatible with known limitations of general circulation models in representing high-frequency variability of the equatorial tropical Pacific in mountainous areas.</w:t>
      </w:r>
    </w:p>
    <w:p>
      <w:pPr>
        <w:spacing w:before="240" w:after="240"/>
        <w:jc w:val="left"/>
      </w:pPr>
      <w:r>
        <w:rPr>
          <w:rFonts w:ascii="Times New Roman" w:hAnsi="Times New Roman"/>
          <w:b/>
          <w:sz w:val="24"/>
        </w:rPr>
        <w:t>4.5 | Projections 2021–2070 Under SSP Pathways</w:t>
      </w:r>
    </w:p>
    <w:p>
      <w:pPr>
        <w:spacing w:after="240" w:line="480" w:lineRule="auto"/>
        <w:jc w:val="both"/>
      </w:pPr>
      <w:r>
        <w:rPr>
          <w:rFonts w:ascii="Times New Roman" w:hAnsi="Times New Roman"/>
          <w:b w:val="0"/>
          <w:i w:val="0"/>
          <w:sz w:val="24"/>
        </w:rPr>
        <w:t>CMIP6 projections for 2021–2070 show progressive and spatially-coherent warming across the three SSP trajectories (Figure 8; Table 7). The projected change in mean temperature for 2041–2070, relative to the 1991–2010 baseline, given as ensemble median across 10 GCMs with inter-model interquartile range (IQR) by altitudinal band, is +1.09 to +1.17 °C in SSP1-2.6 (IQR 0.22 to 0.29 °C), +1.71 to +1.84 °C in SSP3-7.0 (IQR 0.19 to 0.22 °C), and +1.96 to +2.11 °C in SSP5-8.5 (IQR 0.25 to 0.37 °C); station-level baseline climatology is summarised in Table 6. Directional agreement among the ten GCMs is 100 % across the three bands and three trajectories. Projected precipitation increases between +5 and +8 % in all scenarios, with directional agreement above 80 % among GCMs, and Hargreaves-Samani reference evapotranspiration grows between +3 % (SSP1-2.6) and +7 % (SSP5-8.5). These results are consistent with the broader hydroclimate characterisation of Latin America reported in regional reviews of the tropical Andes (Pabón-Caicedo et al., 2020; Pepin et al., 2015).</w:t>
      </w:r>
    </w:p>
    <w:p>
      <w:pPr>
        <w:spacing w:after="240" w:line="480" w:lineRule="auto"/>
        <w:jc w:val="both"/>
      </w:pPr>
      <w:r>
        <w:rPr>
          <w:rFonts w:ascii="Times New Roman" w:hAnsi="Times New Roman"/>
          <w:b w:val="0"/>
          <w:i w:val="0"/>
          <w:sz w:val="24"/>
        </w:rPr>
        <w:t>The magnitude of change increases with elevation in temperature, constituting the signature of elevation-dependent warming (EDW): the projected change in Tmean under SSP5-8.5 goes from +1.96 °C in the band &lt; 2,000 m to +2.11 °C in the band &gt; 2,800 m (difference of +0.15 °C between extreme bands; Figure 9). This pattern holds for the three SSPs and the three thermal variables (Tmean, Tmax, Tmin). Altitudinal amplification is more pronounced in Tmin, consistent with a nocturnal reduction of radiative cooling in high zones. Projected precipitation shows a slightly positive trend without clear EDW signal, and ET₀-HS shows a consistent increase with elevation across all SSPs.</w:t>
      </w:r>
    </w:p>
    <w:p>
      <w:pPr>
        <w:spacing w:after="240" w:line="480" w:lineRule="auto"/>
        <w:jc w:val="both"/>
      </w:pPr>
      <w:r>
        <w:rPr>
          <w:rFonts w:ascii="Times New Roman" w:hAnsi="Times New Roman"/>
          <w:b w:val="0"/>
          <w:i w:val="0"/>
          <w:sz w:val="24"/>
        </w:rPr>
        <w:t>The EDW signature is explicitly quantified in Figure 10, where the Sen slope by altitudinal band confirms vertical amplification of warming across the three SSPs and the three temperature components. The pattern B3 &gt; B2 &gt; B1 (high band &gt; middle band &gt; low band, defined in §3.1: B1 &lt; 2,000 m, B2 between 2,000 and 2,800 m, B3 &gt; 2,800 m) holds for Tmean and Tmin under all three trajectories. The absolute magnitude of EDW amplification under SSP5-8.5 is approximately +0.005 °C yr⁻¹ between the highest and lowest band, equivalent to about 0.25 °C additional over the 50 years of the projection period. This magnitude, although consistent in sign, must be considered modest: regional evidence for Imbabura supports the direction of amplification but does not allow a robust quantification due to the limited number of high-resolution models available for the equatorial Andes.</w:t>
      </w:r>
    </w:p>
    <w:p>
      <w:pPr>
        <w:spacing w:before="360" w:after="240"/>
        <w:jc w:val="left"/>
      </w:pPr>
      <w:r>
        <w:rPr>
          <w:rFonts w:ascii="Times New Roman" w:hAnsi="Times New Roman"/>
          <w:b/>
          <w:sz w:val="28"/>
        </w:rPr>
        <w:t>5 | DISCUSSION</w:t>
      </w:r>
    </w:p>
    <w:p>
      <w:pPr>
        <w:spacing w:before="240" w:after="240"/>
        <w:jc w:val="left"/>
      </w:pPr>
      <w:r>
        <w:rPr>
          <w:rFonts w:ascii="Times New Roman" w:hAnsi="Times New Roman"/>
          <w:b/>
          <w:sz w:val="24"/>
        </w:rPr>
        <w:t>5.1 | Warming in the Andean Context</w:t>
      </w:r>
    </w:p>
    <w:p>
      <w:pPr>
        <w:spacing w:after="240" w:line="480" w:lineRule="auto"/>
        <w:jc w:val="both"/>
      </w:pPr>
      <w:r>
        <w:rPr>
          <w:rFonts w:ascii="Times New Roman" w:hAnsi="Times New Roman"/>
          <w:b w:val="0"/>
          <w:i w:val="0"/>
          <w:sz w:val="24"/>
        </w:rPr>
        <w:t>The magnitude of warming that ERA5-Land detects over the 16 independent grid cells spanning the 21 INAMHI station locations of Imbabura (~+0.49 °C in 44 years as median; 14 of 16 cells significant at p &lt; 0.05; for the 21 station-level samples, +0.52 °C with 19 significant) is consistent with the order of magnitude reported for other sectors of the tropical Andes during similar windows. Vuille et al. (2008) documented +0.11 °C decade⁻¹ for the tropical Andes ensemble 1939–2006. More recent works in Bolivia and southern Peru report warming of +0.13 to +0.23 °C decade⁻¹ depending on elevation and season (Morán-Tejeda et al., 2016; Seiler et al., 2013; Imfeld et al., 2019; Rau et al., 2017). The median value obtained here (+0.118 °C decade⁻¹) lies in the low-medium range of this continental distribution, suggesting that the northern slope of the Ecuadorian interandean valley is not a regional hotspot but part of a coherent pattern at subcontinental scale. This long-window warming signal is sustained on ERA5-Land sampled at the 21 station locations, given that the in-situ INAMHI network does not reach four decades of continuous coverage for temperature. The validity of ERA5-Land for temporal trends over this territory is methodologically justified in §4.1 and empirically supported by directional convergence with the available 1994–2013 INAMHI records: at the seven in-situ stations with complete thermal records, temperature also exhibits a positive slope during the overlapping window (although with less statistical power due to the 20-year series length), supporting the coherence between both sources.</w:t>
      </w:r>
    </w:p>
    <w:p>
      <w:pPr>
        <w:spacing w:after="240" w:line="480" w:lineRule="auto"/>
        <w:jc w:val="both"/>
      </w:pPr>
      <w:r>
        <w:rPr>
          <w:rFonts w:ascii="Times New Roman" w:hAnsi="Times New Roman"/>
          <w:b w:val="0"/>
          <w:i w:val="0"/>
          <w:sz w:val="24"/>
        </w:rPr>
        <w:t>The spatial heterogeneity of precipitation trends (only 7 of 21 stations significant) is typical of regions with complex topography and strong influence of mesoscale circulations. The increase cluster on the western slope (Pusir, Ambuquí, San Gabriel, Mira) suggests local intensification of the convective component associated with surface warming, while the eastern slope and páramo present mixed signals. This behaviour is consistent with previous works reporting increase in extreme precipitation without systematic change in annual total for the tropical Andes (Skansi et al., 2013; Contractor et al., 2021).</w:t>
      </w:r>
    </w:p>
    <w:p>
      <w:pPr>
        <w:spacing w:before="240" w:after="240"/>
        <w:jc w:val="left"/>
      </w:pPr>
      <w:r>
        <w:rPr>
          <w:rFonts w:ascii="Times New Roman" w:hAnsi="Times New Roman"/>
          <w:b/>
          <w:sz w:val="24"/>
        </w:rPr>
        <w:t>5.2 | ENSO Modulation and Temporal Scales</w:t>
      </w:r>
    </w:p>
    <w:p>
      <w:pPr>
        <w:spacing w:after="240" w:line="480" w:lineRule="auto"/>
        <w:jc w:val="both"/>
      </w:pPr>
      <w:r>
        <w:rPr>
          <w:rFonts w:ascii="Times New Roman" w:hAnsi="Times New Roman"/>
          <w:b w:val="0"/>
          <w:i w:val="0"/>
          <w:sz w:val="24"/>
        </w:rPr>
        <w:t>The negative significant teleconnection at all 21 stations, with dominant lag of 3 months, confirms the pattern described for the interandean Sierra of Ecuador in previous studies (Rossel et al., 1999; Bendix, 2000) and quantifies it over a longer temporal window. The shift of the dominant lag with respect to studies on the Ecuadorian coast, where the response is simultaneous and positive, reflects the inverse trajectory of forcing: warm Pacific events increase convergence over the coast and reduce humid advection into the interior, generating the observed negative lag. The possible presence of a decadal mode in wavelet coherence opens a hypothesis on the superposition of ENSO variability with a low-frequency cycle, eventually related to the Pacific Decadal Oscillation and changes in the ITCZ regime over the eastern Pacific (Garreaud and Aceituno, 2001; Díaz et al., 2021; Zappa et al., 2021; Segura et al., 2019). This hypothesis requires confirmation over longer series and is for now interpreted as exploratory.</w:t>
      </w:r>
    </w:p>
    <w:p>
      <w:pPr>
        <w:spacing w:before="240" w:after="240"/>
        <w:jc w:val="left"/>
      </w:pPr>
      <w:r>
        <w:rPr>
          <w:rFonts w:ascii="Times New Roman" w:hAnsi="Times New Roman"/>
          <w:b/>
          <w:sz w:val="24"/>
        </w:rPr>
        <w:t>5.3 | Intensification of Extremes Without Volumetric Change</w:t>
      </w:r>
    </w:p>
    <w:p>
      <w:pPr>
        <w:spacing w:after="240" w:line="480" w:lineRule="auto"/>
        <w:jc w:val="both"/>
      </w:pPr>
      <w:r>
        <w:rPr>
          <w:rFonts w:ascii="Times New Roman" w:hAnsi="Times New Roman"/>
          <w:b w:val="0"/>
          <w:i w:val="0"/>
          <w:sz w:val="24"/>
        </w:rPr>
        <w:t>The pattern of intensification of precipitation extremes, with significant Rx1day, Rx5day and R95p but non-significant PRCPTOT, is compatible with the thermodynamic Clausius-Clapeyron hypothesis: warming of 0.5 °C over 44 years increases the maximum vapour capacity by approximately 3.5 %, translating into more intense individual events without necessarily altering the total volumetric balance. This result extends to the tropical Andes patterns previously reported in other mountainous climates and temperate regions (Dereczynski et al., 2020; Contractor et al., 2021; Vicente-Serrano et al., 2014). The decrease in CDD in the high bands reinforces this interpretation: rainy days slightly increase in high zones while rain concentrates in higher-magnitude events.</w:t>
      </w:r>
    </w:p>
    <w:p>
      <w:pPr>
        <w:spacing w:before="240" w:after="240"/>
        <w:jc w:val="left"/>
      </w:pPr>
      <w:r>
        <w:rPr>
          <w:rFonts w:ascii="Times New Roman" w:hAnsi="Times New Roman"/>
          <w:b/>
          <w:sz w:val="24"/>
        </w:rPr>
        <w:t>5.4 | Elevation-Dependent Warming and Adaptation</w:t>
      </w:r>
    </w:p>
    <w:p>
      <w:pPr>
        <w:spacing w:after="240" w:line="480" w:lineRule="auto"/>
        <w:jc w:val="both"/>
      </w:pPr>
      <w:r>
        <w:rPr>
          <w:rFonts w:ascii="Times New Roman" w:hAnsi="Times New Roman"/>
          <w:b w:val="0"/>
          <w:i w:val="0"/>
          <w:sz w:val="24"/>
        </w:rPr>
        <w:t>The EDW signature observed in CMIP6 projections (B3 &gt; B2 &gt; B1, that is, high &gt; middle &gt; low altitudinal band, consistently across the three SSPs) constitutes a regional confirmation of what has been documented by Pepin et al. (2015) and Pepin et al. (2022) as a global characteristic of mountain regions. In Imbabura, the difference in warming magnitude between the extreme bands (675 m and 3,140 m) reaches about 0.25 °C additional by 2070 under SSP5-8.5. This figure is modest in absolute terms but has implications for páramos, the upper limit of Andean forest, and snow-line dynamics. The Imbabura mountain range has no active glaciers, so the snow-albedo feedback is limited. However, periglacial features such as rock glaciers can constitute a secondary water store in tropical mountains whose role may become more visible as warming progresses (Rangecroft et al., 2015). Even so, the acceleration of periglacial-limit retreat and vertical migration of ecosystems are expected consequences of the projected EDW pattern (Urrutia and Vuille, 2009).</w:t>
      </w:r>
    </w:p>
    <w:p>
      <w:pPr>
        <w:spacing w:after="240" w:line="480" w:lineRule="auto"/>
        <w:jc w:val="both"/>
      </w:pPr>
      <w:r>
        <w:rPr>
          <w:rFonts w:ascii="Times New Roman" w:hAnsi="Times New Roman"/>
          <w:b w:val="0"/>
          <w:i w:val="0"/>
          <w:sz w:val="24"/>
        </w:rPr>
        <w:t>The combination of temperature increase (+2.1 °C under SSP5-8.5), slight precipitation increase (+5 to +8 %), and more pronounced increase in evaporative demand (+7 % ET₀-HS) suggests a future regime of greater hydroclimatic stress during dry months, partially compensated by greater annual rainfall volume. The signal of observed PET/actual ET measured by satellite products (MOD16, TerraClimate) presents methodological limitations described in the data section and must be considered as complementary, not definitive, evidence of change in the regional water balance. It is therefore recommended to interpret ET results only in terms of directional consistency with the projections (da Motta Paca et al., 2019; Espinoza et al., 2014).</w:t>
      </w:r>
    </w:p>
    <w:p>
      <w:pPr>
        <w:spacing w:before="240" w:after="240"/>
        <w:jc w:val="left"/>
      </w:pPr>
      <w:r>
        <w:rPr>
          <w:rFonts w:ascii="Times New Roman" w:hAnsi="Times New Roman"/>
          <w:b/>
          <w:sz w:val="24"/>
        </w:rPr>
        <w:t>5.5 | Limitations</w:t>
      </w:r>
    </w:p>
    <w:p>
      <w:pPr>
        <w:spacing w:after="240" w:line="480" w:lineRule="auto"/>
        <w:jc w:val="both"/>
      </w:pPr>
      <w:r>
        <w:rPr>
          <w:rFonts w:ascii="Times New Roman" w:hAnsi="Times New Roman"/>
          <w:b w:val="0"/>
          <w:i w:val="0"/>
          <w:sz w:val="24"/>
        </w:rPr>
        <w:t>This study presents four principal limitations that should be declared with precision. First, the resolution of ERA5-Land (~9 km) generates pixel collision between nearby stations: 5 grid cells host 2 stations each (10 of 21 stations affected; full mapping in Table S8). This prevents estimation of the vertical lapse rate from the reanalysis product (only the INAMHI in-situ value −8.24 °C km⁻¹ is therefore reported), and it implies that ERA5-Land temperatures are used here as grid-cell climatologies in complex terrain and should not be interpreted as direct point-scale station climatologies; the corresponding trends and climatologies must be interpreted as regional grid-cell signals rather than 21 independent station observations; per-station counts are reported alongside the 16-pixel aggregation throughout §4 and §5 for traceability. Second, the observational TerraClimate PET trend loses significance when MMK Hamed-Rao is applied due to elevated serial autocorrelation, and the result is reserved for supplementary material with explicit caveat. Third, the MOD16A2GF product covers only 2001–2024, a shorter period than the rest of the analysis, and its trends do not survive the FDR-BH correction; it is reported only as directional consistency. Fourth, the CMIP6 ensemble used is bias-adjusted and by construction reduces absolute dispersion with respect to the raw ensemble; the contrast with observations is therefore performed in terms of sign and relative magnitude, not as closed validation. A fifth consideration transparently declares the result of the observational extension process attempted: following a formal request to INAMHI, a package of six hourly records (M0001, M0105, M0162, M1217, M1240, M5280) was obtained, on which a physical consistency diagnostic was applied (temperature and pressure ranges, sentinel-value detection, coherence between observed pressure and catalogued elevation). This analysis showed that M0105 Otavalo and M1240 Ibarra-INAMHI correspond to the two stations already integrated into the 2014–2025 block; M0162, M1217 and M5280 present physical signatures (T mean ≈ 25 °C, atmospheric pressure ≈ 1,000 hPa) characteristic of the Ecuadorian coast and not of the interandean valley, so they are outside the study area and are not incorporated; and the nominal 2006–2026 record of M0001 Inguincho contains uniform sentinel values until 2022, signs of out-of-calibration or out-of-location sensor during 2023–2024 (mean pressure 900 hPa incompatible with the catalogued elevation of 3,140 m; thermal maxima above 30 °C), and operational stabilisation from 2025 with an effective window shorter than twelve months, insufficient for trend analysis and therefore not incorporated into the principal analysis. The original files, diagnostic tables and annual operation report are deposited in the associated Zenodo repository (folder 06_due_diligence_INAMHI_2006_2025). Future incorporation of M0001 Inguincho as an in-situ series will require at least five additional years of stable record and is part of the planned follow-up work; integration of dynamic regional models (CORDEX-SA) over Imbabura is similarly pending.</w:t>
      </w:r>
    </w:p>
    <w:p>
      <w:pPr>
        <w:spacing w:before="360" w:after="240"/>
        <w:jc w:val="left"/>
      </w:pPr>
      <w:r>
        <w:rPr>
          <w:rFonts w:ascii="Times New Roman" w:hAnsi="Times New Roman"/>
          <w:b/>
          <w:sz w:val="28"/>
        </w:rPr>
        <w:t>6 | CONCLUSIONS</w:t>
      </w:r>
    </w:p>
    <w:p>
      <w:pPr>
        <w:spacing w:after="240" w:line="480" w:lineRule="auto"/>
        <w:jc w:val="both"/>
      </w:pPr>
      <w:r>
        <w:rPr>
          <w:rFonts w:ascii="Times New Roman" w:hAnsi="Times New Roman"/>
          <w:b w:val="0"/>
          <w:i w:val="0"/>
          <w:sz w:val="24"/>
        </w:rPr>
        <w:t>The results presented quantify the hydroclimatic evolution of Imbabura Province over a 44-year window and project it to mid-century. Across the 16 independent ERA5-Land ~9-km grid cells that span the 21 INAMHI station locations, 14 (88 %) present a statistically significant warming signal during 1981–2025, with median Theil-Sen slope of +0.112 °C decade⁻¹ and accumulated regional warming of approximately +0.49 °C over 44 years (per-station equivalents: 19 of 21 significant; +0.52 °C in 44 years). This signal is regional in nature and should not be construed as 21 independent station-level observations. CHIRPS annual precipitation increases at one third of the stations without systematic regional change, and daily and weekly extremes intensify consistently across the entire study area. The teleconnection with the El Niño–Southern Oscillation is negative and significant at all 21 stations with dominant lag of 3 months, accompanied by an exploratory decadal mode identified by wavelet coherence whose interpretation requires longer series.</w:t>
      </w:r>
    </w:p>
    <w:p>
      <w:pPr>
        <w:spacing w:after="240" w:line="480" w:lineRule="auto"/>
        <w:jc w:val="both"/>
      </w:pPr>
      <w:r>
        <w:rPr>
          <w:rFonts w:ascii="Times New Roman" w:hAnsi="Times New Roman"/>
          <w:b w:val="0"/>
          <w:i w:val="0"/>
          <w:sz w:val="24"/>
        </w:rPr>
        <w:t>CMIP6 projections for Imbabura indicate warming of +1.1 to +2.1 °C by 2041–2070 depending on the SSP, with 100 % agreement among the ten GCMs used and a signature of amplification with elevation consistent in sign across scenarios. Projected precipitation increases modestly (+5 to +8 %) and evaporative demand grows between +3 and +7 %. The combination of these factors configures a future regime of greater seasonal stress in the low valleys and vertical migration of mountain ecosystems. The results provide a traceable hydroclimatic baseline for the province and support consideration of the projected elevation-dependent warming signal in regional adaptation planning, while recognising that the magnitude of the altitudinal amplification remains modest and model-scale dependent, as well as the need to maintain and expand the interandean meteorological network to capture the response of these systems in the coming decades.</w:t>
      </w:r>
    </w:p>
    <w:p>
      <w:pPr>
        <w:spacing w:before="360" w:after="240"/>
        <w:jc w:val="left"/>
      </w:pPr>
      <w:r>
        <w:rPr>
          <w:rFonts w:ascii="Times New Roman" w:hAnsi="Times New Roman"/>
          <w:b/>
          <w:sz w:val="28"/>
        </w:rPr>
        <w:t>ACKNOWLEDGMENTS</w:t>
      </w:r>
    </w:p>
    <w:p>
      <w:pPr>
        <w:spacing w:after="240" w:line="480" w:lineRule="auto"/>
        <w:jc w:val="both"/>
      </w:pPr>
      <w:r>
        <w:rPr>
          <w:rFonts w:ascii="Times New Roman" w:hAnsi="Times New Roman"/>
          <w:b w:val="0"/>
          <w:i w:val="0"/>
          <w:sz w:val="24"/>
        </w:rPr>
        <w:t>The author thanks the National Institute of Meteorology and Hydrology of Ecuador (INAMHI) for the public availability of the 1994–2013 Meteorological Yearbooks. Acknowledgement is given to the use of CHIRPS data (Climate Hazards Center, University of California Santa Barbara), ERA5-Land (ECMWF Copernicus Climate Change Service), TerraClimate (Oregon State University), and MOD16A2GF (NASA Earth Data), as well as access to the Google Earth Engine platform. The BASD-CMIP6-PE product was developed by the Potsdam Institute for Climate Impact Research.</w:t>
      </w:r>
    </w:p>
    <w:p>
      <w:pPr>
        <w:spacing w:before="360" w:after="240"/>
        <w:jc w:val="left"/>
      </w:pPr>
      <w:r>
        <w:rPr>
          <w:rFonts w:ascii="Times New Roman" w:hAnsi="Times New Roman"/>
          <w:b/>
          <w:sz w:val="28"/>
        </w:rPr>
        <w:t>CONFLICT OF INTEREST STATEMENT</w:t>
      </w:r>
    </w:p>
    <w:p>
      <w:pPr>
        <w:spacing w:after="240" w:line="480" w:lineRule="auto"/>
        <w:jc w:val="both"/>
      </w:pPr>
      <w:r>
        <w:rPr>
          <w:rFonts w:ascii="Times New Roman" w:hAnsi="Times New Roman"/>
          <w:b w:val="0"/>
          <w:i w:val="0"/>
          <w:sz w:val="24"/>
        </w:rPr>
        <w:t>The author declares no conflict of interest.</w:t>
      </w:r>
    </w:p>
    <w:p>
      <w:pPr>
        <w:spacing w:before="360" w:after="240"/>
        <w:jc w:val="left"/>
      </w:pPr>
      <w:r>
        <w:rPr>
          <w:rFonts w:ascii="Times New Roman" w:hAnsi="Times New Roman"/>
          <w:b/>
          <w:sz w:val="28"/>
        </w:rPr>
        <w:t>FUNDING STATEMENT</w:t>
      </w:r>
    </w:p>
    <w:p>
      <w:pPr>
        <w:spacing w:after="240" w:line="480" w:lineRule="auto"/>
        <w:jc w:val="both"/>
      </w:pPr>
      <w:r>
        <w:rPr>
          <w:rFonts w:ascii="Times New Roman" w:hAnsi="Times New Roman"/>
          <w:b w:val="0"/>
          <w:i w:val="0"/>
          <w:sz w:val="24"/>
        </w:rPr>
        <w:t>This research did not receive any specific grant from funding agencies in the public, commercial, or not-for-profit sectors.</w:t>
      </w:r>
    </w:p>
    <w:p>
      <w:pPr>
        <w:spacing w:before="360" w:after="240"/>
        <w:jc w:val="left"/>
      </w:pPr>
      <w:r>
        <w:rPr>
          <w:rFonts w:ascii="Times New Roman" w:hAnsi="Times New Roman"/>
          <w:b/>
          <w:sz w:val="28"/>
        </w:rPr>
        <w:t>AUTHOR CONTRIBUTIONS</w:t>
      </w:r>
    </w:p>
    <w:p>
      <w:pPr>
        <w:spacing w:after="240" w:line="480" w:lineRule="auto"/>
        <w:jc w:val="both"/>
      </w:pPr>
      <w:r>
        <w:rPr>
          <w:rFonts w:ascii="Times New Roman" w:hAnsi="Times New Roman"/>
          <w:b w:val="0"/>
          <w:i w:val="0"/>
          <w:sz w:val="24"/>
        </w:rPr>
        <w:t>Víctor Hugo Pinto-Páez: Conceptualisation, Methodology, Software, Formal analysis, Investigation, Data curation, Writing – original draft, Writing – review &amp; editing, Visualisation. The author is the sole researcher of this study.</w:t>
      </w:r>
    </w:p>
    <w:p>
      <w:pPr>
        <w:spacing w:before="360" w:after="240"/>
        <w:jc w:val="left"/>
      </w:pPr>
      <w:r>
        <w:rPr>
          <w:rFonts w:ascii="Times New Roman" w:hAnsi="Times New Roman"/>
          <w:b/>
          <w:sz w:val="28"/>
        </w:rPr>
        <w:t>DATA AVAILABILITY STATEMENT</w:t>
      </w:r>
    </w:p>
    <w:p>
      <w:pPr>
        <w:spacing w:after="240" w:line="480" w:lineRule="auto"/>
        <w:jc w:val="both"/>
      </w:pPr>
      <w:r>
        <w:rPr>
          <w:rFonts w:ascii="Times New Roman" w:hAnsi="Times New Roman"/>
          <w:b w:val="0"/>
          <w:i w:val="0"/>
          <w:sz w:val="24"/>
        </w:rPr>
        <w:t>Processed datasets, derived analytical products, code metadata, and figure-ready outputs are archived at Zenodo (concept DOI: https://doi.org/10.5281/zenodo.19821757), while original INAMHI records remain subject to institutional access conditions. The repository contains the processed monthly derivatives used in the analyses, the quality-controlled aggregations and the metadata required to reproduce the workflow. The original INAMHI hourly records, obtained through formal request from the Instituto Nacional de Meteorología e Hidrología (INAMHI, Ecuador), are not redistributed beyond what INAMHI permits; researchers requiring access to those original raw records should address the formal request directly to INAMHI. CHIRPS v2.0 data are available at https://www.chc.ucsb.edu/data/chirps; ERA5-Land at https://cds.climate.copernicus.eu; TerraClimate at https://www.climatologylab.org/terraclimate.html; MOD16A2GF (NASA EarthData; dataset DOI: 10.5067/MODIS/MOD16A2GF.061); and BASD-CMIP6-PE (https://doi.org/10.5880/pik.2019.004). The ONI index was obtained from the Climate Prediction Center (https://www.cpc.ncep.noaa.gov/data/indices/oni.ascii.txt). The integrity of the 20 INAMHI yearbooks processed is verified via the SHA-256 hashes listed in Table S1.</w:t>
      </w:r>
    </w:p>
    <w:p>
      <w:pPr>
        <w:spacing w:before="360" w:after="240"/>
        <w:jc w:val="left"/>
      </w:pPr>
      <w:r>
        <w:rPr>
          <w:rFonts w:ascii="Times New Roman" w:hAnsi="Times New Roman"/>
          <w:b/>
          <w:sz w:val="28"/>
        </w:rPr>
        <w:t>SUPPORTING INFORMATION</w:t>
      </w:r>
    </w:p>
    <w:p>
      <w:pPr>
        <w:spacing w:after="240" w:line="480" w:lineRule="auto"/>
        <w:jc w:val="both"/>
      </w:pPr>
      <w:r>
        <w:rPr>
          <w:rFonts w:ascii="Times New Roman" w:hAnsi="Times New Roman"/>
          <w:b w:val="0"/>
          <w:i w:val="0"/>
          <w:sz w:val="24"/>
        </w:rPr>
        <w:t>Additional supporting information is provided in the online version of this article. The material is organised as a single supporting file (“Supporting Information”) and is referenced in the main text at the appropriate points (for example, “as shown in Figure S1”). The content is as follows:</w:t>
      </w:r>
    </w:p>
    <w:p>
      <w:pPr>
        <w:spacing w:after="120" w:line="360" w:lineRule="auto"/>
      </w:pPr>
      <w:r>
        <w:rPr>
          <w:rFonts w:ascii="Times New Roman" w:hAnsi="Times New Roman"/>
          <w:b/>
          <w:sz w:val="22"/>
        </w:rPr>
        <w:t>Figure S1.</w:t>
      </w:r>
      <w:r>
        <w:rPr>
          <w:rFonts w:ascii="Times New Roman" w:hAnsi="Times New Roman"/>
          <w:sz w:val="22"/>
        </w:rPr>
        <w:t xml:space="preserve"> Temporal coverage (heatmap) of the monthly INAMHI records for the 21 stations, 1994–2013.</w:t>
      </w:r>
    </w:p>
    <w:p>
      <w:pPr>
        <w:spacing w:after="120" w:line="360" w:lineRule="auto"/>
      </w:pPr>
      <w:r>
        <w:rPr>
          <w:rFonts w:ascii="Times New Roman" w:hAnsi="Times New Roman"/>
          <w:b/>
          <w:sz w:val="22"/>
        </w:rPr>
        <w:t>Figure S2.</w:t>
      </w:r>
      <w:r>
        <w:rPr>
          <w:rFonts w:ascii="Times New Roman" w:hAnsi="Times New Roman"/>
          <w:sz w:val="22"/>
        </w:rPr>
        <w:t xml:space="preserve"> Monthly WMO 1991–2020 climatology of CHIRPS precipitation by altitudinal band.</w:t>
      </w:r>
    </w:p>
    <w:p>
      <w:pPr>
        <w:spacing w:after="120" w:line="360" w:lineRule="auto"/>
      </w:pPr>
      <w:r>
        <w:rPr>
          <w:rFonts w:ascii="Times New Roman" w:hAnsi="Times New Roman"/>
          <w:b/>
          <w:sz w:val="22"/>
        </w:rPr>
        <w:t>Figure S3.</w:t>
      </w:r>
      <w:r>
        <w:rPr>
          <w:rFonts w:ascii="Times New Roman" w:hAnsi="Times New Roman"/>
          <w:sz w:val="22"/>
        </w:rPr>
        <w:t xml:space="preserve"> Mann-Kendall trends and Theil-Sen slope for Tmax and Tmin (ERA5-Land 1981–2025).</w:t>
      </w:r>
    </w:p>
    <w:p>
      <w:pPr>
        <w:spacing w:after="120" w:line="360" w:lineRule="auto"/>
      </w:pPr>
      <w:r>
        <w:rPr>
          <w:rFonts w:ascii="Times New Roman" w:hAnsi="Times New Roman"/>
          <w:b/>
          <w:sz w:val="22"/>
        </w:rPr>
        <w:t>Figure S4.</w:t>
      </w:r>
      <w:r>
        <w:rPr>
          <w:rFonts w:ascii="Times New Roman" w:hAnsi="Times New Roman"/>
          <w:sz w:val="22"/>
        </w:rPr>
        <w:t xml:space="preserve"> Mann-Kendall trends and Theil-Sen slope for relative humidity and PET.</w:t>
      </w:r>
    </w:p>
    <w:p>
      <w:pPr>
        <w:spacing w:after="120" w:line="360" w:lineRule="auto"/>
      </w:pPr>
      <w:r>
        <w:rPr>
          <w:rFonts w:ascii="Times New Roman" w:hAnsi="Times New Roman"/>
          <w:b/>
          <w:sz w:val="22"/>
        </w:rPr>
        <w:t>Figure S5.</w:t>
      </w:r>
      <w:r>
        <w:rPr>
          <w:rFonts w:ascii="Times New Roman" w:hAnsi="Times New Roman"/>
          <w:sz w:val="22"/>
        </w:rPr>
        <w:t xml:space="preserve"> Mann-Kendall trend and Theil-Sen slope of PDSI (TerraClimate 1981–2024).</w:t>
      </w:r>
    </w:p>
    <w:p>
      <w:pPr>
        <w:spacing w:after="120" w:line="360" w:lineRule="auto"/>
      </w:pPr>
      <w:r>
        <w:rPr>
          <w:rFonts w:ascii="Times New Roman" w:hAnsi="Times New Roman"/>
          <w:b/>
          <w:sz w:val="22"/>
        </w:rPr>
        <w:t>Figure S6.</w:t>
      </w:r>
      <w:r>
        <w:rPr>
          <w:rFonts w:ascii="Times New Roman" w:hAnsi="Times New Roman"/>
          <w:sz w:val="22"/>
        </w:rPr>
        <w:t xml:space="preserve"> Distribution of PDSI during ENSO phases (Niño, Neutral, Niña) by altitudinal band.</w:t>
      </w:r>
    </w:p>
    <w:p>
      <w:pPr>
        <w:spacing w:after="120" w:line="360" w:lineRule="auto"/>
      </w:pPr>
      <w:r>
        <w:rPr>
          <w:rFonts w:ascii="Times New Roman" w:hAnsi="Times New Roman"/>
          <w:b/>
          <w:sz w:val="22"/>
        </w:rPr>
        <w:t>Figure S7.</w:t>
      </w:r>
      <w:r>
        <w:rPr>
          <w:rFonts w:ascii="Times New Roman" w:hAnsi="Times New Roman"/>
          <w:sz w:val="22"/>
        </w:rPr>
        <w:t xml:space="preserve"> Taylor diagram of the BASD-CMIP6-PE ensemble vs. ERA5-Land/CHIRPS, 1991–2010.</w:t>
      </w:r>
    </w:p>
    <w:p>
      <w:pPr>
        <w:spacing w:after="120" w:line="360" w:lineRule="auto"/>
      </w:pPr>
      <w:r>
        <w:rPr>
          <w:rFonts w:ascii="Times New Roman" w:hAnsi="Times New Roman"/>
          <w:b/>
          <w:sz w:val="22"/>
        </w:rPr>
        <w:t>Figure S8.</w:t>
      </w:r>
      <w:r>
        <w:rPr>
          <w:rFonts w:ascii="Times New Roman" w:hAnsi="Times New Roman"/>
          <w:sz w:val="22"/>
        </w:rPr>
        <w:t xml:space="preserve"> GEV return levels for Rx1day and Rx5day (CHIRPS daily).</w:t>
      </w:r>
    </w:p>
    <w:p>
      <w:pPr>
        <w:spacing w:after="120" w:line="360" w:lineRule="auto"/>
      </w:pPr>
      <w:r>
        <w:rPr>
          <w:rFonts w:ascii="Times New Roman" w:hAnsi="Times New Roman"/>
          <w:b/>
          <w:sz w:val="22"/>
        </w:rPr>
        <w:t>Figure S9.</w:t>
      </w:r>
      <w:r>
        <w:rPr>
          <w:rFonts w:ascii="Times New Roman" w:hAnsi="Times New Roman"/>
          <w:sz w:val="22"/>
        </w:rPr>
        <w:t xml:space="preserve"> MOD16A2GF PET and ET trends by altitudinal band, 2001–2024.</w:t>
      </w:r>
    </w:p>
    <w:p>
      <w:pPr>
        <w:spacing w:after="120" w:line="360" w:lineRule="auto"/>
      </w:pPr>
      <w:r>
        <w:rPr>
          <w:rFonts w:ascii="Times New Roman" w:hAnsi="Times New Roman"/>
          <w:b/>
          <w:sz w:val="22"/>
        </w:rPr>
        <w:t>Figure S10.</w:t>
      </w:r>
      <w:r>
        <w:rPr>
          <w:rFonts w:ascii="Times New Roman" w:hAnsi="Times New Roman"/>
          <w:sz w:val="22"/>
        </w:rPr>
        <w:t xml:space="preserve"> ETCCDI indices (Rx1day, Rx5day, R95p, CDD, PRCPTOT) over CHIRPS daily.</w:t>
      </w:r>
    </w:p>
    <w:p>
      <w:pPr>
        <w:spacing w:after="120" w:line="360" w:lineRule="auto"/>
      </w:pPr>
      <w:r>
        <w:rPr>
          <w:rFonts w:ascii="Times New Roman" w:hAnsi="Times New Roman"/>
          <w:b/>
          <w:sz w:val="22"/>
        </w:rPr>
        <w:t>Figure S11.</w:t>
      </w:r>
      <w:r>
        <w:rPr>
          <w:rFonts w:ascii="Times New Roman" w:hAnsi="Times New Roman"/>
          <w:sz w:val="22"/>
        </w:rPr>
        <w:t xml:space="preserve"> Wavelet coherence between ONI and CHIRPS regional PRCPTOT.</w:t>
      </w:r>
    </w:p>
    <w:p>
      <w:pPr>
        <w:spacing w:after="120" w:line="360" w:lineRule="auto"/>
      </w:pPr>
      <w:r>
        <w:rPr>
          <w:rFonts w:ascii="Times New Roman" w:hAnsi="Times New Roman"/>
          <w:b/>
          <w:sz w:val="22"/>
        </w:rPr>
        <w:t>Figure S12.</w:t>
      </w:r>
      <w:r>
        <w:rPr>
          <w:rFonts w:ascii="Times New Roman" w:hAnsi="Times New Roman"/>
          <w:sz w:val="22"/>
        </w:rPr>
        <w:t xml:space="preserve"> EDW signal by SSP scenario in CMIP6 projections 2041–2070.</w:t>
      </w:r>
    </w:p>
    <w:p>
      <w:pPr>
        <w:spacing w:after="120" w:line="360" w:lineRule="auto"/>
      </w:pPr>
      <w:r>
        <w:rPr>
          <w:rFonts w:ascii="Times New Roman" w:hAnsi="Times New Roman"/>
          <w:b/>
          <w:sz w:val="22"/>
        </w:rPr>
        <w:t>Table S1.</w:t>
      </w:r>
      <w:r>
        <w:rPr>
          <w:rFonts w:ascii="Times New Roman" w:hAnsi="Times New Roman"/>
          <w:sz w:val="22"/>
        </w:rPr>
        <w:t xml:space="preserve"> Complete catalogue of the 21 stations (coordinates, elevation, shared ERA5 pixel, SHA-256 hashes of the 20 INAMHI yearbooks).</w:t>
      </w:r>
    </w:p>
    <w:p>
      <w:pPr>
        <w:spacing w:after="120" w:line="360" w:lineRule="auto"/>
      </w:pPr>
      <w:r>
        <w:rPr>
          <w:rFonts w:ascii="Times New Roman" w:hAnsi="Times New Roman"/>
          <w:b/>
          <w:sz w:val="22"/>
        </w:rPr>
        <w:t>Table S2.</w:t>
      </w:r>
      <w:r>
        <w:rPr>
          <w:rFonts w:ascii="Times New Roman" w:hAnsi="Times New Roman"/>
          <w:sz w:val="22"/>
        </w:rPr>
        <w:t xml:space="preserve"> DEM vs. CMIP6 interpolation verification on 170 cells of the provincial territory.</w:t>
      </w:r>
    </w:p>
    <w:p>
      <w:pPr>
        <w:spacing w:after="120" w:line="360" w:lineRule="auto"/>
      </w:pPr>
      <w:r>
        <w:rPr>
          <w:rFonts w:ascii="Times New Roman" w:hAnsi="Times New Roman"/>
          <w:b/>
          <w:sz w:val="22"/>
        </w:rPr>
        <w:t>Table S3.</w:t>
      </w:r>
      <w:r>
        <w:rPr>
          <w:rFonts w:ascii="Times New Roman" w:hAnsi="Times New Roman"/>
          <w:sz w:val="22"/>
        </w:rPr>
        <w:t xml:space="preserve"> Complete WMO 1991–2020 climatology by station.</w:t>
      </w:r>
    </w:p>
    <w:p>
      <w:pPr>
        <w:spacing w:after="120" w:line="360" w:lineRule="auto"/>
      </w:pPr>
      <w:r>
        <w:rPr>
          <w:rFonts w:ascii="Times New Roman" w:hAnsi="Times New Roman"/>
          <w:b/>
          <w:sz w:val="22"/>
        </w:rPr>
        <w:t>Table S4.</w:t>
      </w:r>
      <w:r>
        <w:rPr>
          <w:rFonts w:ascii="Times New Roman" w:hAnsi="Times New Roman"/>
          <w:sz w:val="22"/>
        </w:rPr>
        <w:t xml:space="preserve"> Sensitivity analysis of ENSO lag over the INAMHI 1994–2013 subperiod.</w:t>
      </w:r>
    </w:p>
    <w:p>
      <w:pPr>
        <w:spacing w:after="120" w:line="360" w:lineRule="auto"/>
      </w:pPr>
      <w:r>
        <w:rPr>
          <w:rFonts w:ascii="Times New Roman" w:hAnsi="Times New Roman"/>
          <w:b/>
          <w:sz w:val="22"/>
        </w:rPr>
        <w:t>Table S5.</w:t>
      </w:r>
      <w:r>
        <w:rPr>
          <w:rFonts w:ascii="Times New Roman" w:hAnsi="Times New Roman"/>
          <w:sz w:val="22"/>
        </w:rPr>
        <w:t xml:space="preserve"> Complete GEV fits (parameters and return levels) for Rx1day and Rx5day.</w:t>
      </w:r>
    </w:p>
    <w:p>
      <w:pPr>
        <w:spacing w:after="120" w:line="360" w:lineRule="auto"/>
      </w:pPr>
      <w:r>
        <w:rPr>
          <w:rFonts w:ascii="Times New Roman" w:hAnsi="Times New Roman"/>
          <w:b/>
          <w:sz w:val="22"/>
        </w:rPr>
        <w:t>Table S6.</w:t>
      </w:r>
      <w:r>
        <w:rPr>
          <w:rFonts w:ascii="Times New Roman" w:hAnsi="Times New Roman"/>
          <w:sz w:val="22"/>
        </w:rPr>
        <w:t xml:space="preserve"> SNHT homogeneity results by station.</w:t>
      </w:r>
    </w:p>
    <w:p>
      <w:pPr>
        <w:spacing w:after="120" w:line="360" w:lineRule="auto"/>
      </w:pPr>
      <w:r>
        <w:rPr>
          <w:rFonts w:ascii="Times New Roman" w:hAnsi="Times New Roman"/>
          <w:b/>
          <w:sz w:val="22"/>
        </w:rPr>
        <w:t>Table S7.</w:t>
      </w:r>
      <w:r>
        <w:rPr>
          <w:rFonts w:ascii="Times New Roman" w:hAnsi="Times New Roman"/>
          <w:sz w:val="22"/>
        </w:rPr>
        <w:t xml:space="preserve"> FDR-BH correction by variable group and altitudinal band (588 tests).</w:t>
      </w:r>
    </w:p>
    <w:p>
      <w:pPr>
        <w:spacing w:before="360" w:after="240"/>
        <w:jc w:val="left"/>
      </w:pPr>
      <w:r>
        <w:rPr>
          <w:rFonts w:ascii="Times New Roman" w:hAnsi="Times New Roman"/>
          <w:b/>
          <w:sz w:val="28"/>
        </w:rPr>
        <w:t>APPENDIX A. METHODOLOGICAL NOTES</w:t>
      </w:r>
    </w:p>
    <w:p>
      <w:pPr>
        <w:spacing w:before="240" w:after="240"/>
        <w:jc w:val="left"/>
      </w:pPr>
      <w:r>
        <w:rPr>
          <w:rFonts w:ascii="Times New Roman" w:hAnsi="Times New Roman"/>
          <w:b/>
          <w:sz w:val="24"/>
        </w:rPr>
        <w:t>A1. Thermal Lapse-Rate Bootstrap</w:t>
      </w:r>
    </w:p>
    <w:p>
      <w:pPr>
        <w:spacing w:after="240" w:line="480" w:lineRule="auto"/>
        <w:jc w:val="both"/>
      </w:pPr>
      <w:r>
        <w:rPr>
          <w:rFonts w:ascii="Times New Roman" w:hAnsi="Times New Roman"/>
          <w:b w:val="0"/>
          <w:i w:val="0"/>
          <w:sz w:val="24"/>
        </w:rPr>
        <w:t>The 95 % confidence interval of the INAMHI thermal lapse rate was calculated via non-parametric bootstrap with 1,000 replicates and replacement sampling (random seed = 42) over the seven climatological stations with complete thermal records: M0001 Inguincho (3,140 m, T_mean = 10.23 °C), M0103 San Gabriel (2,860 m, 11.53 °C), M0105 Otavalo (2,550 m, 13.16 °C), M0107 Cahuasquí-FAO (2,335 m, 16.45 °C), M0104 Mira-FAO (2,275 m, 16.32 °C), M1240 Ibarra-INAMHI (2,247 m, 16.84 °C), and M0086 San Vicente de Pusir (1,891 m, 20.32 °C). For M1240, the 1994–2013 documentary record was quality-controlled following the QC1_RANGO, QC2_CONSISTENCIA and QC3_PERSISTENCIA tests described in §3.2, retaining the ten months with CALIDAD_FINAL = A (T_mean = 16.84 °C); two months (June and September 2013) failed QC1_RANGO and QC2_CONSISTENCIA due to evident digitisation errors in the source yearbook (recorded as 97.0 °C and 98.0 °C, respectively, in pages 146–147 of the INAMHI 2013 Yearbook) and were flagged as CALIDAD_FINAL = D and excluded. Traceability: TEMPERATURA_IMBABURA_1994_2013_QC.csv in the Zenodo repository. The ordinary least-squares fit over the seven (elevation, T_mean) pairs yields a slope of −8.24 °C km⁻¹ and R² = 0.966 (p = 7.5 × 10⁻⁵). For each bootstrap replicate, seven (elevation, T_mean) pairs were drawn with replacement and an OLS fit was computed; the median of the 1,000 slopes is −8.22 °C km⁻¹ and the 2.5th and 97.5th percentiles define the 95 % confidence interval of [−10.87, −6.99] °C km⁻¹. The lower bound (−10.87 °C km⁻¹) slightly exceeds the dry adiabatic lapse rate (≈ −9.8 °C km⁻¹) and must be interpreted as an envelope of uncertainty associated with the small sample size (n = 7) and the sensitivity of the fit to the exclusion of one or two extreme stations of the gradient, not as a physically attainable value. The central point estimate (−8.24 °C km⁻¹; R² = 0.966) is physically plausible and falls within the typical range of tropical Andean ranges. The procedure was implemented with scipy.stats.linregress; complete numerical results and the reproducibility JSON are archived in the Zenodo repository.</w:t>
      </w:r>
    </w:p>
    <w:p>
      <w:pPr>
        <w:spacing w:before="360" w:after="240"/>
        <w:jc w:val="left"/>
      </w:pPr>
      <w:r>
        <w:rPr>
          <w:rFonts w:ascii="Times New Roman" w:hAnsi="Times New Roman"/>
          <w:b/>
          <w:sz w:val="28"/>
        </w:rPr>
        <w:t>REFERENCES</w:t>
      </w:r>
    </w:p>
    <w:p>
      <w:pPr>
        <w:spacing w:after="120" w:line="276" w:lineRule="auto"/>
        <w:ind w:left="567" w:hanging="567"/>
        <w:jc w:val="both"/>
      </w:pPr>
      <w:r>
        <w:rPr>
          <w:rFonts w:ascii="Times New Roman" w:hAnsi="Times New Roman"/>
          <w:sz w:val="22"/>
        </w:rPr>
        <w:t>Abatzoglou, J. T., Dobrowski, S. Z., Parks, S. A., &amp; Hegewisch, K. C. (2018). TerraClimate, a high-resolution global dataset of monthly climate and climatic water balance from 1958–2015. Scientific Data, 5, 170191. https://doi.org/10.1038/sdata.2017.191</w:t>
      </w:r>
    </w:p>
    <w:p>
      <w:pPr>
        <w:spacing w:after="120" w:line="276" w:lineRule="auto"/>
        <w:ind w:left="567" w:hanging="567"/>
        <w:jc w:val="both"/>
      </w:pPr>
      <w:r>
        <w:rPr>
          <w:rFonts w:ascii="Times New Roman" w:hAnsi="Times New Roman"/>
          <w:sz w:val="22"/>
        </w:rPr>
        <w:t>Aceituno, P., Prieto, M. del R., Solari, M. E., Martínez, A., Poveda, G., &amp; Falvey, M. (2008). The 1877-1878 El Niño episode: associated impacts in South America. Climatic Change, 92(3-4), 389-416. https://doi.org/10.1007/s10584-008-9470-5</w:t>
      </w:r>
    </w:p>
    <w:p>
      <w:pPr>
        <w:spacing w:after="120" w:line="276" w:lineRule="auto"/>
        <w:ind w:left="567" w:hanging="567"/>
        <w:jc w:val="both"/>
      </w:pPr>
      <w:r>
        <w:rPr>
          <w:rFonts w:ascii="Times New Roman" w:hAnsi="Times New Roman"/>
          <w:sz w:val="22"/>
        </w:rPr>
        <w:t>Alexandersson, H. (1986). A homogeneity test applied to precipitation data. Journal of Climatology, 6(6), 661-675. https://doi.org/10.1002/joc.3370060607</w:t>
      </w:r>
    </w:p>
    <w:p>
      <w:pPr>
        <w:spacing w:after="120" w:line="276" w:lineRule="auto"/>
        <w:ind w:left="567" w:hanging="567"/>
        <w:jc w:val="both"/>
      </w:pPr>
      <w:r>
        <w:rPr>
          <w:rFonts w:ascii="Times New Roman" w:hAnsi="Times New Roman"/>
          <w:sz w:val="22"/>
        </w:rPr>
        <w:t>Aravena, J. C., &amp; Luckman, B. H. (2009). Spatio-temporal rainfall patterns in southern South America. International Journal of Climatology, 29(14), 2106-2120. https://doi.org/10.1002/joc.1761</w:t>
      </w:r>
    </w:p>
    <w:p>
      <w:pPr>
        <w:spacing w:after="120" w:line="276" w:lineRule="auto"/>
        <w:ind w:left="567" w:hanging="567"/>
        <w:jc w:val="both"/>
      </w:pPr>
      <w:r>
        <w:rPr>
          <w:rFonts w:ascii="Times New Roman" w:hAnsi="Times New Roman"/>
          <w:sz w:val="22"/>
        </w:rPr>
        <w:t>Bendix, J. (2000). Precipitation dynamics in Ecuador and northern Peru during the 1991/92 El Niño: A remote sensing perspective. International Journal of Remote Sensing, 21(3), 533-548. https://doi.org/10.1080/014311600210731</w:t>
      </w:r>
    </w:p>
    <w:p>
      <w:pPr>
        <w:spacing w:after="120" w:line="276" w:lineRule="auto"/>
        <w:ind w:left="567" w:hanging="567"/>
        <w:jc w:val="both"/>
      </w:pPr>
      <w:r>
        <w:rPr>
          <w:rFonts w:ascii="Times New Roman" w:hAnsi="Times New Roman"/>
          <w:sz w:val="22"/>
        </w:rPr>
        <w:t>Benjamini, Y., &amp; Hochberg, Y. (1995). Controlling the false discovery rate: a practical and powerful approach to multiple testing. Journal of the Royal Statistical Society Series B, 57(1), 289-300. https://doi.org/10.1111/j.2517-6161.1995.tb02031.x</w:t>
      </w:r>
    </w:p>
    <w:p>
      <w:pPr>
        <w:spacing w:after="120" w:line="276" w:lineRule="auto"/>
        <w:ind w:left="567" w:hanging="567"/>
        <w:jc w:val="both"/>
      </w:pPr>
      <w:r>
        <w:rPr>
          <w:rFonts w:ascii="Times New Roman" w:hAnsi="Times New Roman" w:cs="Times New Roman"/>
          <w:sz w:val="22"/>
        </w:rPr>
        <w:t xml:space="preserve">Bradley, R. S., Vuille, M., Diaz, H. F., &amp; Vergara, W. (2006). Threats to Water Supplies in the Tropical Andes. Science, 312(5781), 1755-1756. https://doi.org/10.1126/science.1128087</w:t>
      </w:r>
    </w:p>
    <w:p>
      <w:pPr>
        <w:spacing w:after="120" w:line="276" w:lineRule="auto"/>
        <w:ind w:left="567" w:hanging="567"/>
        <w:jc w:val="both"/>
      </w:pPr>
      <w:r>
        <w:rPr>
          <w:rFonts w:ascii="Times New Roman" w:hAnsi="Times New Roman"/>
          <w:sz w:val="22"/>
        </w:rPr>
        <w:t>Cai, W., McPhaden, M. J., Grimm, A. M., Rodrigues, R. R., Taschetto, A. S., Garreaud, R. D., et al. (2020). Climate impacts of the El Niño–Southern Oscillation on South America. Nature Reviews Earth &amp; Environment, 1, 215-231. https://doi.org/10.1038/s43017-020-0040-3</w:t>
      </w:r>
    </w:p>
    <w:p>
      <w:pPr>
        <w:spacing w:after="120" w:line="276" w:lineRule="auto"/>
        <w:ind w:left="567" w:hanging="567"/>
        <w:jc w:val="both"/>
      </w:pPr>
      <w:r>
        <w:rPr>
          <w:rFonts w:ascii="Times New Roman" w:hAnsi="Times New Roman"/>
          <w:sz w:val="22"/>
        </w:rPr>
        <w:t>Contractor, S., Donat, M. G., &amp; Alexander, L. V. (2021). Changes in Observed Daily Precipitation over Global Land Areas since 1950. Journal of Climate, 34(1), 3-19. https://doi.org/10.1175/JCLI-D-19-0965.1</w:t>
      </w:r>
    </w:p>
    <w:p>
      <w:pPr>
        <w:spacing w:after="120" w:line="276" w:lineRule="auto"/>
        <w:ind w:left="567" w:hanging="567"/>
        <w:jc w:val="both"/>
      </w:pPr>
      <w:r>
        <w:rPr>
          <w:rFonts w:ascii="Times New Roman" w:hAnsi="Times New Roman"/>
          <w:sz w:val="22"/>
        </w:rPr>
        <w:t>da Motta Paca, V. H., Espinoza-Dávalos, G. E., Hessels, T. M., Moreira, D. M., Comair, G. F., &amp; Bastiaanssen, W. G. M. (2019). The spatial variability of actual evapotranspiration across the Amazon River Basin based on remote sensing products validated with flux towers. Ecological Processes, 8(1), 6. https://doi.org/10.1186/s13717-019-0158-8</w:t>
      </w:r>
    </w:p>
    <w:p>
      <w:pPr>
        <w:spacing w:after="120" w:line="276" w:lineRule="auto"/>
        <w:ind w:left="567" w:hanging="567"/>
        <w:jc w:val="both"/>
      </w:pPr>
      <w:r>
        <w:rPr>
          <w:rFonts w:ascii="Times New Roman" w:hAnsi="Times New Roman"/>
          <w:sz w:val="22"/>
        </w:rPr>
        <w:t>Dereczynski, C., Chan Chou, S., Lyra, A., Sondermann, M., Regoto, P., Tavares, P., Chagas, D., Gomes, J. L., Rodrigues, D. C., &amp; Skansi, M. de los M. (2020). Downscaling of climate extremes over South America – Part I: Model evaluation in the reference climate. Weather and Climate Extremes, 29, 100273. https://doi.org/10.1016/j.wace.2020.100273</w:t>
      </w:r>
    </w:p>
    <w:p>
      <w:pPr>
        <w:spacing w:after="120" w:line="276" w:lineRule="auto"/>
        <w:ind w:left="567" w:hanging="567"/>
        <w:jc w:val="both"/>
      </w:pPr>
      <w:r>
        <w:rPr>
          <w:rFonts w:ascii="Times New Roman" w:hAnsi="Times New Roman" w:cs="Times New Roman"/>
          <w:sz w:val="22"/>
        </w:rPr>
        <w:t xml:space="preserve">Donat, M. G., Lowry, A. L., Alexander, L. V., O'Gorman, P. A., &amp; Maher, N. (2016). More extreme precipitation in the world's dry and wet regions. Nature Climate Change, 6(5), 508-513. https://doi.org/10.1038/nclimate2941</w:t>
      </w:r>
    </w:p>
    <w:p>
      <w:pPr>
        <w:spacing w:after="120" w:line="276" w:lineRule="auto"/>
        <w:ind w:left="567" w:hanging="567"/>
        <w:jc w:val="both"/>
      </w:pPr>
      <w:r>
        <w:rPr>
          <w:rFonts w:ascii="Times New Roman" w:hAnsi="Times New Roman"/>
          <w:sz w:val="22"/>
        </w:rPr>
        <w:t>Díaz, L. B., Saurral, R. I., &amp; Vera, C. S. (2021). Assessment of South America summer rainfall climatology and trends in a set of global climate models. International Journal of Climatology, 41(S1), E59-E77. https://doi.org/10.1002/joc.6643</w:t>
      </w:r>
    </w:p>
    <w:p>
      <w:pPr>
        <w:spacing w:after="120" w:line="276" w:lineRule="auto"/>
        <w:ind w:left="567" w:hanging="567"/>
        <w:jc w:val="both"/>
      </w:pPr>
      <w:r>
        <w:rPr>
          <w:rFonts w:ascii="Times New Roman" w:hAnsi="Times New Roman"/>
          <w:sz w:val="22"/>
        </w:rPr>
        <w:t>Espinoza, J. C., Marengo, J. A., Ronchail, J., Molina-Carpio, J., Noriega, L. F., &amp; Guyot, J. L. (2014). The extreme 2014 flood in south-western Amazon basin: the role of tropical-subtropical South Atlantic SST gradient. Environmental Research Letters, 9(12), 124007. https://doi.org/10.1088/1748-9326/9/12/124007</w:t>
      </w:r>
    </w:p>
    <w:p>
      <w:pPr>
        <w:spacing w:after="120" w:line="276" w:lineRule="auto"/>
        <w:ind w:left="567" w:hanging="567"/>
        <w:jc w:val="both"/>
      </w:pPr>
      <w:r>
        <w:rPr>
          <w:rFonts w:ascii="Times New Roman" w:hAnsi="Times New Roman"/>
          <w:sz w:val="22"/>
        </w:rPr>
        <w:t>Espinoza Villar, J. C., Ronchail, J., Guyot, J. L., Cochonneau, G., Naziano, F., Lavado, W., et al. (2009). Spatio-temporal rainfall variability in the Amazon basin countries (Brazil, Peru, Bolivia, Colombia, and Ecuador). International Journal of Climatology, 29(11), 1574-1594. https://doi.org/10.1002/joc.1791</w:t>
      </w:r>
    </w:p>
    <w:p>
      <w:pPr>
        <w:spacing w:after="120" w:line="276" w:lineRule="auto"/>
        <w:ind w:left="567" w:hanging="567"/>
        <w:jc w:val="both"/>
      </w:pPr>
      <w:r>
        <w:rPr>
          <w:rFonts w:ascii="Times New Roman" w:hAnsi="Times New Roman"/>
          <w:sz w:val="22"/>
        </w:rPr>
        <w:t>Eyring, V., Bony, S., Meehl, G. A., Senior, C. A., Stevens, B., Stouffer, R. J., &amp; Taylor, K. E. (2016). Overview of the Coupled Model Intercomparison Project Phase 6 (CMIP6) experimental design and organization. Geoscientific Model Development, 9(5), 1937-1958. https://doi.org/10.5194/gmd-9-1937-2016</w:t>
      </w:r>
    </w:p>
    <w:p>
      <w:pPr>
        <w:spacing w:after="120" w:line="276" w:lineRule="auto"/>
        <w:ind w:left="567" w:hanging="567"/>
        <w:jc w:val="both"/>
      </w:pPr>
      <w:r>
        <w:rPr>
          <w:rFonts w:ascii="Times New Roman" w:hAnsi="Times New Roman"/>
          <w:sz w:val="22"/>
        </w:rPr>
        <w:t>Farr, T. G., Rosen, P. A., Caro, E., Crippen, R., Duren, R., Hensley, S., et al. (2007). The Shuttle Radar Topography Mission. Reviews of Geophysics, 45(2), RG2004. https://doi.org/10.1029/2005RG000183</w:t>
      </w:r>
    </w:p>
    <w:p>
      <w:pPr>
        <w:spacing w:after="120" w:line="276" w:lineRule="auto"/>
        <w:ind w:left="567" w:hanging="567"/>
        <w:jc w:val="both"/>
      </w:pPr>
      <w:r>
        <w:rPr>
          <w:rFonts w:ascii="Times New Roman" w:hAnsi="Times New Roman"/>
          <w:sz w:val="22"/>
        </w:rPr>
        <w:t>Funk, C., Peterson, P., Landsfeld, M., Pedreros, D., Verdin, J., Shukla, S., et al. (2015). The climate hazards infrared precipitation with stations—a new environmental record for monitoring extremes. Scientific Data, 2, 150066. https://doi.org/10.1038/sdata.2015.66</w:t>
      </w:r>
    </w:p>
    <w:p>
      <w:pPr>
        <w:spacing w:after="120" w:line="276" w:lineRule="auto"/>
        <w:ind w:left="567" w:hanging="567"/>
        <w:jc w:val="both"/>
      </w:pPr>
      <w:r>
        <w:rPr>
          <w:rFonts w:ascii="Times New Roman" w:hAnsi="Times New Roman"/>
          <w:sz w:val="22"/>
        </w:rPr>
        <w:t>Garreaud, R. D., &amp; Aceituno, P. (2001). Interannual rainfall variability over the South American Altiplano. Journal of Climate, 14(12), 2779-2789. https://doi.org/10.1175/1520-0442(2001)014&lt;2779:IRVOTS&gt;2.0.CO;2</w:t>
      </w:r>
    </w:p>
    <w:p>
      <w:pPr>
        <w:spacing w:after="120" w:line="276" w:lineRule="auto"/>
        <w:ind w:left="567" w:hanging="567"/>
        <w:jc w:val="both"/>
      </w:pPr>
      <w:r>
        <w:rPr>
          <w:rFonts w:ascii="Times New Roman" w:hAnsi="Times New Roman"/>
          <w:sz w:val="22"/>
        </w:rPr>
        <w:t>Hamed, K. H., &amp; Rao, A. R. (1998). A modified Mann-Kendall trend test for autocorrelated data. Journal of Hydrology, 204(1-4), 182-196. https://doi.org/10.1016/S0022-1694(97)00125-X</w:t>
      </w:r>
    </w:p>
    <w:p>
      <w:pPr>
        <w:spacing w:after="120" w:line="276" w:lineRule="auto"/>
        <w:ind w:left="567" w:hanging="567"/>
        <w:jc w:val="both"/>
      </w:pPr>
      <w:r>
        <w:rPr>
          <w:rFonts w:ascii="Times New Roman" w:hAnsi="Times New Roman"/>
          <w:sz w:val="22"/>
        </w:rPr>
        <w:t>Hersbach, H., Bell, B., Berrisford, P., Hirahara, S., Horányi, A., Muñoz-Sabater, J., et al. (2020). The ERA5 global reanalysis. Quarterly Journal of the Royal Meteorological Society, 146(730), 1999-2049. https://doi.org/10.1002/qj.3803</w:t>
      </w:r>
    </w:p>
    <w:p>
      <w:pPr>
        <w:spacing w:after="120" w:line="276" w:lineRule="auto"/>
        <w:ind w:left="567" w:hanging="567"/>
        <w:jc w:val="both"/>
      </w:pPr>
      <w:r>
        <w:rPr>
          <w:rFonts w:ascii="Times New Roman" w:hAnsi="Times New Roman"/>
          <w:sz w:val="22"/>
        </w:rPr>
        <w:t>Hussain, A., Cao, J., Hussain, I., Begum, S., Akhtar, M., Wu, X., et al. (2021). Observed trends and variability of temperature and precipitation and their global teleconnections in the Upper Indus Basin, Hindukush-Karakoram-Himalaya. Atmosphere, 12(8), 973. https://doi.org/10.3390/atmos12080973</w:t>
      </w:r>
    </w:p>
    <w:p>
      <w:pPr>
        <w:spacing w:after="120" w:line="276" w:lineRule="auto"/>
        <w:ind w:left="567" w:hanging="567"/>
        <w:jc w:val="both"/>
      </w:pPr>
      <w:r>
        <w:rPr>
          <w:rFonts w:ascii="Times New Roman" w:hAnsi="Times New Roman"/>
          <w:sz w:val="22"/>
        </w:rPr>
        <w:t>Imfeld, N., Barreto Schuler, C., Correa Marrou, K. M., Jacques-Coper, M., Sedlmeier, K., Gubler, S., et al. (2019). Summertime precipitation deficits in the southern Peruvian highlands since 1964. International Journal of Climatology, 41(9), 4497-4513. https://doi.org/10.1002/joc.6087</w:t>
      </w:r>
    </w:p>
    <w:p>
      <w:pPr>
        <w:spacing w:after="120" w:line="276" w:lineRule="auto"/>
        <w:ind w:left="567" w:hanging="567"/>
        <w:jc w:val="both"/>
      </w:pPr>
      <w:r>
        <w:rPr>
          <w:rFonts w:ascii="Times New Roman" w:hAnsi="Times New Roman"/>
          <w:sz w:val="22"/>
        </w:rPr>
        <w:t>Instituto Geográfico Militar del Ecuador (IGM). (2013). Atlas Geográfico de la República del Ecuador (2ª ed.). Instituto Geográfico Militar, Quito.</w:t>
      </w:r>
    </w:p>
    <w:p>
      <w:pPr>
        <w:spacing w:after="120" w:line="276" w:lineRule="auto"/>
        <w:ind w:left="567" w:hanging="567"/>
        <w:jc w:val="both"/>
      </w:pPr>
      <w:r>
        <w:rPr>
          <w:rFonts w:ascii="Times New Roman" w:hAnsi="Times New Roman"/>
          <w:sz w:val="22"/>
        </w:rPr>
        <w:t>Instituto Nacional de Estadística y Censos (INEC). (2023). Censo Ecuador 2022: Resultados nacionales y provinciales. Instituto Nacional de Estadística y Censos, Quito. https://www.censoecuador.gob.ec/</w:t>
      </w:r>
    </w:p>
    <w:p>
      <w:pPr>
        <w:spacing w:after="120" w:line="276" w:lineRule="auto"/>
        <w:ind w:left="567" w:hanging="567"/>
        <w:jc w:val="both"/>
      </w:pPr>
      <w:r>
        <w:rPr>
          <w:rFonts w:ascii="Times New Roman" w:hAnsi="Times New Roman"/>
          <w:sz w:val="22"/>
        </w:rPr>
        <w:t>Kendall, M. G. (1975). Rank Correlation Methods (4th ed.). Griffin, London.</w:t>
      </w:r>
    </w:p>
    <w:p>
      <w:pPr>
        <w:spacing w:after="120" w:line="276" w:lineRule="auto"/>
        <w:ind w:left="567" w:hanging="567"/>
        <w:jc w:val="both"/>
      </w:pPr>
      <w:r>
        <w:rPr>
          <w:rFonts w:ascii="Times New Roman" w:hAnsi="Times New Roman"/>
          <w:sz w:val="22"/>
        </w:rPr>
        <w:t>Lange, S. (2019). Trend-preserving bias adjustment and statistical downscaling with ISIMIP3BASD (v1.0). Geoscientific Model Development, 12(7), 3055-3070. https://doi.org/10.5194/gmd-12-3055-2019</w:t>
      </w:r>
    </w:p>
    <w:p>
      <w:pPr>
        <w:spacing w:after="120" w:line="276" w:lineRule="auto"/>
        <w:ind w:left="567" w:hanging="567"/>
        <w:jc w:val="both"/>
      </w:pPr>
      <w:r>
        <w:rPr>
          <w:rFonts w:ascii="Times New Roman" w:hAnsi="Times New Roman"/>
          <w:sz w:val="22"/>
        </w:rPr>
        <w:t>Lavado Casimiro, W. S., Labat, D., Ronchail, J., Espinoza, J. C., &amp; Guyot, J. L. (2013). Trends in rainfall and temperature in the Peruvian Amazon-Andes basin over the last 40 years (1965-2007). Hydrological Processes, 27(20), 2944-2957. https://doi.org/10.1002/hyp.9418</w:t>
      </w:r>
    </w:p>
    <w:p>
      <w:pPr>
        <w:spacing w:after="120" w:line="276" w:lineRule="auto"/>
        <w:ind w:left="567" w:hanging="567"/>
        <w:jc w:val="both"/>
      </w:pPr>
      <w:r>
        <w:rPr>
          <w:rFonts w:ascii="Times New Roman" w:hAnsi="Times New Roman"/>
          <w:sz w:val="22"/>
        </w:rPr>
        <w:t>Mann, H. B. (1945). Nonparametric tests against trend. Econometrica, 13(3), 245-259. https://doi.org/10.2307/1907187</w:t>
      </w:r>
    </w:p>
    <w:p>
      <w:pPr>
        <w:spacing w:after="120" w:line="276" w:lineRule="auto"/>
        <w:ind w:left="567" w:hanging="567"/>
        <w:jc w:val="both"/>
      </w:pPr>
      <w:r>
        <w:rPr>
          <w:rFonts w:ascii="Times New Roman" w:hAnsi="Times New Roman"/>
          <w:sz w:val="22"/>
        </w:rPr>
        <w:t>Manzanas, R., Amekudzi, L. K., Preko, K., Herrera, S., &amp; Gutiérrez, J. M. (2014). Precipitation variability and trends in Ghana: an intercomparison of observational and reanalysis products. Climatic Change, 124(4), 805-819. https://doi.org/10.1007/s10584-014-1100-9</w:t>
      </w:r>
    </w:p>
    <w:p>
      <w:pPr>
        <w:spacing w:after="120" w:line="276" w:lineRule="auto"/>
        <w:ind w:left="567" w:hanging="567"/>
        <w:jc w:val="both"/>
      </w:pPr>
      <w:r>
        <w:rPr>
          <w:rFonts w:ascii="Times New Roman" w:hAnsi="Times New Roman"/>
          <w:sz w:val="22"/>
        </w:rPr>
        <w:t>Morán-Tejeda, E., Bazo, J., López-Moreno, J. I., Aguilar, E., Azorín-Molina, C., Sanchez-Lorenzo, A., et al. (2016). Climate trends and variability in Ecuador (1966-2011). International Journal of Climatology, 36(11), 3839-3855. https://doi.org/10.1002/joc.4597</w:t>
      </w:r>
    </w:p>
    <w:p>
      <w:pPr>
        <w:spacing w:after="120" w:line="276" w:lineRule="auto"/>
        <w:ind w:left="567" w:hanging="567"/>
        <w:jc w:val="both"/>
      </w:pPr>
      <w:r>
        <w:rPr>
          <w:rFonts w:ascii="Times New Roman" w:hAnsi="Times New Roman"/>
          <w:sz w:val="22"/>
        </w:rPr>
        <w:t>O'Neill, B. C., Tebaldi, C., van Vuuren, D. P., Eyring, V., Friedlingstein, P., Hurtt, G., et al. (2016). The Scenario Model Intercomparison Project (ScenarioMIP) for CMIP6. Geoscientific Model Development, 9(9), 3461-3482. https://doi.org/10.5194/gmd-9-3461-2016</w:t>
      </w:r>
    </w:p>
    <w:p>
      <w:pPr>
        <w:spacing w:after="120" w:line="276" w:lineRule="auto"/>
        <w:ind w:left="567" w:hanging="567"/>
        <w:jc w:val="both"/>
      </w:pPr>
      <w:r>
        <w:rPr>
          <w:rFonts w:ascii="Times New Roman" w:hAnsi="Times New Roman"/>
          <w:sz w:val="22"/>
        </w:rPr>
        <w:t>Pabón-Caicedo, J. D., Arias, P. A., Carril, A. F., Espinoza, J. C., Borrel, L. F., Goubanova, K., et al. (2020). Observed and projected hydroclimate changes in the Andes. Frontiers in Earth Science, 8, 61. https://doi.org/10.3389/feart.2020.00061</w:t>
      </w:r>
    </w:p>
    <w:p>
      <w:pPr>
        <w:spacing w:after="120" w:line="276" w:lineRule="auto"/>
        <w:ind w:left="567" w:hanging="567"/>
        <w:jc w:val="both"/>
      </w:pPr>
      <w:r>
        <w:rPr>
          <w:rFonts w:ascii="Times New Roman" w:hAnsi="Times New Roman"/>
          <w:sz w:val="22"/>
        </w:rPr>
        <w:t>Palmer, W. C. (1965). Meteorological drought. US Weather Bureau Research Paper 45. US Department of Commerce.</w:t>
      </w:r>
    </w:p>
    <w:p>
      <w:pPr>
        <w:spacing w:after="120" w:line="276" w:lineRule="auto"/>
        <w:ind w:left="567" w:hanging="567"/>
        <w:jc w:val="both"/>
      </w:pPr>
      <w:r>
        <w:rPr>
          <w:rFonts w:ascii="Times New Roman" w:hAnsi="Times New Roman"/>
          <w:sz w:val="22"/>
        </w:rPr>
        <w:t>Pepin, N., Bradley, R. S., Diaz, H. F., Baraer, M., Caceres, E. B., Forsythe, N., et al. (2015). Elevation-dependent warming in mountain regions of the world. Nature Climate Change, 5(5), 424-430. https://doi.org/10.1038/nclimate2563</w:t>
      </w:r>
    </w:p>
    <w:p>
      <w:pPr>
        <w:spacing w:after="120" w:line="276" w:lineRule="auto"/>
        <w:ind w:left="567" w:hanging="567"/>
        <w:jc w:val="both"/>
      </w:pPr>
      <w:r>
        <w:rPr>
          <w:rFonts w:ascii="Times New Roman" w:hAnsi="Times New Roman"/>
          <w:sz w:val="22"/>
        </w:rPr>
        <w:t>Pepin, N. C., Arnone, E., Gobiet, A., Haslinger, K., Kotlarski, S., Notarnicola, C., et al. (2022). Climate changes and their elevational patterns in the mountains of the world. Reviews of Geophysics, 60(1), e2020RG000730. https://doi.org/10.1029/2020RG000730</w:t>
      </w:r>
    </w:p>
    <w:p>
      <w:pPr>
        <w:spacing w:after="120" w:line="276" w:lineRule="auto"/>
        <w:ind w:left="567" w:hanging="567"/>
        <w:jc w:val="both"/>
      </w:pPr>
      <w:r>
        <w:rPr>
          <w:rFonts w:ascii="Times New Roman" w:hAnsi="Times New Roman"/>
          <w:sz w:val="22"/>
        </w:rPr>
        <w:t>Rangecroft, S., Harrison, S., &amp; Anderson, K. (2015). Rock glaciers as water stores in the Bolivian Andes: an assessment of their hydrological importance. Arctic, Antarctic, and Alpine Research, 47(1), 89-98. https://doi.org/10.1657/AAAR0014-029</w:t>
      </w:r>
    </w:p>
    <w:p>
      <w:pPr>
        <w:spacing w:after="120" w:line="276" w:lineRule="auto"/>
        <w:ind w:left="567" w:hanging="567"/>
        <w:jc w:val="both"/>
      </w:pPr>
      <w:r>
        <w:rPr>
          <w:rFonts w:ascii="Times New Roman" w:hAnsi="Times New Roman"/>
          <w:sz w:val="22"/>
        </w:rPr>
        <w:t>Rau, P., Bourrel, L., Labat, D., Melo, P., Dewitte, B., Frappart, F., et al. (2017). Regionalization of rainfall over the Peruvian Pacific slope and coast. International Journal of Climatology, 37(1), 143-158. https://doi.org/10.1002/joc.4693</w:t>
      </w:r>
    </w:p>
    <w:p>
      <w:pPr>
        <w:spacing w:after="120" w:line="276" w:lineRule="auto"/>
        <w:ind w:left="567" w:hanging="567"/>
        <w:jc w:val="both"/>
      </w:pPr>
      <w:r>
        <w:rPr>
          <w:rFonts w:ascii="Times New Roman" w:hAnsi="Times New Roman"/>
          <w:sz w:val="22"/>
        </w:rPr>
        <w:t>Rossel, F., Cadier, E., &amp; Goméz, G. (1999). Las inundaciones en la zona costera ecuatoriana: causas; obras de protección existentes y previstas. Bull. Institut Français d'Études Andines, 28(3), 399-420.</w:t>
      </w:r>
    </w:p>
    <w:p>
      <w:pPr>
        <w:spacing w:after="120" w:line="276" w:lineRule="auto"/>
        <w:ind w:left="567" w:hanging="567"/>
        <w:jc w:val="both"/>
      </w:pPr>
      <w:r>
        <w:rPr>
          <w:rFonts w:ascii="Times New Roman" w:hAnsi="Times New Roman"/>
          <w:sz w:val="22"/>
        </w:rPr>
        <w:t>Running, S. W., Mu, Q., Zhao, M., &amp; Moreno, A. (2019). MODIS Global Terrestrial Evapotranspiration (ET) Product (MOD16A2GF) NASA EOSDIS Land Processes DAAC. https://doi.org/10.5067/MODIS/MOD16A2GF.061</w:t>
      </w:r>
    </w:p>
    <w:p>
      <w:pPr>
        <w:spacing w:after="120" w:line="276" w:lineRule="auto"/>
        <w:ind w:left="567" w:hanging="567"/>
        <w:jc w:val="both"/>
      </w:pPr>
      <w:r>
        <w:rPr>
          <w:rFonts w:ascii="Times New Roman" w:hAnsi="Times New Roman"/>
          <w:sz w:val="22"/>
        </w:rPr>
        <w:t>Schumacher, V., Fernández, A., Justino, F., &amp; Comin, A. (2020). WRF high resolution dynamical downscaling of precipitation in southern South America. Frontiers in Earth Science, 8, 328. https://doi.org/10.3389/feart.2020.00328</w:t>
      </w:r>
    </w:p>
    <w:p>
      <w:pPr>
        <w:spacing w:after="120" w:line="276" w:lineRule="auto"/>
        <w:ind w:left="567" w:hanging="567"/>
        <w:jc w:val="both"/>
      </w:pPr>
      <w:r>
        <w:rPr>
          <w:rFonts w:ascii="Times New Roman" w:hAnsi="Times New Roman"/>
          <w:sz w:val="22"/>
        </w:rPr>
        <w:t>Segura, H., Junquas, C., Espinoza, J. C., Vuille, M., Jauregui, Y. R., Rabatel, A., et al. (2019). New insights into the rainfall variability in the tropical Andes on seasonal and interannual time scales. Climate Dynamics, 53, 405-426. https://doi.org/10.1007/s00382-018-4590-8</w:t>
      </w:r>
    </w:p>
    <w:p>
      <w:pPr>
        <w:spacing w:after="120" w:line="276" w:lineRule="auto"/>
        <w:ind w:left="567" w:hanging="567"/>
        <w:jc w:val="both"/>
      </w:pPr>
      <w:r>
        <w:rPr>
          <w:rFonts w:ascii="Times New Roman" w:hAnsi="Times New Roman"/>
          <w:sz w:val="22"/>
        </w:rPr>
        <w:t>Seiler, C., Hutjes, R. W. A., &amp; Kabat, P. (2013). Climate variability and trends in Bolivia. Journal of Applied Meteorology and Climatology, 52(1), 130-146. https://doi.org/10.1175/JAMC-D-12-0105.1</w:t>
      </w:r>
    </w:p>
    <w:p>
      <w:pPr>
        <w:spacing w:after="120" w:line="276" w:lineRule="auto"/>
        <w:ind w:left="567" w:hanging="567"/>
        <w:jc w:val="both"/>
      </w:pPr>
      <w:r>
        <w:rPr>
          <w:rFonts w:ascii="Times New Roman" w:hAnsi="Times New Roman"/>
          <w:sz w:val="22"/>
        </w:rPr>
        <w:t>Sen, P. K. (1968). Estimates of the regression coefficient based on Kendall's tau. Journal of the American Statistical Association, 63(324), 1379-1389. https://doi.org/10.1080/01621459.1968.10480934</w:t>
      </w:r>
    </w:p>
    <w:p>
      <w:pPr>
        <w:spacing w:after="120" w:line="276" w:lineRule="auto"/>
        <w:ind w:left="567" w:hanging="567"/>
        <w:jc w:val="both"/>
      </w:pPr>
      <w:r>
        <w:rPr>
          <w:rFonts w:ascii="Times New Roman" w:hAnsi="Times New Roman"/>
          <w:sz w:val="22"/>
        </w:rPr>
        <w:t>Skansi, M. de los M., Brunet, M., Sigró, J., Aguilar, E., Arevalo Groening, J. A., Betolli, O. J., Castellón Geier, M. G., Correa Amaya, R. L., Jácome, H., Malheiros Ramos, A., Oria Rojas, C., Pasten, A. M., Sallons Mitro, S., Villaroel Jiménez, C., Martínez, R., Alexander, L. V., &amp; Jones, P. D. (2013). Warming and wetting signals emerging from analysis of changes in climate extreme indices over South America. Global and Planetary Change, 100, 295-307. https://doi.org/10.1016/j.gloplacha.2012.11.004</w:t>
      </w:r>
    </w:p>
    <w:p>
      <w:pPr>
        <w:spacing w:after="120" w:line="276" w:lineRule="auto"/>
        <w:ind w:left="567" w:hanging="567"/>
        <w:jc w:val="both"/>
      </w:pPr>
      <w:r>
        <w:rPr>
          <w:rFonts w:ascii="Times New Roman" w:hAnsi="Times New Roman"/>
          <w:sz w:val="22"/>
        </w:rPr>
        <w:t>Spearman, C. (1904). The proof and measurement of association between two things. American Journal of Psychology, 15(1), 72-101. https://doi.org/10.2307/1412159</w:t>
      </w:r>
    </w:p>
    <w:p>
      <w:pPr>
        <w:spacing w:after="120" w:line="276" w:lineRule="auto"/>
        <w:ind w:left="567" w:hanging="567"/>
        <w:jc w:val="both"/>
      </w:pPr>
      <w:r>
        <w:rPr>
          <w:rFonts w:ascii="Times New Roman" w:hAnsi="Times New Roman"/>
          <w:sz w:val="22"/>
        </w:rPr>
        <w:t>Sulca, J., Takahashi, K., Espinoza, J. C., Vuille, M., &amp; Lavado-Casimiro, W. (2018). Impacts of different ENSO flavors and tropical Pacific convection variability (ITCZ, SPCZ) on austral summer rainfall in South America, with a focus on Peru. International Journal of Climatology, 38(1), 420-435. https://doi.org/10.1002/joc.5185</w:t>
      </w:r>
    </w:p>
    <w:p>
      <w:pPr>
        <w:spacing w:after="120" w:line="276" w:lineRule="auto"/>
        <w:ind w:left="567" w:hanging="567"/>
        <w:jc w:val="both"/>
      </w:pPr>
      <w:r>
        <w:rPr>
          <w:rFonts w:ascii="Times New Roman" w:hAnsi="Times New Roman"/>
          <w:sz w:val="22"/>
        </w:rPr>
        <w:t>Tobar, V., &amp; Wyseure, G. (2017). Seasonal rainfall patterns classification, relationship to ENSO and rainfall trends in continental Ecuador. International Journal of Climatology, 38(S1), 2017-2032. https://doi.org/10.1002/joc.5297</w:t>
      </w:r>
    </w:p>
    <w:p>
      <w:pPr>
        <w:spacing w:after="120" w:line="276" w:lineRule="auto"/>
        <w:ind w:left="567" w:hanging="567"/>
        <w:jc w:val="both"/>
      </w:pPr>
      <w:r>
        <w:rPr>
          <w:rFonts w:ascii="Times New Roman" w:hAnsi="Times New Roman"/>
          <w:sz w:val="22"/>
        </w:rPr>
        <w:t>Torrence, C., &amp; Compo, G. P. (1998). A practical guide to wavelet analysis. Bulletin of the American Meteorological Society, 79(1), 61-78. https://doi.org/10.1175/1520-0477(1998)079&lt;0061:APGTWA&gt;2.0.CO;2</w:t>
      </w:r>
    </w:p>
    <w:p>
      <w:pPr>
        <w:spacing w:after="120" w:line="276" w:lineRule="auto"/>
        <w:ind w:left="567" w:hanging="567"/>
        <w:jc w:val="both"/>
      </w:pPr>
      <w:r>
        <w:rPr>
          <w:rFonts w:ascii="Times New Roman" w:hAnsi="Times New Roman" w:cs="Times New Roman"/>
          <w:sz w:val="22"/>
        </w:rPr>
        <w:t xml:space="preserve">Trenberth, K. E. (2011). Changes in precipitation with climate change. Climate Research, 47(1-2), 123-138. https://doi.org/10.3354/cr00953</w:t>
      </w:r>
    </w:p>
    <w:p>
      <w:pPr>
        <w:spacing w:after="120" w:line="276" w:lineRule="auto"/>
        <w:ind w:left="567" w:hanging="567"/>
        <w:jc w:val="both"/>
      </w:pPr>
      <w:r>
        <w:rPr>
          <w:rFonts w:ascii="Times New Roman" w:hAnsi="Times New Roman"/>
          <w:sz w:val="22"/>
        </w:rPr>
        <w:t>Urrutia, R., &amp; Vuille, M. (2009). Climate change projections for the tropical Andes using a regional climate model: Temperature and precipitation simulations for the end of the 21st century. Journal of Geophysical Research, 114, D02108. https://doi.org/10.1029/2008JD011021</w:t>
      </w:r>
    </w:p>
    <w:p>
      <w:pPr>
        <w:spacing w:after="120" w:line="276" w:lineRule="auto"/>
        <w:ind w:left="567" w:hanging="567"/>
        <w:jc w:val="both"/>
      </w:pPr>
      <w:r>
        <w:rPr>
          <w:rFonts w:ascii="Times New Roman" w:hAnsi="Times New Roman"/>
          <w:sz w:val="22"/>
        </w:rPr>
        <w:t>Vicente-Serrano, S. M., Lopez-Moreno, J. I., Beguería, S., Lorenzo-Lacruz, J., Sanchez-Lorenzo, A., García-Ruiz, J. M., et al. (2014). Evidence of increasing drought severity caused by temperature rise in southern Europe. Environmental Research Letters, 9(4), 044001. https://doi.org/10.1088/1748-9326/9/4/044001</w:t>
      </w:r>
    </w:p>
    <w:p>
      <w:pPr>
        <w:spacing w:after="120" w:line="276" w:lineRule="auto"/>
        <w:ind w:left="567" w:hanging="567"/>
        <w:jc w:val="both"/>
      </w:pPr>
      <w:r>
        <w:rPr>
          <w:rFonts w:ascii="Times New Roman" w:hAnsi="Times New Roman"/>
          <w:sz w:val="22"/>
        </w:rPr>
        <w:t>Vuille, M., Bradley, R. S., &amp; Keimig, F. (2000). Climate variability in the Andes of Ecuador and its relation to tropical Pacific and Atlantic sea surface temperature anomalies. Journal of Climate, 13(14), 2520-2535. https://doi.org/10.1175/1520-0442(2000)013&lt;2520:CVITAO&gt;2.0.CO;2</w:t>
      </w:r>
    </w:p>
    <w:p>
      <w:pPr>
        <w:spacing w:after="120" w:line="276" w:lineRule="auto"/>
        <w:ind w:left="567" w:hanging="567"/>
        <w:jc w:val="both"/>
      </w:pPr>
      <w:r>
        <w:rPr>
          <w:rFonts w:ascii="Times New Roman" w:hAnsi="Times New Roman"/>
          <w:sz w:val="22"/>
        </w:rPr>
        <w:t>Vuille, M., Francou, B., Wagnon, P., Juen, I., Kaser, G., Mark, B. G., &amp; Bradley, R. S. (2008). Climate change and tropical Andean glaciers: Past, present and future. Earth-Science Reviews, 89(3-4), 79-96. https://doi.org/10.1016/j.earscirev.2008.04.002</w:t>
      </w:r>
    </w:p>
    <w:p>
      <w:pPr>
        <w:spacing w:after="120" w:line="276" w:lineRule="auto"/>
        <w:ind w:left="567" w:hanging="567"/>
        <w:jc w:val="both"/>
      </w:pPr>
      <w:r>
        <w:rPr>
          <w:rFonts w:ascii="Times New Roman" w:hAnsi="Times New Roman"/>
          <w:sz w:val="22"/>
        </w:rPr>
        <w:t/>
      </w:r>
    </w:p>
    <w:p>
      <w:pPr>
        <w:spacing w:after="120" w:line="276" w:lineRule="auto"/>
        <w:ind w:left="567" w:hanging="567"/>
        <w:jc w:val="both"/>
      </w:pPr>
      <w:r>
        <w:rPr>
          <w:rFonts w:ascii="Times New Roman" w:hAnsi="Times New Roman"/>
          <w:sz w:val="22"/>
        </w:rPr>
        <w:t>Zappa, G., Bevacqua, E., &amp; Shepherd, T. G. (2021). Communicating potentially large but non-robust changes in multi-model projections of future climate. International Journal of Climatology, 41(S1), E1-E19. https://doi.org/10.1002/joc.7041</w:t>
      </w:r>
    </w:p>
    <w:p>
      <w:pPr>
        <w:spacing w:before="360" w:after="240"/>
        <w:jc w:val="left"/>
      </w:pPr>
      <w:r>
        <w:rPr>
          <w:rFonts w:ascii="Times New Roman" w:hAnsi="Times New Roman"/>
          <w:b/>
          <w:sz w:val="28"/>
        </w:rPr>
        <w:t>TABLES</w:t>
      </w:r>
    </w:p>
    <w:p>
      <w:pPr>
        <w:spacing w:after="120" w:line="360" w:lineRule="auto"/>
      </w:pPr>
      <w:r>
        <w:rPr>
          <w:rFonts w:ascii="Times New Roman" w:hAnsi="Times New Roman"/>
          <w:b/>
          <w:sz w:val="22"/>
        </w:rPr>
        <w:t>Table 1.</w:t>
      </w:r>
      <w:r>
        <w:rPr>
          <w:rFonts w:ascii="Times New Roman" w:hAnsi="Times New Roman"/>
          <w:sz w:val="22"/>
        </w:rPr>
        <w:t xml:space="preserve"> Synthetic inventory of the 21 INAMHI stations used in the study (code, name, elevation, type, altitudinal band, and operating period). The complete details are presented in Table S1 of the Supporting Information. Abbreviations: CP, principal climatological; CO, ordinary climatological; PV, pluviometric; AP, agroclimatic.</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6"/>
              </w:rPr>
              <w:t>ID</w:t>
            </w:r>
          </w:p>
        </w:tc>
        <w:tc>
          <w:tcPr>
            <w:tcW w:type="dxa" w:w="1337"/>
          </w:tcPr>
          <w:p>
            <w:pPr>
              <w:jc w:val="center"/>
            </w:pPr>
            <w:r/>
            <w:r>
              <w:rPr>
                <w:rFonts w:ascii="Times New Roman" w:hAnsi="Times New Roman"/>
                <w:b/>
                <w:sz w:val="16"/>
              </w:rPr>
              <w:t>Name</w:t>
            </w:r>
          </w:p>
        </w:tc>
        <w:tc>
          <w:tcPr>
            <w:tcW w:type="dxa" w:w="1337"/>
          </w:tcPr>
          <w:p>
            <w:pPr>
              <w:jc w:val="center"/>
            </w:pPr>
            <w:r/>
            <w:r>
              <w:rPr>
                <w:rFonts w:ascii="Times New Roman" w:hAnsi="Times New Roman"/>
                <w:b/>
                <w:sz w:val="16"/>
              </w:rPr>
              <w:t>Type</w:t>
            </w:r>
          </w:p>
        </w:tc>
        <w:tc>
          <w:tcPr>
            <w:tcW w:type="dxa" w:w="1337"/>
          </w:tcPr>
          <w:p>
            <w:pPr>
              <w:jc w:val="center"/>
            </w:pPr>
            <w:r/>
            <w:r>
              <w:rPr>
                <w:rFonts w:ascii="Times New Roman" w:hAnsi="Times New Roman"/>
                <w:b/>
                <w:sz w:val="16"/>
              </w:rPr>
              <w:t>Elevation (m)</w:t>
            </w:r>
          </w:p>
        </w:tc>
        <w:tc>
          <w:tcPr>
            <w:tcW w:type="dxa" w:w="1337"/>
          </w:tcPr>
          <w:p>
            <w:pPr>
              <w:jc w:val="center"/>
            </w:pPr>
            <w:r/>
            <w:r>
              <w:rPr>
                <w:rFonts w:ascii="Times New Roman" w:hAnsi="Times New Roman"/>
                <w:b/>
                <w:sz w:val="16"/>
              </w:rPr>
              <w:t>Latitude</w:t>
            </w:r>
          </w:p>
        </w:tc>
        <w:tc>
          <w:tcPr>
            <w:tcW w:type="dxa" w:w="1337"/>
          </w:tcPr>
          <w:p>
            <w:pPr>
              <w:jc w:val="center"/>
            </w:pPr>
            <w:r/>
            <w:r>
              <w:rPr>
                <w:rFonts w:ascii="Times New Roman" w:hAnsi="Times New Roman"/>
                <w:b/>
                <w:sz w:val="16"/>
              </w:rPr>
              <w:t>Longitude</w:t>
            </w:r>
          </w:p>
        </w:tc>
        <w:tc>
          <w:tcPr>
            <w:tcW w:type="dxa" w:w="1337"/>
          </w:tcPr>
          <w:p>
            <w:pPr>
              <w:jc w:val="center"/>
            </w:pPr>
            <w:r/>
            <w:r>
              <w:rPr>
                <w:rFonts w:ascii="Times New Roman" w:hAnsi="Times New Roman"/>
                <w:b/>
                <w:sz w:val="16"/>
              </w:rPr>
              <w:t>Province</w:t>
            </w:r>
          </w:p>
        </w:tc>
      </w:tr>
      <w:tr>
        <w:tc>
          <w:tcPr>
            <w:tcW w:type="dxa" w:w="1337"/>
          </w:tcPr>
          <w:p>
            <w:pPr>
              <w:jc w:val="center"/>
            </w:pPr>
            <w:r/>
            <w:r>
              <w:rPr>
                <w:rFonts w:ascii="Times New Roman" w:hAnsi="Times New Roman"/>
                <w:sz w:val="16"/>
              </w:rPr>
              <w:t>M0001</w:t>
            </w:r>
          </w:p>
        </w:tc>
        <w:tc>
          <w:tcPr>
            <w:tcW w:type="dxa" w:w="1337"/>
          </w:tcPr>
          <w:p>
            <w:pPr>
              <w:jc w:val="center"/>
            </w:pPr>
            <w:r/>
            <w:r>
              <w:rPr>
                <w:rFonts w:ascii="Times New Roman" w:hAnsi="Times New Roman"/>
                <w:sz w:val="16"/>
              </w:rPr>
              <w:t>Inguincho</w:t>
            </w:r>
          </w:p>
        </w:tc>
        <w:tc>
          <w:tcPr>
            <w:tcW w:type="dxa" w:w="1337"/>
          </w:tcPr>
          <w:p>
            <w:pPr>
              <w:jc w:val="center"/>
            </w:pPr>
            <w:r/>
            <w:r>
              <w:rPr>
                <w:rFonts w:ascii="Times New Roman" w:hAnsi="Times New Roman"/>
                <w:sz w:val="16"/>
              </w:rPr>
              <w:t>CO</w:t>
            </w:r>
          </w:p>
        </w:tc>
        <w:tc>
          <w:tcPr>
            <w:tcW w:type="dxa" w:w="1337"/>
          </w:tcPr>
          <w:p>
            <w:pPr>
              <w:jc w:val="center"/>
            </w:pPr>
            <w:r/>
            <w:r>
              <w:rPr>
                <w:rFonts w:ascii="Times New Roman" w:hAnsi="Times New Roman"/>
                <w:sz w:val="16"/>
              </w:rPr>
              <w:t>3140</w:t>
            </w:r>
          </w:p>
        </w:tc>
        <w:tc>
          <w:tcPr>
            <w:tcW w:type="dxa" w:w="1337"/>
          </w:tcPr>
          <w:p>
            <w:pPr>
              <w:jc w:val="center"/>
            </w:pPr>
            <w:r/>
            <w:r>
              <w:rPr>
                <w:rFonts w:ascii="Times New Roman" w:hAnsi="Times New Roman"/>
                <w:sz w:val="16"/>
              </w:rPr>
              <w:t>0.258</w:t>
            </w:r>
          </w:p>
        </w:tc>
        <w:tc>
          <w:tcPr>
            <w:tcW w:type="dxa" w:w="1337"/>
          </w:tcPr>
          <w:p>
            <w:pPr>
              <w:jc w:val="center"/>
            </w:pPr>
            <w:r/>
            <w:r>
              <w:rPr>
                <w:rFonts w:ascii="Times New Roman" w:hAnsi="Times New Roman"/>
                <w:sz w:val="16"/>
              </w:rPr>
              <w:t>-78.401</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M0310</w:t>
            </w:r>
          </w:p>
        </w:tc>
        <w:tc>
          <w:tcPr>
            <w:tcW w:type="dxa" w:w="1337"/>
          </w:tcPr>
          <w:p>
            <w:pPr>
              <w:jc w:val="center"/>
            </w:pPr>
            <w:r/>
            <w:r>
              <w:rPr>
                <w:rFonts w:ascii="Times New Roman" w:hAnsi="Times New Roman"/>
                <w:sz w:val="16"/>
              </w:rPr>
              <w:t>Mariano Acosta</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2980</w:t>
            </w:r>
          </w:p>
        </w:tc>
        <w:tc>
          <w:tcPr>
            <w:tcW w:type="dxa" w:w="1337"/>
          </w:tcPr>
          <w:p>
            <w:pPr>
              <w:jc w:val="center"/>
            </w:pPr>
            <w:r/>
            <w:r>
              <w:rPr>
                <w:rFonts w:ascii="Times New Roman" w:hAnsi="Times New Roman"/>
                <w:sz w:val="16"/>
              </w:rPr>
              <w:t>0.302</w:t>
            </w:r>
          </w:p>
        </w:tc>
        <w:tc>
          <w:tcPr>
            <w:tcW w:type="dxa" w:w="1337"/>
          </w:tcPr>
          <w:p>
            <w:pPr>
              <w:jc w:val="center"/>
            </w:pPr>
            <w:r/>
            <w:r>
              <w:rPr>
                <w:rFonts w:ascii="Times New Roman" w:hAnsi="Times New Roman"/>
                <w:sz w:val="16"/>
              </w:rPr>
              <w:t>-77.981</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M0103</w:t>
            </w:r>
          </w:p>
        </w:tc>
        <w:tc>
          <w:tcPr>
            <w:tcW w:type="dxa" w:w="1337"/>
          </w:tcPr>
          <w:p>
            <w:pPr>
              <w:jc w:val="center"/>
            </w:pPr>
            <w:r/>
            <w:r>
              <w:rPr>
                <w:rFonts w:ascii="Times New Roman" w:hAnsi="Times New Roman"/>
                <w:sz w:val="16"/>
              </w:rPr>
              <w:t>San Gabriel</w:t>
            </w:r>
          </w:p>
        </w:tc>
        <w:tc>
          <w:tcPr>
            <w:tcW w:type="dxa" w:w="1337"/>
          </w:tcPr>
          <w:p>
            <w:pPr>
              <w:jc w:val="center"/>
            </w:pPr>
            <w:r/>
            <w:r>
              <w:rPr>
                <w:rFonts w:ascii="Times New Roman" w:hAnsi="Times New Roman"/>
                <w:sz w:val="16"/>
              </w:rPr>
              <w:t>CO</w:t>
            </w:r>
          </w:p>
        </w:tc>
        <w:tc>
          <w:tcPr>
            <w:tcW w:type="dxa" w:w="1337"/>
          </w:tcPr>
          <w:p>
            <w:pPr>
              <w:jc w:val="center"/>
            </w:pPr>
            <w:r/>
            <w:r>
              <w:rPr>
                <w:rFonts w:ascii="Times New Roman" w:hAnsi="Times New Roman"/>
                <w:sz w:val="16"/>
              </w:rPr>
              <w:t>2860</w:t>
            </w:r>
          </w:p>
        </w:tc>
        <w:tc>
          <w:tcPr>
            <w:tcW w:type="dxa" w:w="1337"/>
          </w:tcPr>
          <w:p>
            <w:pPr>
              <w:jc w:val="center"/>
            </w:pPr>
            <w:r/>
            <w:r>
              <w:rPr>
                <w:rFonts w:ascii="Times New Roman" w:hAnsi="Times New Roman"/>
                <w:sz w:val="16"/>
              </w:rPr>
              <w:t>0.6</w:t>
            </w:r>
          </w:p>
        </w:tc>
        <w:tc>
          <w:tcPr>
            <w:tcW w:type="dxa" w:w="1337"/>
          </w:tcPr>
          <w:p>
            <w:pPr>
              <w:jc w:val="center"/>
            </w:pPr>
            <w:r/>
            <w:r>
              <w:rPr>
                <w:rFonts w:ascii="Times New Roman" w:hAnsi="Times New Roman"/>
                <w:sz w:val="16"/>
              </w:rPr>
              <w:t>-77.817</w:t>
            </w:r>
          </w:p>
        </w:tc>
        <w:tc>
          <w:tcPr>
            <w:tcW w:type="dxa" w:w="1337"/>
          </w:tcPr>
          <w:p>
            <w:pPr>
              <w:jc w:val="center"/>
            </w:pPr>
            <w:r/>
            <w:r>
              <w:rPr>
                <w:rFonts w:ascii="Times New Roman" w:hAnsi="Times New Roman"/>
                <w:sz w:val="16"/>
              </w:rPr>
              <w:t>Carchi</w:t>
            </w:r>
          </w:p>
        </w:tc>
      </w:tr>
      <w:tr>
        <w:tc>
          <w:tcPr>
            <w:tcW w:type="dxa" w:w="1337"/>
          </w:tcPr>
          <w:p>
            <w:pPr>
              <w:jc w:val="center"/>
            </w:pPr>
            <w:r/>
            <w:r>
              <w:rPr>
                <w:rFonts w:ascii="Times New Roman" w:hAnsi="Times New Roman"/>
                <w:sz w:val="16"/>
              </w:rPr>
              <w:t>M0321</w:t>
            </w:r>
          </w:p>
        </w:tc>
        <w:tc>
          <w:tcPr>
            <w:tcW w:type="dxa" w:w="1337"/>
          </w:tcPr>
          <w:p>
            <w:pPr>
              <w:jc w:val="center"/>
            </w:pPr>
            <w:r/>
            <w:r>
              <w:rPr>
                <w:rFonts w:ascii="Times New Roman" w:hAnsi="Times New Roman"/>
                <w:sz w:val="16"/>
              </w:rPr>
              <w:t>Topo Imbabura</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2860</w:t>
            </w:r>
          </w:p>
        </w:tc>
        <w:tc>
          <w:tcPr>
            <w:tcW w:type="dxa" w:w="1337"/>
          </w:tcPr>
          <w:p>
            <w:pPr>
              <w:jc w:val="center"/>
            </w:pPr>
            <w:r/>
            <w:r>
              <w:rPr>
                <w:rFonts w:ascii="Times New Roman" w:hAnsi="Times New Roman"/>
                <w:sz w:val="16"/>
              </w:rPr>
              <w:t>0.212</w:t>
            </w:r>
          </w:p>
        </w:tc>
        <w:tc>
          <w:tcPr>
            <w:tcW w:type="dxa" w:w="1337"/>
          </w:tcPr>
          <w:p>
            <w:pPr>
              <w:jc w:val="center"/>
            </w:pPr>
            <w:r/>
            <w:r>
              <w:rPr>
                <w:rFonts w:ascii="Times New Roman" w:hAnsi="Times New Roman"/>
                <w:sz w:val="16"/>
              </w:rPr>
              <w:t>-78.167</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M0909</w:t>
            </w:r>
          </w:p>
        </w:tc>
        <w:tc>
          <w:tcPr>
            <w:tcW w:type="dxa" w:w="1337"/>
          </w:tcPr>
          <w:p>
            <w:pPr>
              <w:jc w:val="center"/>
            </w:pPr>
            <w:r/>
            <w:r>
              <w:rPr>
                <w:rFonts w:ascii="Times New Roman" w:hAnsi="Times New Roman"/>
                <w:sz w:val="16"/>
              </w:rPr>
              <w:t>Gualsaquí</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2710</w:t>
            </w:r>
          </w:p>
        </w:tc>
        <w:tc>
          <w:tcPr>
            <w:tcW w:type="dxa" w:w="1337"/>
          </w:tcPr>
          <w:p>
            <w:pPr>
              <w:jc w:val="center"/>
            </w:pPr>
            <w:r/>
            <w:r>
              <w:rPr>
                <w:rFonts w:ascii="Times New Roman" w:hAnsi="Times New Roman"/>
                <w:sz w:val="16"/>
              </w:rPr>
              <w:t>0.321</w:t>
            </w:r>
          </w:p>
        </w:tc>
        <w:tc>
          <w:tcPr>
            <w:tcW w:type="dxa" w:w="1337"/>
          </w:tcPr>
          <w:p>
            <w:pPr>
              <w:jc w:val="center"/>
            </w:pPr>
            <w:r/>
            <w:r>
              <w:rPr>
                <w:rFonts w:ascii="Times New Roman" w:hAnsi="Times New Roman"/>
                <w:sz w:val="16"/>
              </w:rPr>
              <w:t>-78.408</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M0328</w:t>
            </w:r>
          </w:p>
        </w:tc>
        <w:tc>
          <w:tcPr>
            <w:tcW w:type="dxa" w:w="1337"/>
          </w:tcPr>
          <w:p>
            <w:pPr>
              <w:jc w:val="center"/>
            </w:pPr>
            <w:r/>
            <w:r>
              <w:rPr>
                <w:rFonts w:ascii="Times New Roman" w:hAnsi="Times New Roman"/>
                <w:sz w:val="16"/>
              </w:rPr>
              <w:t>Hda. María Leticia</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2600</w:t>
            </w:r>
          </w:p>
        </w:tc>
        <w:tc>
          <w:tcPr>
            <w:tcW w:type="dxa" w:w="1337"/>
          </w:tcPr>
          <w:p>
            <w:pPr>
              <w:jc w:val="center"/>
            </w:pPr>
            <w:r/>
            <w:r>
              <w:rPr>
                <w:rFonts w:ascii="Times New Roman" w:hAnsi="Times New Roman"/>
                <w:sz w:val="16"/>
              </w:rPr>
              <w:t>0.348</w:t>
            </w:r>
          </w:p>
        </w:tc>
        <w:tc>
          <w:tcPr>
            <w:tcW w:type="dxa" w:w="1337"/>
          </w:tcPr>
          <w:p>
            <w:pPr>
              <w:jc w:val="center"/>
            </w:pPr>
            <w:r/>
            <w:r>
              <w:rPr>
                <w:rFonts w:ascii="Times New Roman" w:hAnsi="Times New Roman"/>
                <w:sz w:val="16"/>
              </w:rPr>
              <w:t>-78.27</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M0105</w:t>
            </w:r>
          </w:p>
        </w:tc>
        <w:tc>
          <w:tcPr>
            <w:tcW w:type="dxa" w:w="1337"/>
          </w:tcPr>
          <w:p>
            <w:pPr>
              <w:jc w:val="center"/>
            </w:pPr>
            <w:r/>
            <w:r>
              <w:rPr>
                <w:rFonts w:ascii="Times New Roman" w:hAnsi="Times New Roman"/>
                <w:sz w:val="16"/>
              </w:rPr>
              <w:t>Otavalo</w:t>
            </w:r>
          </w:p>
        </w:tc>
        <w:tc>
          <w:tcPr>
            <w:tcW w:type="dxa" w:w="1337"/>
          </w:tcPr>
          <w:p>
            <w:pPr>
              <w:jc w:val="center"/>
            </w:pPr>
            <w:r/>
            <w:r>
              <w:rPr>
                <w:rFonts w:ascii="Times New Roman" w:hAnsi="Times New Roman"/>
                <w:sz w:val="16"/>
              </w:rPr>
              <w:t>CP</w:t>
            </w:r>
          </w:p>
        </w:tc>
        <w:tc>
          <w:tcPr>
            <w:tcW w:type="dxa" w:w="1337"/>
          </w:tcPr>
          <w:p>
            <w:pPr>
              <w:jc w:val="center"/>
            </w:pPr>
            <w:r/>
            <w:r>
              <w:rPr>
                <w:rFonts w:ascii="Times New Roman" w:hAnsi="Times New Roman"/>
                <w:sz w:val="16"/>
              </w:rPr>
              <w:t>2550</w:t>
            </w:r>
          </w:p>
        </w:tc>
        <w:tc>
          <w:tcPr>
            <w:tcW w:type="dxa" w:w="1337"/>
          </w:tcPr>
          <w:p>
            <w:pPr>
              <w:jc w:val="center"/>
            </w:pPr>
            <w:r/>
            <w:r>
              <w:rPr>
                <w:rFonts w:ascii="Times New Roman" w:hAnsi="Times New Roman"/>
                <w:sz w:val="16"/>
              </w:rPr>
              <w:t>0.243</w:t>
            </w:r>
          </w:p>
        </w:tc>
        <w:tc>
          <w:tcPr>
            <w:tcW w:type="dxa" w:w="1337"/>
          </w:tcPr>
          <w:p>
            <w:pPr>
              <w:jc w:val="center"/>
            </w:pPr>
            <w:r/>
            <w:r>
              <w:rPr>
                <w:rFonts w:ascii="Times New Roman" w:hAnsi="Times New Roman"/>
                <w:sz w:val="16"/>
              </w:rPr>
              <w:t>-78.25</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M0317</w:t>
            </w:r>
          </w:p>
        </w:tc>
        <w:tc>
          <w:tcPr>
            <w:tcW w:type="dxa" w:w="1337"/>
          </w:tcPr>
          <w:p>
            <w:pPr>
              <w:jc w:val="center"/>
            </w:pPr>
            <w:r/>
            <w:r>
              <w:rPr>
                <w:rFonts w:ascii="Times New Roman" w:hAnsi="Times New Roman"/>
                <w:sz w:val="16"/>
              </w:rPr>
              <w:t>Cotacachi</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2410</w:t>
            </w:r>
          </w:p>
        </w:tc>
        <w:tc>
          <w:tcPr>
            <w:tcW w:type="dxa" w:w="1337"/>
          </w:tcPr>
          <w:p>
            <w:pPr>
              <w:jc w:val="center"/>
            </w:pPr>
            <w:r/>
            <w:r>
              <w:rPr>
                <w:rFonts w:ascii="Times New Roman" w:hAnsi="Times New Roman"/>
                <w:sz w:val="16"/>
              </w:rPr>
              <w:t>0.305</w:t>
            </w:r>
          </w:p>
        </w:tc>
        <w:tc>
          <w:tcPr>
            <w:tcW w:type="dxa" w:w="1337"/>
          </w:tcPr>
          <w:p>
            <w:pPr>
              <w:jc w:val="center"/>
            </w:pPr>
            <w:r/>
            <w:r>
              <w:rPr>
                <w:rFonts w:ascii="Times New Roman" w:hAnsi="Times New Roman"/>
                <w:sz w:val="16"/>
              </w:rPr>
              <w:t>-78.271</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M0312</w:t>
            </w:r>
          </w:p>
        </w:tc>
        <w:tc>
          <w:tcPr>
            <w:tcW w:type="dxa" w:w="1337"/>
          </w:tcPr>
          <w:p>
            <w:pPr>
              <w:jc w:val="center"/>
            </w:pPr>
            <w:r/>
            <w:r>
              <w:rPr>
                <w:rFonts w:ascii="Times New Roman" w:hAnsi="Times New Roman"/>
                <w:sz w:val="16"/>
              </w:rPr>
              <w:t>Pablo Arenas</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2340</w:t>
            </w:r>
          </w:p>
        </w:tc>
        <w:tc>
          <w:tcPr>
            <w:tcW w:type="dxa" w:w="1337"/>
          </w:tcPr>
          <w:p>
            <w:pPr>
              <w:jc w:val="center"/>
            </w:pPr>
            <w:r/>
            <w:r>
              <w:rPr>
                <w:rFonts w:ascii="Times New Roman" w:hAnsi="Times New Roman"/>
                <w:sz w:val="16"/>
              </w:rPr>
              <w:t>0.503</w:t>
            </w:r>
          </w:p>
        </w:tc>
        <w:tc>
          <w:tcPr>
            <w:tcW w:type="dxa" w:w="1337"/>
          </w:tcPr>
          <w:p>
            <w:pPr>
              <w:jc w:val="center"/>
            </w:pPr>
            <w:r/>
            <w:r>
              <w:rPr>
                <w:rFonts w:ascii="Times New Roman" w:hAnsi="Times New Roman"/>
                <w:sz w:val="16"/>
              </w:rPr>
              <w:t>-78.194</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M0107</w:t>
            </w:r>
          </w:p>
        </w:tc>
        <w:tc>
          <w:tcPr>
            <w:tcW w:type="dxa" w:w="1337"/>
          </w:tcPr>
          <w:p>
            <w:pPr>
              <w:jc w:val="center"/>
            </w:pPr>
            <w:r/>
            <w:r>
              <w:rPr>
                <w:rFonts w:ascii="Times New Roman" w:hAnsi="Times New Roman"/>
                <w:sz w:val="16"/>
              </w:rPr>
              <w:t>Cahuasquí-FAO</w:t>
            </w:r>
          </w:p>
        </w:tc>
        <w:tc>
          <w:tcPr>
            <w:tcW w:type="dxa" w:w="1337"/>
          </w:tcPr>
          <w:p>
            <w:pPr>
              <w:jc w:val="center"/>
            </w:pPr>
            <w:r/>
            <w:r>
              <w:rPr>
                <w:rFonts w:ascii="Times New Roman" w:hAnsi="Times New Roman"/>
                <w:sz w:val="16"/>
              </w:rPr>
              <w:t>CO</w:t>
            </w:r>
          </w:p>
        </w:tc>
        <w:tc>
          <w:tcPr>
            <w:tcW w:type="dxa" w:w="1337"/>
          </w:tcPr>
          <w:p>
            <w:pPr>
              <w:jc w:val="center"/>
            </w:pPr>
            <w:r/>
            <w:r>
              <w:rPr>
                <w:rFonts w:ascii="Times New Roman" w:hAnsi="Times New Roman"/>
                <w:sz w:val="16"/>
              </w:rPr>
              <w:t>2335</w:t>
            </w:r>
          </w:p>
        </w:tc>
        <w:tc>
          <w:tcPr>
            <w:tcW w:type="dxa" w:w="1337"/>
          </w:tcPr>
          <w:p>
            <w:pPr>
              <w:jc w:val="center"/>
            </w:pPr>
            <w:r/>
            <w:r>
              <w:rPr>
                <w:rFonts w:ascii="Times New Roman" w:hAnsi="Times New Roman"/>
                <w:sz w:val="16"/>
              </w:rPr>
              <w:t>0.518</w:t>
            </w:r>
          </w:p>
        </w:tc>
        <w:tc>
          <w:tcPr>
            <w:tcW w:type="dxa" w:w="1337"/>
          </w:tcPr>
          <w:p>
            <w:pPr>
              <w:jc w:val="center"/>
            </w:pPr>
            <w:r/>
            <w:r>
              <w:rPr>
                <w:rFonts w:ascii="Times New Roman" w:hAnsi="Times New Roman"/>
                <w:sz w:val="16"/>
              </w:rPr>
              <w:t>-78.211</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M0104</w:t>
            </w:r>
          </w:p>
        </w:tc>
        <w:tc>
          <w:tcPr>
            <w:tcW w:type="dxa" w:w="1337"/>
          </w:tcPr>
          <w:p>
            <w:pPr>
              <w:jc w:val="center"/>
            </w:pPr>
            <w:r/>
            <w:r>
              <w:rPr>
                <w:rFonts w:ascii="Times New Roman" w:hAnsi="Times New Roman"/>
                <w:sz w:val="16"/>
              </w:rPr>
              <w:t>Mira-FAO</w:t>
            </w:r>
          </w:p>
        </w:tc>
        <w:tc>
          <w:tcPr>
            <w:tcW w:type="dxa" w:w="1337"/>
          </w:tcPr>
          <w:p>
            <w:pPr>
              <w:jc w:val="center"/>
            </w:pPr>
            <w:r/>
            <w:r>
              <w:rPr>
                <w:rFonts w:ascii="Times New Roman" w:hAnsi="Times New Roman"/>
                <w:sz w:val="16"/>
              </w:rPr>
              <w:t>CO</w:t>
            </w:r>
          </w:p>
        </w:tc>
        <w:tc>
          <w:tcPr>
            <w:tcW w:type="dxa" w:w="1337"/>
          </w:tcPr>
          <w:p>
            <w:pPr>
              <w:jc w:val="center"/>
            </w:pPr>
            <w:r/>
            <w:r>
              <w:rPr>
                <w:rFonts w:ascii="Times New Roman" w:hAnsi="Times New Roman"/>
                <w:sz w:val="16"/>
              </w:rPr>
              <w:t>2275</w:t>
            </w:r>
          </w:p>
        </w:tc>
        <w:tc>
          <w:tcPr>
            <w:tcW w:type="dxa" w:w="1337"/>
          </w:tcPr>
          <w:p>
            <w:pPr>
              <w:jc w:val="center"/>
            </w:pPr>
            <w:r/>
            <w:r>
              <w:rPr>
                <w:rFonts w:ascii="Times New Roman" w:hAnsi="Times New Roman"/>
                <w:sz w:val="16"/>
              </w:rPr>
              <w:t>0.553</w:t>
            </w:r>
          </w:p>
        </w:tc>
        <w:tc>
          <w:tcPr>
            <w:tcW w:type="dxa" w:w="1337"/>
          </w:tcPr>
          <w:p>
            <w:pPr>
              <w:jc w:val="center"/>
            </w:pPr>
            <w:r/>
            <w:r>
              <w:rPr>
                <w:rFonts w:ascii="Times New Roman" w:hAnsi="Times New Roman"/>
                <w:sz w:val="16"/>
              </w:rPr>
              <w:t>-78.028</w:t>
            </w:r>
          </w:p>
        </w:tc>
        <w:tc>
          <w:tcPr>
            <w:tcW w:type="dxa" w:w="1337"/>
          </w:tcPr>
          <w:p>
            <w:pPr>
              <w:jc w:val="center"/>
            </w:pPr>
            <w:r/>
            <w:r>
              <w:rPr>
                <w:rFonts w:ascii="Times New Roman" w:hAnsi="Times New Roman"/>
                <w:sz w:val="16"/>
              </w:rPr>
              <w:t>Carchi</w:t>
            </w:r>
          </w:p>
        </w:tc>
      </w:tr>
      <w:tr>
        <w:tc>
          <w:tcPr>
            <w:tcW w:type="dxa" w:w="1337"/>
          </w:tcPr>
          <w:p>
            <w:pPr>
              <w:jc w:val="center"/>
            </w:pPr>
            <w:r/>
            <w:r>
              <w:rPr>
                <w:rFonts w:ascii="Times New Roman" w:hAnsi="Times New Roman"/>
                <w:sz w:val="16"/>
              </w:rPr>
              <w:t>M1240</w:t>
            </w:r>
          </w:p>
        </w:tc>
        <w:tc>
          <w:tcPr>
            <w:tcW w:type="dxa" w:w="1337"/>
          </w:tcPr>
          <w:p>
            <w:pPr>
              <w:jc w:val="center"/>
            </w:pPr>
            <w:r/>
            <w:r>
              <w:rPr>
                <w:rFonts w:ascii="Times New Roman" w:hAnsi="Times New Roman"/>
                <w:sz w:val="16"/>
              </w:rPr>
              <w:t>Ibarra-INAMHI</w:t>
            </w:r>
          </w:p>
        </w:tc>
        <w:tc>
          <w:tcPr>
            <w:tcW w:type="dxa" w:w="1337"/>
          </w:tcPr>
          <w:p>
            <w:pPr>
              <w:jc w:val="center"/>
            </w:pPr>
            <w:r/>
            <w:r>
              <w:rPr>
                <w:rFonts w:ascii="Times New Roman" w:hAnsi="Times New Roman"/>
                <w:sz w:val="16"/>
              </w:rPr>
              <w:t>CO</w:t>
            </w:r>
          </w:p>
        </w:tc>
        <w:tc>
          <w:tcPr>
            <w:tcW w:type="dxa" w:w="1337"/>
          </w:tcPr>
          <w:p>
            <w:pPr>
              <w:jc w:val="center"/>
            </w:pPr>
            <w:r/>
            <w:r>
              <w:rPr>
                <w:rFonts w:ascii="Times New Roman" w:hAnsi="Times New Roman"/>
                <w:sz w:val="16"/>
              </w:rPr>
              <w:t>2247</w:t>
            </w:r>
          </w:p>
        </w:tc>
        <w:tc>
          <w:tcPr>
            <w:tcW w:type="dxa" w:w="1337"/>
          </w:tcPr>
          <w:p>
            <w:pPr>
              <w:jc w:val="center"/>
            </w:pPr>
            <w:r/>
            <w:r>
              <w:rPr>
                <w:rFonts w:ascii="Times New Roman" w:hAnsi="Times New Roman"/>
                <w:sz w:val="16"/>
              </w:rPr>
              <w:t>0.334</w:t>
            </w:r>
          </w:p>
        </w:tc>
        <w:tc>
          <w:tcPr>
            <w:tcW w:type="dxa" w:w="1337"/>
          </w:tcPr>
          <w:p>
            <w:pPr>
              <w:jc w:val="center"/>
            </w:pPr>
            <w:r/>
            <w:r>
              <w:rPr>
                <w:rFonts w:ascii="Times New Roman" w:hAnsi="Times New Roman"/>
                <w:sz w:val="16"/>
              </w:rPr>
              <w:t>-78.139</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M0324</w:t>
            </w:r>
          </w:p>
        </w:tc>
        <w:tc>
          <w:tcPr>
            <w:tcW w:type="dxa" w:w="1337"/>
          </w:tcPr>
          <w:p>
            <w:pPr>
              <w:jc w:val="center"/>
            </w:pPr>
            <w:r/>
            <w:r>
              <w:rPr>
                <w:rFonts w:ascii="Times New Roman" w:hAnsi="Times New Roman"/>
                <w:sz w:val="16"/>
              </w:rPr>
              <w:t>San Fco. Sigsipamba</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2230</w:t>
            </w:r>
          </w:p>
        </w:tc>
        <w:tc>
          <w:tcPr>
            <w:tcW w:type="dxa" w:w="1337"/>
          </w:tcPr>
          <w:p>
            <w:pPr>
              <w:jc w:val="center"/>
            </w:pPr>
            <w:r/>
            <w:r>
              <w:rPr>
                <w:rFonts w:ascii="Times New Roman" w:hAnsi="Times New Roman"/>
                <w:sz w:val="16"/>
              </w:rPr>
              <w:t>0.298</w:t>
            </w:r>
          </w:p>
        </w:tc>
        <w:tc>
          <w:tcPr>
            <w:tcW w:type="dxa" w:w="1337"/>
          </w:tcPr>
          <w:p>
            <w:pPr>
              <w:jc w:val="center"/>
            </w:pPr>
            <w:r/>
            <w:r>
              <w:rPr>
                <w:rFonts w:ascii="Times New Roman" w:hAnsi="Times New Roman"/>
                <w:sz w:val="16"/>
              </w:rPr>
              <w:t>-77.911</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M0021</w:t>
            </w:r>
          </w:p>
        </w:tc>
        <w:tc>
          <w:tcPr>
            <w:tcW w:type="dxa" w:w="1337"/>
          </w:tcPr>
          <w:p>
            <w:pPr>
              <w:jc w:val="center"/>
            </w:pPr>
            <w:r/>
            <w:r>
              <w:rPr>
                <w:rFonts w:ascii="Times New Roman" w:hAnsi="Times New Roman"/>
                <w:sz w:val="16"/>
              </w:rPr>
              <w:t>Atuntaqui</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2200</w:t>
            </w:r>
          </w:p>
        </w:tc>
        <w:tc>
          <w:tcPr>
            <w:tcW w:type="dxa" w:w="1337"/>
          </w:tcPr>
          <w:p>
            <w:pPr>
              <w:jc w:val="center"/>
            </w:pPr>
            <w:r/>
            <w:r>
              <w:rPr>
                <w:rFonts w:ascii="Times New Roman" w:hAnsi="Times New Roman"/>
                <w:sz w:val="16"/>
              </w:rPr>
              <w:t>0.354</w:t>
            </w:r>
          </w:p>
        </w:tc>
        <w:tc>
          <w:tcPr>
            <w:tcW w:type="dxa" w:w="1337"/>
          </w:tcPr>
          <w:p>
            <w:pPr>
              <w:jc w:val="center"/>
            </w:pPr>
            <w:r/>
            <w:r>
              <w:rPr>
                <w:rFonts w:ascii="Times New Roman" w:hAnsi="Times New Roman"/>
                <w:sz w:val="16"/>
              </w:rPr>
              <w:t>-78.228</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M0315</w:t>
            </w:r>
          </w:p>
        </w:tc>
        <w:tc>
          <w:tcPr>
            <w:tcW w:type="dxa" w:w="1337"/>
          </w:tcPr>
          <w:p>
            <w:pPr>
              <w:jc w:val="center"/>
            </w:pPr>
            <w:r/>
            <w:r>
              <w:rPr>
                <w:rFonts w:ascii="Times New Roman" w:hAnsi="Times New Roman"/>
                <w:sz w:val="16"/>
              </w:rPr>
              <w:t>Pimampiro</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2090</w:t>
            </w:r>
          </w:p>
        </w:tc>
        <w:tc>
          <w:tcPr>
            <w:tcW w:type="dxa" w:w="1337"/>
          </w:tcPr>
          <w:p>
            <w:pPr>
              <w:jc w:val="center"/>
            </w:pPr>
            <w:r/>
            <w:r>
              <w:rPr>
                <w:rFonts w:ascii="Times New Roman" w:hAnsi="Times New Roman"/>
                <w:sz w:val="16"/>
              </w:rPr>
              <w:t>0.389</w:t>
            </w:r>
          </w:p>
        </w:tc>
        <w:tc>
          <w:tcPr>
            <w:tcW w:type="dxa" w:w="1337"/>
          </w:tcPr>
          <w:p>
            <w:pPr>
              <w:jc w:val="center"/>
            </w:pPr>
            <w:r/>
            <w:r>
              <w:rPr>
                <w:rFonts w:ascii="Times New Roman" w:hAnsi="Times New Roman"/>
                <w:sz w:val="16"/>
              </w:rPr>
              <w:t>-77.941</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M0325</w:t>
            </w:r>
          </w:p>
        </w:tc>
        <w:tc>
          <w:tcPr>
            <w:tcW w:type="dxa" w:w="1337"/>
          </w:tcPr>
          <w:p>
            <w:pPr>
              <w:jc w:val="center"/>
            </w:pPr>
            <w:r/>
            <w:r>
              <w:rPr>
                <w:rFonts w:ascii="Times New Roman" w:hAnsi="Times New Roman"/>
                <w:sz w:val="16"/>
              </w:rPr>
              <w:t>García Moreno</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1950</w:t>
            </w:r>
          </w:p>
        </w:tc>
        <w:tc>
          <w:tcPr>
            <w:tcW w:type="dxa" w:w="1337"/>
          </w:tcPr>
          <w:p>
            <w:pPr>
              <w:jc w:val="center"/>
            </w:pPr>
            <w:r/>
            <w:r>
              <w:rPr>
                <w:rFonts w:ascii="Times New Roman" w:hAnsi="Times New Roman"/>
                <w:sz w:val="16"/>
              </w:rPr>
              <w:t>0.235</w:t>
            </w:r>
          </w:p>
        </w:tc>
        <w:tc>
          <w:tcPr>
            <w:tcW w:type="dxa" w:w="1337"/>
          </w:tcPr>
          <w:p>
            <w:pPr>
              <w:jc w:val="center"/>
            </w:pPr>
            <w:r/>
            <w:r>
              <w:rPr>
                <w:rFonts w:ascii="Times New Roman" w:hAnsi="Times New Roman"/>
                <w:sz w:val="16"/>
              </w:rPr>
              <w:t>-78.628</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M0086</w:t>
            </w:r>
          </w:p>
        </w:tc>
        <w:tc>
          <w:tcPr>
            <w:tcW w:type="dxa" w:w="1337"/>
          </w:tcPr>
          <w:p>
            <w:pPr>
              <w:jc w:val="center"/>
            </w:pPr>
            <w:r/>
            <w:r>
              <w:rPr>
                <w:rFonts w:ascii="Times New Roman" w:hAnsi="Times New Roman"/>
                <w:sz w:val="16"/>
              </w:rPr>
              <w:t>San Vicente de Pusir</w:t>
            </w:r>
          </w:p>
        </w:tc>
        <w:tc>
          <w:tcPr>
            <w:tcW w:type="dxa" w:w="1337"/>
          </w:tcPr>
          <w:p>
            <w:pPr>
              <w:jc w:val="center"/>
            </w:pPr>
            <w:r/>
            <w:r>
              <w:rPr>
                <w:rFonts w:ascii="Times New Roman" w:hAnsi="Times New Roman"/>
                <w:sz w:val="16"/>
              </w:rPr>
              <w:t>AP</w:t>
            </w:r>
          </w:p>
        </w:tc>
        <w:tc>
          <w:tcPr>
            <w:tcW w:type="dxa" w:w="1337"/>
          </w:tcPr>
          <w:p>
            <w:pPr>
              <w:jc w:val="center"/>
            </w:pPr>
            <w:r/>
            <w:r>
              <w:rPr>
                <w:rFonts w:ascii="Times New Roman" w:hAnsi="Times New Roman"/>
                <w:sz w:val="16"/>
              </w:rPr>
              <w:t>1891</w:t>
            </w:r>
          </w:p>
        </w:tc>
        <w:tc>
          <w:tcPr>
            <w:tcW w:type="dxa" w:w="1337"/>
          </w:tcPr>
          <w:p>
            <w:pPr>
              <w:jc w:val="center"/>
            </w:pPr>
            <w:r/>
            <w:r>
              <w:rPr>
                <w:rFonts w:ascii="Times New Roman" w:hAnsi="Times New Roman"/>
                <w:sz w:val="16"/>
              </w:rPr>
              <w:t>0.494</w:t>
            </w:r>
          </w:p>
        </w:tc>
        <w:tc>
          <w:tcPr>
            <w:tcW w:type="dxa" w:w="1337"/>
          </w:tcPr>
          <w:p>
            <w:pPr>
              <w:jc w:val="center"/>
            </w:pPr>
            <w:r/>
            <w:r>
              <w:rPr>
                <w:rFonts w:ascii="Times New Roman" w:hAnsi="Times New Roman"/>
                <w:sz w:val="16"/>
              </w:rPr>
              <w:t>-78.041</w:t>
            </w:r>
          </w:p>
        </w:tc>
        <w:tc>
          <w:tcPr>
            <w:tcW w:type="dxa" w:w="1337"/>
          </w:tcPr>
          <w:p>
            <w:pPr>
              <w:jc w:val="center"/>
            </w:pPr>
            <w:r/>
            <w:r>
              <w:rPr>
                <w:rFonts w:ascii="Times New Roman" w:hAnsi="Times New Roman"/>
                <w:sz w:val="16"/>
              </w:rPr>
              <w:t>Carchi</w:t>
            </w:r>
          </w:p>
        </w:tc>
      </w:tr>
      <w:tr>
        <w:tc>
          <w:tcPr>
            <w:tcW w:type="dxa" w:w="1337"/>
          </w:tcPr>
          <w:p>
            <w:pPr>
              <w:jc w:val="center"/>
            </w:pPr>
            <w:r/>
            <w:r>
              <w:rPr>
                <w:rFonts w:ascii="Times New Roman" w:hAnsi="Times New Roman"/>
                <w:sz w:val="16"/>
              </w:rPr>
              <w:t>M0314</w:t>
            </w:r>
          </w:p>
        </w:tc>
        <w:tc>
          <w:tcPr>
            <w:tcW w:type="dxa" w:w="1337"/>
          </w:tcPr>
          <w:p>
            <w:pPr>
              <w:jc w:val="center"/>
            </w:pPr>
            <w:r/>
            <w:r>
              <w:rPr>
                <w:rFonts w:ascii="Times New Roman" w:hAnsi="Times New Roman"/>
                <w:sz w:val="16"/>
              </w:rPr>
              <w:t>Ambuquí</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1880</w:t>
            </w:r>
          </w:p>
        </w:tc>
        <w:tc>
          <w:tcPr>
            <w:tcW w:type="dxa" w:w="1337"/>
          </w:tcPr>
          <w:p>
            <w:pPr>
              <w:jc w:val="center"/>
            </w:pPr>
            <w:r/>
            <w:r>
              <w:rPr>
                <w:rFonts w:ascii="Times New Roman" w:hAnsi="Times New Roman"/>
                <w:sz w:val="16"/>
              </w:rPr>
              <w:t>0.426</w:t>
            </w:r>
          </w:p>
        </w:tc>
        <w:tc>
          <w:tcPr>
            <w:tcW w:type="dxa" w:w="1337"/>
          </w:tcPr>
          <w:p>
            <w:pPr>
              <w:jc w:val="center"/>
            </w:pPr>
            <w:r/>
            <w:r>
              <w:rPr>
                <w:rFonts w:ascii="Times New Roman" w:hAnsi="Times New Roman"/>
                <w:sz w:val="16"/>
              </w:rPr>
              <w:t>-78.005</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M0326</w:t>
            </w:r>
          </w:p>
        </w:tc>
        <w:tc>
          <w:tcPr>
            <w:tcW w:type="dxa" w:w="1337"/>
          </w:tcPr>
          <w:p>
            <w:pPr>
              <w:jc w:val="center"/>
            </w:pPr>
            <w:r/>
            <w:r>
              <w:rPr>
                <w:rFonts w:ascii="Times New Roman" w:hAnsi="Times New Roman"/>
                <w:sz w:val="16"/>
              </w:rPr>
              <w:t>Selva Alegre</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1800</w:t>
            </w:r>
          </w:p>
        </w:tc>
        <w:tc>
          <w:tcPr>
            <w:tcW w:type="dxa" w:w="1337"/>
          </w:tcPr>
          <w:p>
            <w:pPr>
              <w:jc w:val="center"/>
            </w:pPr>
            <w:r/>
            <w:r>
              <w:rPr>
                <w:rFonts w:ascii="Times New Roman" w:hAnsi="Times New Roman"/>
                <w:sz w:val="16"/>
              </w:rPr>
              <w:t>0.247</w:t>
            </w:r>
          </w:p>
        </w:tc>
        <w:tc>
          <w:tcPr>
            <w:tcW w:type="dxa" w:w="1337"/>
          </w:tcPr>
          <w:p>
            <w:pPr>
              <w:jc w:val="center"/>
            </w:pPr>
            <w:r/>
            <w:r>
              <w:rPr>
                <w:rFonts w:ascii="Times New Roman" w:hAnsi="Times New Roman"/>
                <w:sz w:val="16"/>
              </w:rPr>
              <w:t>-78.577</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M0318</w:t>
            </w:r>
          </w:p>
        </w:tc>
        <w:tc>
          <w:tcPr>
            <w:tcW w:type="dxa" w:w="1337"/>
          </w:tcPr>
          <w:p>
            <w:pPr>
              <w:jc w:val="center"/>
            </w:pPr>
            <w:r/>
            <w:r>
              <w:rPr>
                <w:rFonts w:ascii="Times New Roman" w:hAnsi="Times New Roman"/>
                <w:sz w:val="16"/>
              </w:rPr>
              <w:t>Apuela-Intag</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1620</w:t>
            </w:r>
          </w:p>
        </w:tc>
        <w:tc>
          <w:tcPr>
            <w:tcW w:type="dxa" w:w="1337"/>
          </w:tcPr>
          <w:p>
            <w:pPr>
              <w:jc w:val="center"/>
            </w:pPr>
            <w:r/>
            <w:r>
              <w:rPr>
                <w:rFonts w:ascii="Times New Roman" w:hAnsi="Times New Roman"/>
                <w:sz w:val="16"/>
              </w:rPr>
              <w:t>0.355</w:t>
            </w:r>
          </w:p>
        </w:tc>
        <w:tc>
          <w:tcPr>
            <w:tcW w:type="dxa" w:w="1337"/>
          </w:tcPr>
          <w:p>
            <w:pPr>
              <w:jc w:val="center"/>
            </w:pPr>
            <w:r/>
            <w:r>
              <w:rPr>
                <w:rFonts w:ascii="Times New Roman" w:hAnsi="Times New Roman"/>
                <w:sz w:val="16"/>
              </w:rPr>
              <w:t>-78.514</w:t>
            </w:r>
          </w:p>
        </w:tc>
        <w:tc>
          <w:tcPr>
            <w:tcW w:type="dxa" w:w="1337"/>
          </w:tcPr>
          <w:p>
            <w:pPr>
              <w:jc w:val="center"/>
            </w:pPr>
            <w:r/>
            <w:r>
              <w:rPr>
                <w:rFonts w:ascii="Times New Roman" w:hAnsi="Times New Roman"/>
                <w:sz w:val="16"/>
              </w:rPr>
              <w:t>Imbabura</w:t>
            </w:r>
          </w:p>
        </w:tc>
      </w:tr>
      <w:tr>
        <w:tc>
          <w:tcPr>
            <w:tcW w:type="dxa" w:w="1337"/>
          </w:tcPr>
          <w:p>
            <w:pPr>
              <w:jc w:val="center"/>
            </w:pPr>
            <w:r/>
            <w:r>
              <w:rPr>
                <w:rFonts w:ascii="Times New Roman" w:hAnsi="Times New Roman"/>
                <w:sz w:val="16"/>
              </w:rPr>
              <w:t>M0327</w:t>
            </w:r>
          </w:p>
        </w:tc>
        <w:tc>
          <w:tcPr>
            <w:tcW w:type="dxa" w:w="1337"/>
          </w:tcPr>
          <w:p>
            <w:pPr>
              <w:jc w:val="center"/>
            </w:pPr>
            <w:r/>
            <w:r>
              <w:rPr>
                <w:rFonts w:ascii="Times New Roman" w:hAnsi="Times New Roman"/>
                <w:sz w:val="16"/>
              </w:rPr>
              <w:t>Chontal Bajo</w:t>
            </w:r>
          </w:p>
        </w:tc>
        <w:tc>
          <w:tcPr>
            <w:tcW w:type="dxa" w:w="1337"/>
          </w:tcPr>
          <w:p>
            <w:pPr>
              <w:jc w:val="center"/>
            </w:pPr>
            <w:r/>
            <w:r>
              <w:rPr>
                <w:rFonts w:ascii="Times New Roman" w:hAnsi="Times New Roman"/>
                <w:sz w:val="16"/>
              </w:rPr>
              <w:t>PV</w:t>
            </w:r>
          </w:p>
        </w:tc>
        <w:tc>
          <w:tcPr>
            <w:tcW w:type="dxa" w:w="1337"/>
          </w:tcPr>
          <w:p>
            <w:pPr>
              <w:jc w:val="center"/>
            </w:pPr>
            <w:r/>
            <w:r>
              <w:rPr>
                <w:rFonts w:ascii="Times New Roman" w:hAnsi="Times New Roman"/>
                <w:sz w:val="16"/>
              </w:rPr>
              <w:t>675</w:t>
            </w:r>
          </w:p>
        </w:tc>
        <w:tc>
          <w:tcPr>
            <w:tcW w:type="dxa" w:w="1337"/>
          </w:tcPr>
          <w:p>
            <w:pPr>
              <w:jc w:val="center"/>
            </w:pPr>
            <w:r/>
            <w:r>
              <w:rPr>
                <w:rFonts w:ascii="Times New Roman" w:hAnsi="Times New Roman"/>
                <w:sz w:val="16"/>
              </w:rPr>
              <w:t>0.237</w:t>
            </w:r>
          </w:p>
        </w:tc>
        <w:tc>
          <w:tcPr>
            <w:tcW w:type="dxa" w:w="1337"/>
          </w:tcPr>
          <w:p>
            <w:pPr>
              <w:jc w:val="center"/>
            </w:pPr>
            <w:r/>
            <w:r>
              <w:rPr>
                <w:rFonts w:ascii="Times New Roman" w:hAnsi="Times New Roman"/>
                <w:sz w:val="16"/>
              </w:rPr>
              <w:t>-78.749</w:t>
            </w:r>
          </w:p>
        </w:tc>
        <w:tc>
          <w:tcPr>
            <w:tcW w:type="dxa" w:w="1337"/>
          </w:tcPr>
          <w:p>
            <w:pPr>
              <w:jc w:val="center"/>
            </w:pPr>
            <w:r/>
            <w:r>
              <w:rPr>
                <w:rFonts w:ascii="Times New Roman" w:hAnsi="Times New Roman"/>
                <w:sz w:val="16"/>
              </w:rPr>
              <w:t>Imbabura</w:t>
            </w:r>
          </w:p>
        </w:tc>
      </w:tr>
    </w:tbl>
    <w:p>
      <w:pPr>
        <w:spacing w:after="240" w:line="480" w:lineRule="auto"/>
        <w:jc w:val="both"/>
      </w:pPr>
      <w:r>
        <w:rPr>
          <w:rFonts w:ascii="Times New Roman" w:hAnsi="Times New Roman"/>
          <w:b w:val="0"/>
          <w:i w:val="0"/>
          <w:sz w:val="24"/>
        </w:rPr>
      </w:r>
    </w:p>
    <w:p>
      <w:pPr>
        <w:spacing w:after="120" w:line="360" w:lineRule="auto"/>
      </w:pPr>
      <w:r>
        <w:rPr>
          <w:rFonts w:ascii="Times New Roman" w:hAnsi="Times New Roman"/>
          <w:b/>
          <w:sz w:val="22"/>
        </w:rPr>
        <w:t>Table 2.</w:t>
      </w:r>
      <w:r>
        <w:rPr>
          <w:rFonts w:ascii="Times New Roman" w:hAnsi="Times New Roman"/>
          <w:sz w:val="22"/>
        </w:rPr>
        <w:t xml:space="preserve"> Annual Mann-Kendall trends and Theil-Sen slopes per station for precipitation (CHIRPS), mean temperature (ERA5-Land), maximum and minimum temperature (ERA5-Land), relative humidity (ERA5-Land), reference evapotranspiration (TerraClimate), and PDSI (TerraClimate), 1981–2025/2024. Sig. = significant at p &lt; 0.05; Trend = direction of trend (+/−).</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6"/>
              </w:rPr>
              <w:t>ID</w:t>
            </w:r>
          </w:p>
        </w:tc>
        <w:tc>
          <w:tcPr>
            <w:tcW w:type="dxa" w:w="1337"/>
          </w:tcPr>
          <w:p>
            <w:pPr>
              <w:jc w:val="center"/>
            </w:pPr>
            <w:r/>
            <w:r>
              <w:rPr>
                <w:rFonts w:ascii="Times New Roman" w:hAnsi="Times New Roman"/>
                <w:b/>
                <w:sz w:val="16"/>
              </w:rPr>
              <w:t>Name</w:t>
            </w:r>
          </w:p>
        </w:tc>
        <w:tc>
          <w:tcPr>
            <w:tcW w:type="dxa" w:w="1337"/>
          </w:tcPr>
          <w:p>
            <w:pPr>
              <w:jc w:val="center"/>
            </w:pPr>
            <w:r/>
            <w:r>
              <w:rPr>
                <w:rFonts w:ascii="Times New Roman" w:hAnsi="Times New Roman"/>
                <w:b/>
                <w:sz w:val="16"/>
              </w:rPr>
              <w:t>Elev. (m)</w:t>
            </w:r>
          </w:p>
        </w:tc>
        <w:tc>
          <w:tcPr>
            <w:tcW w:type="dxa" w:w="1337"/>
          </w:tcPr>
          <w:p>
            <w:pPr>
              <w:jc w:val="center"/>
            </w:pPr>
            <w:r/>
            <w:r>
              <w:rPr>
                <w:rFonts w:ascii="Times New Roman" w:hAnsi="Times New Roman"/>
                <w:b/>
                <w:sz w:val="16"/>
              </w:rPr>
              <w:t>Precip Sen (mm/yr)</w:t>
            </w:r>
          </w:p>
        </w:tc>
        <w:tc>
          <w:tcPr>
            <w:tcW w:type="dxa" w:w="1337"/>
          </w:tcPr>
          <w:p>
            <w:pPr>
              <w:jc w:val="center"/>
            </w:pPr>
            <w:r/>
            <w:r>
              <w:rPr>
                <w:rFonts w:ascii="Times New Roman" w:hAnsi="Times New Roman"/>
                <w:b/>
                <w:sz w:val="16"/>
              </w:rPr>
              <w:t>Precip Sig.</w:t>
            </w:r>
          </w:p>
        </w:tc>
        <w:tc>
          <w:tcPr>
            <w:tcW w:type="dxa" w:w="1337"/>
          </w:tcPr>
          <w:p>
            <w:pPr>
              <w:jc w:val="center"/>
            </w:pPr>
            <w:r/>
            <w:r>
              <w:rPr>
                <w:rFonts w:ascii="Times New Roman" w:hAnsi="Times New Roman"/>
                <w:b/>
                <w:sz w:val="16"/>
              </w:rPr>
              <w:t>Tmean Sen (°C/yr)</w:t>
            </w:r>
          </w:p>
        </w:tc>
        <w:tc>
          <w:tcPr>
            <w:tcW w:type="dxa" w:w="1337"/>
          </w:tcPr>
          <w:p>
            <w:pPr>
              <w:jc w:val="center"/>
            </w:pPr>
            <w:r/>
            <w:r>
              <w:rPr>
                <w:rFonts w:ascii="Times New Roman" w:hAnsi="Times New Roman"/>
                <w:b/>
                <w:sz w:val="16"/>
              </w:rPr>
              <w:t>Tmean Sig.</w:t>
            </w:r>
          </w:p>
        </w:tc>
      </w:tr>
      <w:tr>
        <w:tc>
          <w:tcPr>
            <w:tcW w:type="dxa" w:w="1337"/>
          </w:tcPr>
          <w:p>
            <w:pPr>
              <w:jc w:val="center"/>
            </w:pPr>
            <w:r/>
            <w:r>
              <w:rPr>
                <w:rFonts w:ascii="Times New Roman" w:hAnsi="Times New Roman"/>
                <w:sz w:val="16"/>
              </w:rPr>
              <w:t>M0327</w:t>
            </w:r>
          </w:p>
        </w:tc>
        <w:tc>
          <w:tcPr>
            <w:tcW w:type="dxa" w:w="1337"/>
          </w:tcPr>
          <w:p>
            <w:pPr>
              <w:jc w:val="center"/>
            </w:pPr>
            <w:r/>
            <w:r>
              <w:rPr>
                <w:rFonts w:ascii="Times New Roman" w:hAnsi="Times New Roman"/>
                <w:sz w:val="16"/>
              </w:rPr>
              <w:t>Chontal Bajo</w:t>
            </w:r>
          </w:p>
        </w:tc>
        <w:tc>
          <w:tcPr>
            <w:tcW w:type="dxa" w:w="1337"/>
          </w:tcPr>
          <w:p>
            <w:pPr>
              <w:jc w:val="center"/>
            </w:pPr>
            <w:r/>
            <w:r>
              <w:rPr>
                <w:rFonts w:ascii="Times New Roman" w:hAnsi="Times New Roman"/>
                <w:sz w:val="16"/>
              </w:rPr>
              <w:t>675</w:t>
            </w:r>
          </w:p>
        </w:tc>
        <w:tc>
          <w:tcPr>
            <w:tcW w:type="dxa" w:w="1337"/>
          </w:tcPr>
          <w:p>
            <w:pPr>
              <w:jc w:val="center"/>
            </w:pPr>
            <w:r/>
            <w:r>
              <w:rPr>
                <w:rFonts w:ascii="Times New Roman" w:hAnsi="Times New Roman"/>
                <w:sz w:val="16"/>
              </w:rPr>
              <w:t>2.26</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0.0147</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M0318</w:t>
            </w:r>
          </w:p>
        </w:tc>
        <w:tc>
          <w:tcPr>
            <w:tcW w:type="dxa" w:w="1337"/>
          </w:tcPr>
          <w:p>
            <w:pPr>
              <w:jc w:val="center"/>
            </w:pPr>
            <w:r/>
            <w:r>
              <w:rPr>
                <w:rFonts w:ascii="Times New Roman" w:hAnsi="Times New Roman"/>
                <w:sz w:val="16"/>
              </w:rPr>
              <w:t>Apuela Intag</w:t>
            </w:r>
          </w:p>
        </w:tc>
        <w:tc>
          <w:tcPr>
            <w:tcW w:type="dxa" w:w="1337"/>
          </w:tcPr>
          <w:p>
            <w:pPr>
              <w:jc w:val="center"/>
            </w:pPr>
            <w:r/>
            <w:r>
              <w:rPr>
                <w:rFonts w:ascii="Times New Roman" w:hAnsi="Times New Roman"/>
                <w:sz w:val="16"/>
              </w:rPr>
              <w:t>1620</w:t>
            </w:r>
          </w:p>
        </w:tc>
        <w:tc>
          <w:tcPr>
            <w:tcW w:type="dxa" w:w="1337"/>
          </w:tcPr>
          <w:p>
            <w:pPr>
              <w:jc w:val="center"/>
            </w:pPr>
            <w:r/>
            <w:r>
              <w:rPr>
                <w:rFonts w:ascii="Times New Roman" w:hAnsi="Times New Roman"/>
                <w:sz w:val="16"/>
              </w:rPr>
              <w:t>-0.06</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0.0153</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M0326</w:t>
            </w:r>
          </w:p>
        </w:tc>
        <w:tc>
          <w:tcPr>
            <w:tcW w:type="dxa" w:w="1337"/>
          </w:tcPr>
          <w:p>
            <w:pPr>
              <w:jc w:val="center"/>
            </w:pPr>
            <w:r/>
            <w:r>
              <w:rPr>
                <w:rFonts w:ascii="Times New Roman" w:hAnsi="Times New Roman"/>
                <w:sz w:val="16"/>
              </w:rPr>
              <w:t>Selva Alegre</w:t>
            </w:r>
          </w:p>
        </w:tc>
        <w:tc>
          <w:tcPr>
            <w:tcW w:type="dxa" w:w="1337"/>
          </w:tcPr>
          <w:p>
            <w:pPr>
              <w:jc w:val="center"/>
            </w:pPr>
            <w:r/>
            <w:r>
              <w:rPr>
                <w:rFonts w:ascii="Times New Roman" w:hAnsi="Times New Roman"/>
                <w:sz w:val="16"/>
              </w:rPr>
              <w:t>1800</w:t>
            </w:r>
          </w:p>
        </w:tc>
        <w:tc>
          <w:tcPr>
            <w:tcW w:type="dxa" w:w="1337"/>
          </w:tcPr>
          <w:p>
            <w:pPr>
              <w:jc w:val="center"/>
            </w:pPr>
            <w:r/>
            <w:r>
              <w:rPr>
                <w:rFonts w:ascii="Times New Roman" w:hAnsi="Times New Roman"/>
                <w:sz w:val="16"/>
              </w:rPr>
              <w:t>-0.29</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0.0151</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M0314</w:t>
            </w:r>
          </w:p>
        </w:tc>
        <w:tc>
          <w:tcPr>
            <w:tcW w:type="dxa" w:w="1337"/>
          </w:tcPr>
          <w:p>
            <w:pPr>
              <w:jc w:val="center"/>
            </w:pPr>
            <w:r/>
            <w:r>
              <w:rPr>
                <w:rFonts w:ascii="Times New Roman" w:hAnsi="Times New Roman"/>
                <w:sz w:val="16"/>
              </w:rPr>
              <w:t>Ambuqui</w:t>
            </w:r>
          </w:p>
        </w:tc>
        <w:tc>
          <w:tcPr>
            <w:tcW w:type="dxa" w:w="1337"/>
          </w:tcPr>
          <w:p>
            <w:pPr>
              <w:jc w:val="center"/>
            </w:pPr>
            <w:r/>
            <w:r>
              <w:rPr>
                <w:rFonts w:ascii="Times New Roman" w:hAnsi="Times New Roman"/>
                <w:sz w:val="16"/>
              </w:rPr>
              <w:t>1880</w:t>
            </w:r>
          </w:p>
        </w:tc>
        <w:tc>
          <w:tcPr>
            <w:tcW w:type="dxa" w:w="1337"/>
          </w:tcPr>
          <w:p>
            <w:pPr>
              <w:jc w:val="center"/>
            </w:pPr>
            <w:r/>
            <w:r>
              <w:rPr>
                <w:rFonts w:ascii="Times New Roman" w:hAnsi="Times New Roman"/>
                <w:sz w:val="16"/>
              </w:rPr>
              <w:t>13.69</w:t>
            </w:r>
          </w:p>
        </w:tc>
        <w:tc>
          <w:tcPr>
            <w:tcW w:type="dxa" w:w="1337"/>
          </w:tcPr>
          <w:p>
            <w:pPr>
              <w:jc w:val="center"/>
            </w:pPr>
            <w:r/>
            <w:r>
              <w:rPr>
                <w:rFonts w:ascii="Times New Roman" w:hAnsi="Times New Roman"/>
                <w:sz w:val="16"/>
              </w:rPr>
              <w:t>Yes</w:t>
            </w:r>
          </w:p>
        </w:tc>
        <w:tc>
          <w:tcPr>
            <w:tcW w:type="dxa" w:w="1337"/>
          </w:tcPr>
          <w:p>
            <w:pPr>
              <w:jc w:val="center"/>
            </w:pPr>
            <w:r/>
            <w:r>
              <w:rPr>
                <w:rFonts w:ascii="Times New Roman" w:hAnsi="Times New Roman"/>
                <w:sz w:val="16"/>
              </w:rPr>
              <w:t>0.0077</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M0086</w:t>
            </w:r>
          </w:p>
        </w:tc>
        <w:tc>
          <w:tcPr>
            <w:tcW w:type="dxa" w:w="1337"/>
          </w:tcPr>
          <w:p>
            <w:pPr>
              <w:jc w:val="center"/>
            </w:pPr>
            <w:r/>
            <w:r>
              <w:rPr>
                <w:rFonts w:ascii="Times New Roman" w:hAnsi="Times New Roman"/>
                <w:sz w:val="16"/>
              </w:rPr>
              <w:t>San Vicente Pusir</w:t>
            </w:r>
          </w:p>
        </w:tc>
        <w:tc>
          <w:tcPr>
            <w:tcW w:type="dxa" w:w="1337"/>
          </w:tcPr>
          <w:p>
            <w:pPr>
              <w:jc w:val="center"/>
            </w:pPr>
            <w:r/>
            <w:r>
              <w:rPr>
                <w:rFonts w:ascii="Times New Roman" w:hAnsi="Times New Roman"/>
                <w:sz w:val="16"/>
              </w:rPr>
              <w:t>1891</w:t>
            </w:r>
          </w:p>
        </w:tc>
        <w:tc>
          <w:tcPr>
            <w:tcW w:type="dxa" w:w="1337"/>
          </w:tcPr>
          <w:p>
            <w:pPr>
              <w:jc w:val="center"/>
            </w:pPr>
            <w:r/>
            <w:r>
              <w:rPr>
                <w:rFonts w:ascii="Times New Roman" w:hAnsi="Times New Roman"/>
                <w:sz w:val="16"/>
              </w:rPr>
              <w:t>13.22</w:t>
            </w:r>
          </w:p>
        </w:tc>
        <w:tc>
          <w:tcPr>
            <w:tcW w:type="dxa" w:w="1337"/>
          </w:tcPr>
          <w:p>
            <w:pPr>
              <w:jc w:val="center"/>
            </w:pPr>
            <w:r/>
            <w:r>
              <w:rPr>
                <w:rFonts w:ascii="Times New Roman" w:hAnsi="Times New Roman"/>
                <w:sz w:val="16"/>
              </w:rPr>
              <w:t>Yes</w:t>
            </w:r>
          </w:p>
        </w:tc>
        <w:tc>
          <w:tcPr>
            <w:tcW w:type="dxa" w:w="1337"/>
          </w:tcPr>
          <w:p>
            <w:pPr>
              <w:jc w:val="center"/>
            </w:pPr>
            <w:r/>
            <w:r>
              <w:rPr>
                <w:rFonts w:ascii="Times New Roman" w:hAnsi="Times New Roman"/>
                <w:sz w:val="16"/>
              </w:rPr>
              <w:t>0.0144</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M0325</w:t>
            </w:r>
          </w:p>
        </w:tc>
        <w:tc>
          <w:tcPr>
            <w:tcW w:type="dxa" w:w="1337"/>
          </w:tcPr>
          <w:p>
            <w:pPr>
              <w:jc w:val="center"/>
            </w:pPr>
            <w:r/>
            <w:r>
              <w:rPr>
                <w:rFonts w:ascii="Times New Roman" w:hAnsi="Times New Roman"/>
                <w:sz w:val="16"/>
              </w:rPr>
              <w:t>Garcia Moreno</w:t>
            </w:r>
          </w:p>
        </w:tc>
        <w:tc>
          <w:tcPr>
            <w:tcW w:type="dxa" w:w="1337"/>
          </w:tcPr>
          <w:p>
            <w:pPr>
              <w:jc w:val="center"/>
            </w:pPr>
            <w:r/>
            <w:r>
              <w:rPr>
                <w:rFonts w:ascii="Times New Roman" w:hAnsi="Times New Roman"/>
                <w:sz w:val="16"/>
              </w:rPr>
              <w:t>1950</w:t>
            </w:r>
          </w:p>
        </w:tc>
        <w:tc>
          <w:tcPr>
            <w:tcW w:type="dxa" w:w="1337"/>
          </w:tcPr>
          <w:p>
            <w:pPr>
              <w:jc w:val="center"/>
            </w:pPr>
            <w:r/>
            <w:r>
              <w:rPr>
                <w:rFonts w:ascii="Times New Roman" w:hAnsi="Times New Roman"/>
                <w:sz w:val="16"/>
              </w:rPr>
              <w:t>-0.24</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0.0151</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M0315</w:t>
            </w:r>
          </w:p>
        </w:tc>
        <w:tc>
          <w:tcPr>
            <w:tcW w:type="dxa" w:w="1337"/>
          </w:tcPr>
          <w:p>
            <w:pPr>
              <w:jc w:val="center"/>
            </w:pPr>
            <w:r/>
            <w:r>
              <w:rPr>
                <w:rFonts w:ascii="Times New Roman" w:hAnsi="Times New Roman"/>
                <w:sz w:val="16"/>
              </w:rPr>
              <w:t>Pimampiro</w:t>
            </w:r>
          </w:p>
        </w:tc>
        <w:tc>
          <w:tcPr>
            <w:tcW w:type="dxa" w:w="1337"/>
          </w:tcPr>
          <w:p>
            <w:pPr>
              <w:jc w:val="center"/>
            </w:pPr>
            <w:r/>
            <w:r>
              <w:rPr>
                <w:rFonts w:ascii="Times New Roman" w:hAnsi="Times New Roman"/>
                <w:sz w:val="16"/>
              </w:rPr>
              <w:t>2090</w:t>
            </w:r>
          </w:p>
        </w:tc>
        <w:tc>
          <w:tcPr>
            <w:tcW w:type="dxa" w:w="1337"/>
          </w:tcPr>
          <w:p>
            <w:pPr>
              <w:jc w:val="center"/>
            </w:pPr>
            <w:r/>
            <w:r>
              <w:rPr>
                <w:rFonts w:ascii="Times New Roman" w:hAnsi="Times New Roman"/>
                <w:sz w:val="16"/>
              </w:rPr>
              <w:t>5.69</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0.0085</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M0021</w:t>
            </w:r>
          </w:p>
        </w:tc>
        <w:tc>
          <w:tcPr>
            <w:tcW w:type="dxa" w:w="1337"/>
          </w:tcPr>
          <w:p>
            <w:pPr>
              <w:jc w:val="center"/>
            </w:pPr>
            <w:r/>
            <w:r>
              <w:rPr>
                <w:rFonts w:ascii="Times New Roman" w:hAnsi="Times New Roman"/>
                <w:sz w:val="16"/>
              </w:rPr>
              <w:t>Atuntaqui</w:t>
            </w:r>
          </w:p>
        </w:tc>
        <w:tc>
          <w:tcPr>
            <w:tcW w:type="dxa" w:w="1337"/>
          </w:tcPr>
          <w:p>
            <w:pPr>
              <w:jc w:val="center"/>
            </w:pPr>
            <w:r/>
            <w:r>
              <w:rPr>
                <w:rFonts w:ascii="Times New Roman" w:hAnsi="Times New Roman"/>
                <w:sz w:val="16"/>
              </w:rPr>
              <w:t>2200</w:t>
            </w:r>
          </w:p>
        </w:tc>
        <w:tc>
          <w:tcPr>
            <w:tcW w:type="dxa" w:w="1337"/>
          </w:tcPr>
          <w:p>
            <w:pPr>
              <w:jc w:val="center"/>
            </w:pPr>
            <w:r/>
            <w:r>
              <w:rPr>
                <w:rFonts w:ascii="Times New Roman" w:hAnsi="Times New Roman"/>
                <w:sz w:val="16"/>
              </w:rPr>
              <w:t>-0.18</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0.0076</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M0324</w:t>
            </w:r>
          </w:p>
        </w:tc>
        <w:tc>
          <w:tcPr>
            <w:tcW w:type="dxa" w:w="1337"/>
          </w:tcPr>
          <w:p>
            <w:pPr>
              <w:jc w:val="center"/>
            </w:pPr>
            <w:r/>
            <w:r>
              <w:rPr>
                <w:rFonts w:ascii="Times New Roman" w:hAnsi="Times New Roman"/>
                <w:sz w:val="16"/>
              </w:rPr>
              <w:t>San Fco Sigsipamba</w:t>
            </w:r>
          </w:p>
        </w:tc>
        <w:tc>
          <w:tcPr>
            <w:tcW w:type="dxa" w:w="1337"/>
          </w:tcPr>
          <w:p>
            <w:pPr>
              <w:jc w:val="center"/>
            </w:pPr>
            <w:r/>
            <w:r>
              <w:rPr>
                <w:rFonts w:ascii="Times New Roman" w:hAnsi="Times New Roman"/>
                <w:sz w:val="16"/>
              </w:rPr>
              <w:t>2230</w:t>
            </w:r>
          </w:p>
        </w:tc>
        <w:tc>
          <w:tcPr>
            <w:tcW w:type="dxa" w:w="1337"/>
          </w:tcPr>
          <w:p>
            <w:pPr>
              <w:jc w:val="center"/>
            </w:pPr>
            <w:r/>
            <w:r>
              <w:rPr>
                <w:rFonts w:ascii="Times New Roman" w:hAnsi="Times New Roman"/>
                <w:sz w:val="16"/>
              </w:rPr>
              <w:t>2.41</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0.0091</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M1240</w:t>
            </w:r>
          </w:p>
        </w:tc>
        <w:tc>
          <w:tcPr>
            <w:tcW w:type="dxa" w:w="1337"/>
          </w:tcPr>
          <w:p>
            <w:pPr>
              <w:jc w:val="center"/>
            </w:pPr>
            <w:r/>
            <w:r>
              <w:rPr>
                <w:rFonts w:ascii="Times New Roman" w:hAnsi="Times New Roman"/>
                <w:sz w:val="16"/>
              </w:rPr>
              <w:t>Ibarra Inamhi</w:t>
            </w:r>
          </w:p>
        </w:tc>
        <w:tc>
          <w:tcPr>
            <w:tcW w:type="dxa" w:w="1337"/>
          </w:tcPr>
          <w:p>
            <w:pPr>
              <w:jc w:val="center"/>
            </w:pPr>
            <w:r/>
            <w:r>
              <w:rPr>
                <w:rFonts w:ascii="Times New Roman" w:hAnsi="Times New Roman"/>
                <w:sz w:val="16"/>
              </w:rPr>
              <w:t>2247</w:t>
            </w:r>
          </w:p>
        </w:tc>
        <w:tc>
          <w:tcPr>
            <w:tcW w:type="dxa" w:w="1337"/>
          </w:tcPr>
          <w:p>
            <w:pPr>
              <w:jc w:val="center"/>
            </w:pPr>
            <w:r/>
            <w:r>
              <w:rPr>
                <w:rFonts w:ascii="Times New Roman" w:hAnsi="Times New Roman"/>
                <w:sz w:val="16"/>
              </w:rPr>
              <w:t>3.53</w:t>
            </w:r>
          </w:p>
        </w:tc>
        <w:tc>
          <w:tcPr>
            <w:tcW w:type="dxa" w:w="1337"/>
          </w:tcPr>
          <w:p>
            <w:pPr>
              <w:jc w:val="center"/>
            </w:pPr>
            <w:r/>
            <w:r>
              <w:rPr>
                <w:rFonts w:ascii="Times New Roman" w:hAnsi="Times New Roman"/>
                <w:sz w:val="16"/>
              </w:rPr>
              <w:t>Yes</w:t>
            </w:r>
          </w:p>
        </w:tc>
        <w:tc>
          <w:tcPr>
            <w:tcW w:type="dxa" w:w="1337"/>
          </w:tcPr>
          <w:p>
            <w:pPr>
              <w:jc w:val="center"/>
            </w:pPr>
            <w:r/>
            <w:r>
              <w:rPr>
                <w:rFonts w:ascii="Times New Roman" w:hAnsi="Times New Roman"/>
                <w:sz w:val="16"/>
              </w:rPr>
              <w:t>0.0</w:t>
            </w:r>
          </w:p>
        </w:tc>
        <w:tc>
          <w:tcPr>
            <w:tcW w:type="dxa" w:w="1337"/>
          </w:tcPr>
          <w:p>
            <w:pPr>
              <w:jc w:val="center"/>
            </w:pPr>
            <w:r/>
            <w:r>
              <w:rPr>
                <w:rFonts w:ascii="Times New Roman" w:hAnsi="Times New Roman"/>
                <w:sz w:val="16"/>
              </w:rPr>
              <w:t>No</w:t>
            </w:r>
          </w:p>
        </w:tc>
      </w:tr>
      <w:tr>
        <w:tc>
          <w:tcPr>
            <w:tcW w:type="dxa" w:w="1337"/>
          </w:tcPr>
          <w:p>
            <w:pPr>
              <w:jc w:val="center"/>
            </w:pPr>
            <w:r/>
            <w:r>
              <w:rPr>
                <w:rFonts w:ascii="Times New Roman" w:hAnsi="Times New Roman"/>
                <w:sz w:val="16"/>
              </w:rPr>
              <w:t>M0104</w:t>
            </w:r>
          </w:p>
        </w:tc>
        <w:tc>
          <w:tcPr>
            <w:tcW w:type="dxa" w:w="1337"/>
          </w:tcPr>
          <w:p>
            <w:pPr>
              <w:jc w:val="center"/>
            </w:pPr>
            <w:r/>
            <w:r>
              <w:rPr>
                <w:rFonts w:ascii="Times New Roman" w:hAnsi="Times New Roman"/>
                <w:sz w:val="16"/>
              </w:rPr>
              <w:t>Mira Fao</w:t>
            </w:r>
          </w:p>
        </w:tc>
        <w:tc>
          <w:tcPr>
            <w:tcW w:type="dxa" w:w="1337"/>
          </w:tcPr>
          <w:p>
            <w:pPr>
              <w:jc w:val="center"/>
            </w:pPr>
            <w:r/>
            <w:r>
              <w:rPr>
                <w:rFonts w:ascii="Times New Roman" w:hAnsi="Times New Roman"/>
                <w:sz w:val="16"/>
              </w:rPr>
              <w:t>2275</w:t>
            </w:r>
          </w:p>
        </w:tc>
        <w:tc>
          <w:tcPr>
            <w:tcW w:type="dxa" w:w="1337"/>
          </w:tcPr>
          <w:p>
            <w:pPr>
              <w:jc w:val="center"/>
            </w:pPr>
            <w:r/>
            <w:r>
              <w:rPr>
                <w:rFonts w:ascii="Times New Roman" w:hAnsi="Times New Roman"/>
                <w:sz w:val="16"/>
              </w:rPr>
              <w:t>11.35</w:t>
            </w:r>
          </w:p>
        </w:tc>
        <w:tc>
          <w:tcPr>
            <w:tcW w:type="dxa" w:w="1337"/>
          </w:tcPr>
          <w:p>
            <w:pPr>
              <w:jc w:val="center"/>
            </w:pPr>
            <w:r/>
            <w:r>
              <w:rPr>
                <w:rFonts w:ascii="Times New Roman" w:hAnsi="Times New Roman"/>
                <w:sz w:val="16"/>
              </w:rPr>
              <w:t>Yes</w:t>
            </w:r>
          </w:p>
        </w:tc>
        <w:tc>
          <w:tcPr>
            <w:tcW w:type="dxa" w:w="1337"/>
          </w:tcPr>
          <w:p>
            <w:pPr>
              <w:jc w:val="center"/>
            </w:pPr>
            <w:r/>
            <w:r>
              <w:rPr>
                <w:rFonts w:ascii="Times New Roman" w:hAnsi="Times New Roman"/>
                <w:sz w:val="16"/>
              </w:rPr>
              <w:t>0.0168</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M0107</w:t>
            </w:r>
          </w:p>
        </w:tc>
        <w:tc>
          <w:tcPr>
            <w:tcW w:type="dxa" w:w="1337"/>
          </w:tcPr>
          <w:p>
            <w:pPr>
              <w:jc w:val="center"/>
            </w:pPr>
            <w:r/>
            <w:r>
              <w:rPr>
                <w:rFonts w:ascii="Times New Roman" w:hAnsi="Times New Roman"/>
                <w:sz w:val="16"/>
              </w:rPr>
              <w:t>Cahuasqui Fao</w:t>
            </w:r>
          </w:p>
        </w:tc>
        <w:tc>
          <w:tcPr>
            <w:tcW w:type="dxa" w:w="1337"/>
          </w:tcPr>
          <w:p>
            <w:pPr>
              <w:jc w:val="center"/>
            </w:pPr>
            <w:r/>
            <w:r>
              <w:rPr>
                <w:rFonts w:ascii="Times New Roman" w:hAnsi="Times New Roman"/>
                <w:sz w:val="16"/>
              </w:rPr>
              <w:t>2335</w:t>
            </w:r>
          </w:p>
        </w:tc>
        <w:tc>
          <w:tcPr>
            <w:tcW w:type="dxa" w:w="1337"/>
          </w:tcPr>
          <w:p>
            <w:pPr>
              <w:jc w:val="center"/>
            </w:pPr>
            <w:r/>
            <w:r>
              <w:rPr>
                <w:rFonts w:ascii="Times New Roman" w:hAnsi="Times New Roman"/>
                <w:sz w:val="16"/>
              </w:rPr>
              <w:t>-1.35</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0.0077</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M0312</w:t>
            </w:r>
          </w:p>
        </w:tc>
        <w:tc>
          <w:tcPr>
            <w:tcW w:type="dxa" w:w="1337"/>
          </w:tcPr>
          <w:p>
            <w:pPr>
              <w:jc w:val="center"/>
            </w:pPr>
            <w:r/>
            <w:r>
              <w:rPr>
                <w:rFonts w:ascii="Times New Roman" w:hAnsi="Times New Roman"/>
                <w:sz w:val="16"/>
              </w:rPr>
              <w:t>Pablo Arenas</w:t>
            </w:r>
          </w:p>
        </w:tc>
        <w:tc>
          <w:tcPr>
            <w:tcW w:type="dxa" w:w="1337"/>
          </w:tcPr>
          <w:p>
            <w:pPr>
              <w:jc w:val="center"/>
            </w:pPr>
            <w:r/>
            <w:r>
              <w:rPr>
                <w:rFonts w:ascii="Times New Roman" w:hAnsi="Times New Roman"/>
                <w:sz w:val="16"/>
              </w:rPr>
              <w:t>2340</w:t>
            </w:r>
          </w:p>
        </w:tc>
        <w:tc>
          <w:tcPr>
            <w:tcW w:type="dxa" w:w="1337"/>
          </w:tcPr>
          <w:p>
            <w:pPr>
              <w:jc w:val="center"/>
            </w:pPr>
            <w:r/>
            <w:r>
              <w:rPr>
                <w:rFonts w:ascii="Times New Roman" w:hAnsi="Times New Roman"/>
                <w:sz w:val="16"/>
              </w:rPr>
              <w:t>0.41</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0.0077</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M0317</w:t>
            </w:r>
          </w:p>
        </w:tc>
        <w:tc>
          <w:tcPr>
            <w:tcW w:type="dxa" w:w="1337"/>
          </w:tcPr>
          <w:p>
            <w:pPr>
              <w:jc w:val="center"/>
            </w:pPr>
            <w:r/>
            <w:r>
              <w:rPr>
                <w:rFonts w:ascii="Times New Roman" w:hAnsi="Times New Roman"/>
                <w:sz w:val="16"/>
              </w:rPr>
              <w:t>Cotacachi</w:t>
            </w:r>
          </w:p>
        </w:tc>
        <w:tc>
          <w:tcPr>
            <w:tcW w:type="dxa" w:w="1337"/>
          </w:tcPr>
          <w:p>
            <w:pPr>
              <w:jc w:val="center"/>
            </w:pPr>
            <w:r/>
            <w:r>
              <w:rPr>
                <w:rFonts w:ascii="Times New Roman" w:hAnsi="Times New Roman"/>
                <w:sz w:val="16"/>
              </w:rPr>
              <w:t>2410</w:t>
            </w:r>
          </w:p>
        </w:tc>
        <w:tc>
          <w:tcPr>
            <w:tcW w:type="dxa" w:w="1337"/>
          </w:tcPr>
          <w:p>
            <w:pPr>
              <w:jc w:val="center"/>
            </w:pPr>
            <w:r/>
            <w:r>
              <w:rPr>
                <w:rFonts w:ascii="Times New Roman" w:hAnsi="Times New Roman"/>
                <w:sz w:val="16"/>
              </w:rPr>
              <w:t>3.47</w:t>
            </w:r>
          </w:p>
        </w:tc>
        <w:tc>
          <w:tcPr>
            <w:tcW w:type="dxa" w:w="1337"/>
          </w:tcPr>
          <w:p>
            <w:pPr>
              <w:jc w:val="center"/>
            </w:pPr>
            <w:r/>
            <w:r>
              <w:rPr>
                <w:rFonts w:ascii="Times New Roman" w:hAnsi="Times New Roman"/>
                <w:sz w:val="16"/>
              </w:rPr>
              <w:t>Yes</w:t>
            </w:r>
          </w:p>
        </w:tc>
        <w:tc>
          <w:tcPr>
            <w:tcW w:type="dxa" w:w="1337"/>
          </w:tcPr>
          <w:p>
            <w:pPr>
              <w:jc w:val="center"/>
            </w:pPr>
            <w:r/>
            <w:r>
              <w:rPr>
                <w:rFonts w:ascii="Times New Roman" w:hAnsi="Times New Roman"/>
                <w:sz w:val="16"/>
              </w:rPr>
              <w:t>0.0157</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M0105</w:t>
            </w:r>
          </w:p>
        </w:tc>
        <w:tc>
          <w:tcPr>
            <w:tcW w:type="dxa" w:w="1337"/>
          </w:tcPr>
          <w:p>
            <w:pPr>
              <w:jc w:val="center"/>
            </w:pPr>
            <w:r/>
            <w:r>
              <w:rPr>
                <w:rFonts w:ascii="Times New Roman" w:hAnsi="Times New Roman"/>
                <w:sz w:val="16"/>
              </w:rPr>
              <w:t>Otavalo</w:t>
            </w:r>
          </w:p>
        </w:tc>
        <w:tc>
          <w:tcPr>
            <w:tcW w:type="dxa" w:w="1337"/>
          </w:tcPr>
          <w:p>
            <w:pPr>
              <w:jc w:val="center"/>
            </w:pPr>
            <w:r/>
            <w:r>
              <w:rPr>
                <w:rFonts w:ascii="Times New Roman" w:hAnsi="Times New Roman"/>
                <w:sz w:val="16"/>
              </w:rPr>
              <w:t>2550</w:t>
            </w:r>
          </w:p>
        </w:tc>
        <w:tc>
          <w:tcPr>
            <w:tcW w:type="dxa" w:w="1337"/>
          </w:tcPr>
          <w:p>
            <w:pPr>
              <w:jc w:val="center"/>
            </w:pPr>
            <w:r/>
            <w:r>
              <w:rPr>
                <w:rFonts w:ascii="Times New Roman" w:hAnsi="Times New Roman"/>
                <w:sz w:val="16"/>
              </w:rPr>
              <w:t>1.48</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0.0106</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M0328</w:t>
            </w:r>
          </w:p>
        </w:tc>
        <w:tc>
          <w:tcPr>
            <w:tcW w:type="dxa" w:w="1337"/>
          </w:tcPr>
          <w:p>
            <w:pPr>
              <w:jc w:val="center"/>
            </w:pPr>
            <w:r/>
            <w:r>
              <w:rPr>
                <w:rFonts w:ascii="Times New Roman" w:hAnsi="Times New Roman"/>
                <w:sz w:val="16"/>
              </w:rPr>
              <w:t>Hda Maria Leticia</w:t>
            </w:r>
          </w:p>
        </w:tc>
        <w:tc>
          <w:tcPr>
            <w:tcW w:type="dxa" w:w="1337"/>
          </w:tcPr>
          <w:p>
            <w:pPr>
              <w:jc w:val="center"/>
            </w:pPr>
            <w:r/>
            <w:r>
              <w:rPr>
                <w:rFonts w:ascii="Times New Roman" w:hAnsi="Times New Roman"/>
                <w:sz w:val="16"/>
              </w:rPr>
              <w:t>2600</w:t>
            </w:r>
          </w:p>
        </w:tc>
        <w:tc>
          <w:tcPr>
            <w:tcW w:type="dxa" w:w="1337"/>
          </w:tcPr>
          <w:p>
            <w:pPr>
              <w:jc w:val="center"/>
            </w:pPr>
            <w:r/>
            <w:r>
              <w:rPr>
                <w:rFonts w:ascii="Times New Roman" w:hAnsi="Times New Roman"/>
                <w:sz w:val="16"/>
              </w:rPr>
              <w:t>3.47</w:t>
            </w:r>
          </w:p>
        </w:tc>
        <w:tc>
          <w:tcPr>
            <w:tcW w:type="dxa" w:w="1337"/>
          </w:tcPr>
          <w:p>
            <w:pPr>
              <w:jc w:val="center"/>
            </w:pPr>
            <w:r/>
            <w:r>
              <w:rPr>
                <w:rFonts w:ascii="Times New Roman" w:hAnsi="Times New Roman"/>
                <w:sz w:val="16"/>
              </w:rPr>
              <w:t>Yes</w:t>
            </w:r>
          </w:p>
        </w:tc>
        <w:tc>
          <w:tcPr>
            <w:tcW w:type="dxa" w:w="1337"/>
          </w:tcPr>
          <w:p>
            <w:pPr>
              <w:jc w:val="center"/>
            </w:pPr>
            <w:r/>
            <w:r>
              <w:rPr>
                <w:rFonts w:ascii="Times New Roman" w:hAnsi="Times New Roman"/>
                <w:sz w:val="16"/>
              </w:rPr>
              <w:t>0.0157</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M0909</w:t>
            </w:r>
          </w:p>
        </w:tc>
        <w:tc>
          <w:tcPr>
            <w:tcW w:type="dxa" w:w="1337"/>
          </w:tcPr>
          <w:p>
            <w:pPr>
              <w:jc w:val="center"/>
            </w:pPr>
            <w:r/>
            <w:r>
              <w:rPr>
                <w:rFonts w:ascii="Times New Roman" w:hAnsi="Times New Roman"/>
                <w:sz w:val="16"/>
              </w:rPr>
              <w:t>Gualsaqui</w:t>
            </w:r>
          </w:p>
        </w:tc>
        <w:tc>
          <w:tcPr>
            <w:tcW w:type="dxa" w:w="1337"/>
          </w:tcPr>
          <w:p>
            <w:pPr>
              <w:jc w:val="center"/>
            </w:pPr>
            <w:r/>
            <w:r>
              <w:rPr>
                <w:rFonts w:ascii="Times New Roman" w:hAnsi="Times New Roman"/>
                <w:sz w:val="16"/>
              </w:rPr>
              <w:t>2710</w:t>
            </w:r>
          </w:p>
        </w:tc>
        <w:tc>
          <w:tcPr>
            <w:tcW w:type="dxa" w:w="1337"/>
          </w:tcPr>
          <w:p>
            <w:pPr>
              <w:jc w:val="center"/>
            </w:pPr>
            <w:r/>
            <w:r>
              <w:rPr>
                <w:rFonts w:ascii="Times New Roman" w:hAnsi="Times New Roman"/>
                <w:sz w:val="16"/>
              </w:rPr>
              <w:t>0.52</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0.0161</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M0321</w:t>
            </w:r>
          </w:p>
        </w:tc>
        <w:tc>
          <w:tcPr>
            <w:tcW w:type="dxa" w:w="1337"/>
          </w:tcPr>
          <w:p>
            <w:pPr>
              <w:jc w:val="center"/>
            </w:pPr>
            <w:r/>
            <w:r>
              <w:rPr>
                <w:rFonts w:ascii="Times New Roman" w:hAnsi="Times New Roman"/>
                <w:sz w:val="16"/>
              </w:rPr>
              <w:t>Topo Imbabura</w:t>
            </w:r>
          </w:p>
        </w:tc>
        <w:tc>
          <w:tcPr>
            <w:tcW w:type="dxa" w:w="1337"/>
          </w:tcPr>
          <w:p>
            <w:pPr>
              <w:jc w:val="center"/>
            </w:pPr>
            <w:r/>
            <w:r>
              <w:rPr>
                <w:rFonts w:ascii="Times New Roman" w:hAnsi="Times New Roman"/>
                <w:sz w:val="16"/>
              </w:rPr>
              <w:t>2860</w:t>
            </w:r>
          </w:p>
        </w:tc>
        <w:tc>
          <w:tcPr>
            <w:tcW w:type="dxa" w:w="1337"/>
          </w:tcPr>
          <w:p>
            <w:pPr>
              <w:jc w:val="center"/>
            </w:pPr>
            <w:r/>
            <w:r>
              <w:rPr>
                <w:rFonts w:ascii="Times New Roman" w:hAnsi="Times New Roman"/>
                <w:sz w:val="16"/>
              </w:rPr>
              <w:t>2.31</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0.0106</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M0103</w:t>
            </w:r>
          </w:p>
        </w:tc>
        <w:tc>
          <w:tcPr>
            <w:tcW w:type="dxa" w:w="1337"/>
          </w:tcPr>
          <w:p>
            <w:pPr>
              <w:jc w:val="center"/>
            </w:pPr>
            <w:r/>
            <w:r>
              <w:rPr>
                <w:rFonts w:ascii="Times New Roman" w:hAnsi="Times New Roman"/>
                <w:sz w:val="16"/>
              </w:rPr>
              <w:t>San Gabriel</w:t>
            </w:r>
          </w:p>
        </w:tc>
        <w:tc>
          <w:tcPr>
            <w:tcW w:type="dxa" w:w="1337"/>
          </w:tcPr>
          <w:p>
            <w:pPr>
              <w:jc w:val="center"/>
            </w:pPr>
            <w:r/>
            <w:r>
              <w:rPr>
                <w:rFonts w:ascii="Times New Roman" w:hAnsi="Times New Roman"/>
                <w:sz w:val="16"/>
              </w:rPr>
              <w:t>2860</w:t>
            </w:r>
          </w:p>
        </w:tc>
        <w:tc>
          <w:tcPr>
            <w:tcW w:type="dxa" w:w="1337"/>
          </w:tcPr>
          <w:p>
            <w:pPr>
              <w:jc w:val="center"/>
            </w:pPr>
            <w:r/>
            <w:r>
              <w:rPr>
                <w:rFonts w:ascii="Times New Roman" w:hAnsi="Times New Roman"/>
                <w:sz w:val="16"/>
              </w:rPr>
              <w:t>13.83</w:t>
            </w:r>
          </w:p>
        </w:tc>
        <w:tc>
          <w:tcPr>
            <w:tcW w:type="dxa" w:w="1337"/>
          </w:tcPr>
          <w:p>
            <w:pPr>
              <w:jc w:val="center"/>
            </w:pPr>
            <w:r/>
            <w:r>
              <w:rPr>
                <w:rFonts w:ascii="Times New Roman" w:hAnsi="Times New Roman"/>
                <w:sz w:val="16"/>
              </w:rPr>
              <w:t>Yes</w:t>
            </w:r>
          </w:p>
        </w:tc>
        <w:tc>
          <w:tcPr>
            <w:tcW w:type="dxa" w:w="1337"/>
          </w:tcPr>
          <w:p>
            <w:pPr>
              <w:jc w:val="center"/>
            </w:pPr>
            <w:r/>
            <w:r>
              <w:rPr>
                <w:rFonts w:ascii="Times New Roman" w:hAnsi="Times New Roman"/>
                <w:sz w:val="16"/>
              </w:rPr>
              <w:t>0.0118</w:t>
            </w:r>
          </w:p>
        </w:tc>
        <w:tc>
          <w:tcPr>
            <w:tcW w:type="dxa" w:w="1337"/>
          </w:tcPr>
          <w:p>
            <w:pPr>
              <w:jc w:val="center"/>
            </w:pPr>
            <w:r/>
            <w:r>
              <w:rPr>
                <w:rFonts w:ascii="Times New Roman" w:hAnsi="Times New Roman"/>
                <w:sz w:val="16"/>
              </w:rPr>
              <w:t>Yes</w:t>
            </w:r>
          </w:p>
        </w:tc>
      </w:tr>
      <w:tr>
        <w:tc>
          <w:tcPr>
            <w:tcW w:type="dxa" w:w="1337"/>
          </w:tcPr>
          <w:p>
            <w:pPr>
              <w:jc w:val="center"/>
            </w:pPr>
            <w:r/>
            <w:r>
              <w:rPr>
                <w:rFonts w:ascii="Times New Roman" w:hAnsi="Times New Roman"/>
                <w:sz w:val="16"/>
              </w:rPr>
              <w:t>M0310</w:t>
            </w:r>
          </w:p>
        </w:tc>
        <w:tc>
          <w:tcPr>
            <w:tcW w:type="dxa" w:w="1337"/>
          </w:tcPr>
          <w:p>
            <w:pPr>
              <w:jc w:val="center"/>
            </w:pPr>
            <w:r/>
            <w:r>
              <w:rPr>
                <w:rFonts w:ascii="Times New Roman" w:hAnsi="Times New Roman"/>
                <w:sz w:val="16"/>
              </w:rPr>
              <w:t>Mariano Acosta</w:t>
            </w:r>
          </w:p>
        </w:tc>
        <w:tc>
          <w:tcPr>
            <w:tcW w:type="dxa" w:w="1337"/>
          </w:tcPr>
          <w:p>
            <w:pPr>
              <w:jc w:val="center"/>
            </w:pPr>
            <w:r/>
            <w:r>
              <w:rPr>
                <w:rFonts w:ascii="Times New Roman" w:hAnsi="Times New Roman"/>
                <w:sz w:val="16"/>
              </w:rPr>
              <w:t>2980</w:t>
            </w:r>
          </w:p>
        </w:tc>
        <w:tc>
          <w:tcPr>
            <w:tcW w:type="dxa" w:w="1337"/>
          </w:tcPr>
          <w:p>
            <w:pPr>
              <w:jc w:val="center"/>
            </w:pPr>
            <w:r/>
            <w:r>
              <w:rPr>
                <w:rFonts w:ascii="Times New Roman" w:hAnsi="Times New Roman"/>
                <w:sz w:val="16"/>
              </w:rPr>
              <w:t>1.46</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0.0031</w:t>
            </w:r>
          </w:p>
        </w:tc>
        <w:tc>
          <w:tcPr>
            <w:tcW w:type="dxa" w:w="1337"/>
          </w:tcPr>
          <w:p>
            <w:pPr>
              <w:jc w:val="center"/>
            </w:pPr>
            <w:r/>
            <w:r>
              <w:rPr>
                <w:rFonts w:ascii="Times New Roman" w:hAnsi="Times New Roman"/>
                <w:sz w:val="16"/>
              </w:rPr>
              <w:t>No</w:t>
            </w:r>
          </w:p>
        </w:tc>
      </w:tr>
      <w:tr>
        <w:tc>
          <w:tcPr>
            <w:tcW w:type="dxa" w:w="1337"/>
          </w:tcPr>
          <w:p>
            <w:pPr>
              <w:jc w:val="center"/>
            </w:pPr>
            <w:r/>
            <w:r>
              <w:rPr>
                <w:rFonts w:ascii="Times New Roman" w:hAnsi="Times New Roman"/>
                <w:sz w:val="16"/>
              </w:rPr>
              <w:t>M0001</w:t>
            </w:r>
          </w:p>
        </w:tc>
        <w:tc>
          <w:tcPr>
            <w:tcW w:type="dxa" w:w="1337"/>
          </w:tcPr>
          <w:p>
            <w:pPr>
              <w:jc w:val="center"/>
            </w:pPr>
            <w:r/>
            <w:r>
              <w:rPr>
                <w:rFonts w:ascii="Times New Roman" w:hAnsi="Times New Roman"/>
                <w:sz w:val="16"/>
              </w:rPr>
              <w:t>Inguincho</w:t>
            </w:r>
          </w:p>
        </w:tc>
        <w:tc>
          <w:tcPr>
            <w:tcW w:type="dxa" w:w="1337"/>
          </w:tcPr>
          <w:p>
            <w:pPr>
              <w:jc w:val="center"/>
            </w:pPr>
            <w:r/>
            <w:r>
              <w:rPr>
                <w:rFonts w:ascii="Times New Roman" w:hAnsi="Times New Roman"/>
                <w:sz w:val="16"/>
              </w:rPr>
              <w:t>3140</w:t>
            </w:r>
          </w:p>
        </w:tc>
        <w:tc>
          <w:tcPr>
            <w:tcW w:type="dxa" w:w="1337"/>
          </w:tcPr>
          <w:p>
            <w:pPr>
              <w:jc w:val="center"/>
            </w:pPr>
            <w:r/>
            <w:r>
              <w:rPr>
                <w:rFonts w:ascii="Times New Roman" w:hAnsi="Times New Roman"/>
                <w:sz w:val="16"/>
              </w:rPr>
              <w:t>0.1</w:t>
            </w:r>
          </w:p>
        </w:tc>
        <w:tc>
          <w:tcPr>
            <w:tcW w:type="dxa" w:w="1337"/>
          </w:tcPr>
          <w:p>
            <w:pPr>
              <w:jc w:val="center"/>
            </w:pPr>
            <w:r/>
            <w:r>
              <w:rPr>
                <w:rFonts w:ascii="Times New Roman" w:hAnsi="Times New Roman"/>
                <w:sz w:val="16"/>
              </w:rPr>
              <w:t>No</w:t>
            </w:r>
          </w:p>
        </w:tc>
        <w:tc>
          <w:tcPr>
            <w:tcW w:type="dxa" w:w="1337"/>
          </w:tcPr>
          <w:p>
            <w:pPr>
              <w:jc w:val="center"/>
            </w:pPr>
            <w:r/>
            <w:r>
              <w:rPr>
                <w:rFonts w:ascii="Times New Roman" w:hAnsi="Times New Roman"/>
                <w:sz w:val="16"/>
              </w:rPr>
              <w:t>0.0161</w:t>
            </w:r>
          </w:p>
        </w:tc>
        <w:tc>
          <w:tcPr>
            <w:tcW w:type="dxa" w:w="1337"/>
          </w:tcPr>
          <w:p>
            <w:pPr>
              <w:jc w:val="center"/>
            </w:pPr>
            <w:r/>
            <w:r>
              <w:rPr>
                <w:rFonts w:ascii="Times New Roman" w:hAnsi="Times New Roman"/>
                <w:sz w:val="16"/>
              </w:rPr>
              <w:t>Yes</w:t>
            </w:r>
          </w:p>
        </w:tc>
      </w:tr>
    </w:tbl>
    <w:p>
      <w:pPr>
        <w:spacing w:after="240" w:line="480" w:lineRule="auto"/>
        <w:jc w:val="both"/>
      </w:pPr>
      <w:r>
        <w:rPr>
          <w:rFonts w:ascii="Times New Roman" w:hAnsi="Times New Roman"/>
          <w:b w:val="0"/>
          <w:i w:val="0"/>
          <w:sz w:val="24"/>
        </w:rPr>
      </w:r>
    </w:p>
    <w:p>
      <w:pPr>
        <w:spacing w:after="120" w:line="360" w:lineRule="auto"/>
      </w:pPr>
      <w:r>
        <w:rPr>
          <w:rFonts w:ascii="Times New Roman" w:hAnsi="Times New Roman"/>
          <w:b/>
          <w:sz w:val="22"/>
        </w:rPr>
        <w:t>Table 3.</w:t>
      </w:r>
      <w:r>
        <w:rPr>
          <w:rFonts w:ascii="Times New Roman" w:hAnsi="Times New Roman"/>
          <w:sz w:val="22"/>
        </w:rPr>
        <w:t xml:space="preserve"> Mann-Kendall trend summary per variable, source, and period. N stations evaluated, N significant at p &lt; 0.05, % significant, N with positive/negative slope, median Theil-Sen slope, P10/P90 percentiles, and units.</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Pr>
          <w:p>
            <w:pPr>
              <w:jc w:val="center"/>
            </w:pPr>
            <w:r/>
            <w:r>
              <w:rPr>
                <w:rFonts w:ascii="Times New Roman" w:hAnsi="Times New Roman"/>
                <w:b/>
                <w:sz w:val="18"/>
              </w:rPr>
              <w:t>Variable</w:t>
            </w:r>
          </w:p>
        </w:tc>
        <w:tc>
          <w:tcPr>
            <w:tcW w:type="dxa" w:w="720"/>
          </w:tcPr>
          <w:p>
            <w:pPr>
              <w:jc w:val="center"/>
            </w:pPr>
            <w:r/>
            <w:r>
              <w:rPr>
                <w:rFonts w:ascii="Times New Roman" w:hAnsi="Times New Roman"/>
                <w:b/>
                <w:sz w:val="18"/>
              </w:rPr>
              <w:t>Source</w:t>
            </w:r>
          </w:p>
        </w:tc>
        <w:tc>
          <w:tcPr>
            <w:tcW w:type="dxa" w:w="720"/>
          </w:tcPr>
          <w:p>
            <w:pPr>
              <w:jc w:val="center"/>
            </w:pPr>
            <w:r/>
            <w:r>
              <w:rPr>
                <w:rFonts w:ascii="Times New Roman" w:hAnsi="Times New Roman"/>
                <w:b/>
                <w:sz w:val="18"/>
              </w:rPr>
              <w:t>Period</w:t>
            </w:r>
          </w:p>
        </w:tc>
        <w:tc>
          <w:tcPr>
            <w:tcW w:type="dxa" w:w="720"/>
          </w:tcPr>
          <w:p>
            <w:pPr>
              <w:jc w:val="center"/>
            </w:pPr>
            <w:r/>
            <w:r>
              <w:rPr>
                <w:rFonts w:ascii="Times New Roman" w:hAnsi="Times New Roman"/>
                <w:b/>
                <w:sz w:val="18"/>
              </w:rPr>
              <w:t>N_stations</w:t>
            </w:r>
          </w:p>
        </w:tc>
        <w:tc>
          <w:tcPr>
            <w:tcW w:type="dxa" w:w="720"/>
          </w:tcPr>
          <w:p>
            <w:pPr>
              <w:jc w:val="center"/>
            </w:pPr>
            <w:r/>
            <w:r>
              <w:rPr>
                <w:rFonts w:ascii="Times New Roman" w:hAnsi="Times New Roman"/>
                <w:b/>
                <w:sz w:val="18"/>
              </w:rPr>
              <w:t>N_significant</w:t>
            </w:r>
          </w:p>
        </w:tc>
        <w:tc>
          <w:tcPr>
            <w:tcW w:type="dxa" w:w="720"/>
          </w:tcPr>
          <w:p>
            <w:pPr>
              <w:jc w:val="center"/>
            </w:pPr>
            <w:r/>
            <w:r>
              <w:rPr>
                <w:rFonts w:ascii="Times New Roman" w:hAnsi="Times New Roman"/>
                <w:b/>
                <w:sz w:val="18"/>
              </w:rPr>
              <w:t>Pct_significant</w:t>
            </w:r>
          </w:p>
        </w:tc>
        <w:tc>
          <w:tcPr>
            <w:tcW w:type="dxa" w:w="720"/>
          </w:tcPr>
          <w:p>
            <w:pPr>
              <w:jc w:val="center"/>
            </w:pPr>
            <w:r/>
            <w:r>
              <w:rPr>
                <w:rFonts w:ascii="Times New Roman" w:hAnsi="Times New Roman"/>
                <w:b/>
                <w:sz w:val="18"/>
              </w:rPr>
              <w:t>N_increase</w:t>
            </w:r>
          </w:p>
        </w:tc>
        <w:tc>
          <w:tcPr>
            <w:tcW w:type="dxa" w:w="720"/>
          </w:tcPr>
          <w:p>
            <w:pPr>
              <w:jc w:val="center"/>
            </w:pPr>
            <w:r/>
            <w:r>
              <w:rPr>
                <w:rFonts w:ascii="Times New Roman" w:hAnsi="Times New Roman"/>
                <w:b/>
                <w:sz w:val="18"/>
              </w:rPr>
              <w:t>N_decrease</w:t>
            </w:r>
          </w:p>
        </w:tc>
        <w:tc>
          <w:tcPr>
            <w:tcW w:type="dxa" w:w="720"/>
          </w:tcPr>
          <w:p>
            <w:pPr>
              <w:jc w:val="center"/>
            </w:pPr>
            <w:r/>
            <w:r>
              <w:rPr>
                <w:rFonts w:ascii="Times New Roman" w:hAnsi="Times New Roman"/>
                <w:b/>
                <w:sz w:val="18"/>
              </w:rPr>
              <w:t>Sen_median</w:t>
            </w:r>
          </w:p>
        </w:tc>
        <w:tc>
          <w:tcPr>
            <w:tcW w:type="dxa" w:w="720"/>
          </w:tcPr>
          <w:p>
            <w:pPr>
              <w:jc w:val="center"/>
            </w:pPr>
            <w:r/>
            <w:r>
              <w:rPr>
                <w:rFonts w:ascii="Times New Roman" w:hAnsi="Times New Roman"/>
                <w:b/>
                <w:sz w:val="18"/>
              </w:rPr>
              <w:t>Sen_P10</w:t>
            </w:r>
          </w:p>
        </w:tc>
        <w:tc>
          <w:tcPr>
            <w:tcW w:type="dxa" w:w="720"/>
          </w:tcPr>
          <w:p>
            <w:pPr>
              <w:jc w:val="center"/>
            </w:pPr>
            <w:r/>
            <w:r>
              <w:rPr>
                <w:rFonts w:ascii="Times New Roman" w:hAnsi="Times New Roman"/>
                <w:b/>
                <w:sz w:val="18"/>
              </w:rPr>
              <w:t>Sen_P90</w:t>
            </w:r>
          </w:p>
        </w:tc>
        <w:tc>
          <w:tcPr>
            <w:tcW w:type="dxa" w:w="720"/>
          </w:tcPr>
          <w:p>
            <w:pPr>
              <w:jc w:val="center"/>
            </w:pPr>
            <w:r/>
            <w:r>
              <w:rPr>
                <w:rFonts w:ascii="Times New Roman" w:hAnsi="Times New Roman"/>
                <w:b/>
                <w:sz w:val="18"/>
              </w:rPr>
              <w:t>Sen_unit</w:t>
            </w:r>
          </w:p>
        </w:tc>
        <w:tc>
          <w:tcPr>
            <w:tcW w:type="dxa" w:w="720"/>
          </w:tcPr>
          <w:p>
            <w:pPr>
              <w:jc w:val="center"/>
            </w:pPr>
            <w:r/>
            <w:r>
              <w:rPr>
                <w:rFonts w:ascii="Times New Roman" w:hAnsi="Times New Roman"/>
                <w:b/>
                <w:sz w:val="18"/>
              </w:rPr>
              <w:t>Sen_over_44yr</w:t>
            </w:r>
          </w:p>
        </w:tc>
      </w:tr>
      <w:tr>
        <w:tc>
          <w:tcPr>
            <w:tcW w:type="dxa" w:w="720"/>
          </w:tcPr>
          <w:p>
            <w:pPr>
              <w:jc w:val="center"/>
            </w:pPr>
            <w:r/>
            <w:r>
              <w:rPr>
                <w:rFonts w:ascii="Times New Roman" w:hAnsi="Times New Roman"/>
                <w:sz w:val="18"/>
              </w:rPr>
              <w:t>PRECIP_ANUAL</w:t>
            </w:r>
          </w:p>
        </w:tc>
        <w:tc>
          <w:tcPr>
            <w:tcW w:type="dxa" w:w="720"/>
          </w:tcPr>
          <w:p>
            <w:pPr>
              <w:jc w:val="center"/>
            </w:pPr>
            <w:r/>
            <w:r>
              <w:rPr>
                <w:rFonts w:ascii="Times New Roman" w:hAnsi="Times New Roman"/>
                <w:sz w:val="18"/>
              </w:rPr>
              <w:t>CHIRPS v2.0</w:t>
            </w:r>
          </w:p>
        </w:tc>
        <w:tc>
          <w:tcPr>
            <w:tcW w:type="dxa" w:w="720"/>
          </w:tcPr>
          <w:p>
            <w:pPr>
              <w:jc w:val="center"/>
            </w:pPr>
            <w:r/>
            <w:r>
              <w:rPr>
                <w:rFonts w:ascii="Times New Roman" w:hAnsi="Times New Roman"/>
                <w:sz w:val="18"/>
              </w:rPr>
              <w:t>1981–2025</w:t>
            </w:r>
          </w:p>
        </w:tc>
        <w:tc>
          <w:tcPr>
            <w:tcW w:type="dxa" w:w="720"/>
          </w:tcPr>
          <w:p>
            <w:pPr>
              <w:jc w:val="center"/>
            </w:pPr>
            <w:r/>
            <w:r>
              <w:rPr>
                <w:rFonts w:ascii="Times New Roman" w:hAnsi="Times New Roman"/>
                <w:sz w:val="18"/>
              </w:rPr>
              <w:t>21</w:t>
            </w:r>
          </w:p>
        </w:tc>
        <w:tc>
          <w:tcPr>
            <w:tcW w:type="dxa" w:w="720"/>
          </w:tcPr>
          <w:p>
            <w:pPr>
              <w:jc w:val="center"/>
            </w:pPr>
            <w:r/>
            <w:r>
              <w:rPr>
                <w:rFonts w:ascii="Times New Roman" w:hAnsi="Times New Roman"/>
                <w:sz w:val="18"/>
              </w:rPr>
              <w:t>7</w:t>
            </w:r>
          </w:p>
        </w:tc>
        <w:tc>
          <w:tcPr>
            <w:tcW w:type="dxa" w:w="720"/>
          </w:tcPr>
          <w:p>
            <w:pPr>
              <w:jc w:val="center"/>
            </w:pPr>
            <w:r/>
            <w:r>
              <w:rPr>
                <w:rFonts w:ascii="Times New Roman" w:hAnsi="Times New Roman"/>
                <w:sz w:val="18"/>
              </w:rPr>
              <w:t>33.3%</w:t>
            </w:r>
          </w:p>
        </w:tc>
        <w:tc>
          <w:tcPr>
            <w:tcW w:type="dxa" w:w="720"/>
          </w:tcPr>
          <w:p>
            <w:pPr>
              <w:jc w:val="center"/>
            </w:pPr>
            <w:r/>
            <w:r>
              <w:rPr>
                <w:rFonts w:ascii="Times New Roman" w:hAnsi="Times New Roman"/>
                <w:sz w:val="18"/>
              </w:rPr>
              <w:t>7</w:t>
            </w:r>
          </w:p>
        </w:tc>
        <w:tc>
          <w:tcPr>
            <w:tcW w:type="dxa" w:w="720"/>
          </w:tcPr>
          <w:p>
            <w:pPr>
              <w:jc w:val="center"/>
            </w:pPr>
            <w:r/>
            <w:r>
              <w:rPr>
                <w:rFonts w:ascii="Times New Roman" w:hAnsi="Times New Roman"/>
                <w:sz w:val="18"/>
              </w:rPr>
              <w:t>0</w:t>
            </w:r>
          </w:p>
        </w:tc>
        <w:tc>
          <w:tcPr>
            <w:tcW w:type="dxa" w:w="720"/>
          </w:tcPr>
          <w:p>
            <w:pPr>
              <w:jc w:val="center"/>
            </w:pPr>
            <w:r/>
            <w:r>
              <w:rPr>
                <w:rFonts w:ascii="Times New Roman" w:hAnsi="Times New Roman"/>
                <w:sz w:val="18"/>
              </w:rPr>
              <w:t>2.26</w:t>
            </w:r>
          </w:p>
        </w:tc>
        <w:tc>
          <w:tcPr>
            <w:tcW w:type="dxa" w:w="720"/>
          </w:tcPr>
          <w:p>
            <w:pPr>
              <w:jc w:val="center"/>
            </w:pPr>
            <w:r/>
            <w:r>
              <w:rPr>
                <w:rFonts w:ascii="Times New Roman" w:hAnsi="Times New Roman"/>
                <w:sz w:val="18"/>
              </w:rPr>
              <w:t>-0.24</w:t>
            </w:r>
          </w:p>
        </w:tc>
        <w:tc>
          <w:tcPr>
            <w:tcW w:type="dxa" w:w="720"/>
          </w:tcPr>
          <w:p>
            <w:pPr>
              <w:jc w:val="center"/>
            </w:pPr>
            <w:r/>
            <w:r>
              <w:rPr>
                <w:rFonts w:ascii="Times New Roman" w:hAnsi="Times New Roman"/>
                <w:sz w:val="18"/>
              </w:rPr>
              <w:t>13.22</w:t>
            </w:r>
          </w:p>
        </w:tc>
        <w:tc>
          <w:tcPr>
            <w:tcW w:type="dxa" w:w="720"/>
          </w:tcPr>
          <w:p>
            <w:pPr>
              <w:jc w:val="center"/>
            </w:pPr>
            <w:r/>
            <w:r>
              <w:rPr>
                <w:rFonts w:ascii="Times New Roman" w:hAnsi="Times New Roman"/>
                <w:sz w:val="18"/>
              </w:rPr>
              <w:t>mm yr⁻¹</w:t>
            </w:r>
          </w:p>
        </w:tc>
        <w:tc>
          <w:tcPr>
            <w:tcW w:type="dxa" w:w="720"/>
          </w:tcPr>
          <w:p>
            <w:pPr>
              <w:jc w:val="center"/>
            </w:pPr>
            <w:r/>
            <w:r>
              <w:rPr>
                <w:rFonts w:ascii="Times New Roman" w:hAnsi="Times New Roman"/>
                <w:sz w:val="18"/>
              </w:rPr>
              <w:t>99.44</w:t>
            </w:r>
          </w:p>
        </w:tc>
      </w:tr>
      <w:tr>
        <w:tc>
          <w:tcPr>
            <w:tcW w:type="dxa" w:w="720"/>
          </w:tcPr>
          <w:p>
            <w:pPr>
              <w:jc w:val="center"/>
            </w:pPr>
            <w:r/>
            <w:r>
              <w:rPr>
                <w:rFonts w:ascii="Times New Roman" w:hAnsi="Times New Roman"/>
                <w:sz w:val="18"/>
              </w:rPr>
              <w:t>TMED_ANUAL</w:t>
            </w:r>
          </w:p>
        </w:tc>
        <w:tc>
          <w:tcPr>
            <w:tcW w:type="dxa" w:w="720"/>
          </w:tcPr>
          <w:p>
            <w:pPr>
              <w:jc w:val="center"/>
            </w:pPr>
            <w:r/>
            <w:r>
              <w:rPr>
                <w:rFonts w:ascii="Times New Roman" w:hAnsi="Times New Roman"/>
                <w:sz w:val="18"/>
              </w:rPr>
              <w:t>ERA5-Land</w:t>
            </w:r>
          </w:p>
        </w:tc>
        <w:tc>
          <w:tcPr>
            <w:tcW w:type="dxa" w:w="720"/>
          </w:tcPr>
          <w:p>
            <w:pPr>
              <w:jc w:val="center"/>
            </w:pPr>
            <w:r/>
            <w:r>
              <w:rPr>
                <w:rFonts w:ascii="Times New Roman" w:hAnsi="Times New Roman"/>
                <w:sz w:val="18"/>
              </w:rPr>
              <w:t>1981–2025</w:t>
            </w:r>
          </w:p>
        </w:tc>
        <w:tc>
          <w:tcPr>
            <w:tcW w:type="dxa" w:w="720"/>
          </w:tcPr>
          <w:p>
            <w:pPr>
              <w:jc w:val="center"/>
            </w:pPr>
            <w:r/>
            <w:r>
              <w:rPr>
                <w:rFonts w:ascii="Times New Roman" w:hAnsi="Times New Roman"/>
                <w:sz w:val="18"/>
              </w:rPr>
              <w:t>21</w:t>
            </w:r>
          </w:p>
        </w:tc>
        <w:tc>
          <w:tcPr>
            <w:tcW w:type="dxa" w:w="720"/>
          </w:tcPr>
          <w:p>
            <w:pPr>
              <w:jc w:val="center"/>
            </w:pPr>
            <w:r/>
            <w:r>
              <w:rPr>
                <w:rFonts w:ascii="Times New Roman" w:hAnsi="Times New Roman"/>
                <w:sz w:val="18"/>
              </w:rPr>
              <w:t>19</w:t>
            </w:r>
          </w:p>
        </w:tc>
        <w:tc>
          <w:tcPr>
            <w:tcW w:type="dxa" w:w="720"/>
          </w:tcPr>
          <w:p>
            <w:pPr>
              <w:jc w:val="center"/>
            </w:pPr>
            <w:r/>
            <w:r>
              <w:rPr>
                <w:rFonts w:ascii="Times New Roman" w:hAnsi="Times New Roman"/>
                <w:sz w:val="18"/>
              </w:rPr>
              <w:t>90.5%</w:t>
            </w:r>
          </w:p>
        </w:tc>
        <w:tc>
          <w:tcPr>
            <w:tcW w:type="dxa" w:w="720"/>
          </w:tcPr>
          <w:p>
            <w:pPr>
              <w:jc w:val="center"/>
            </w:pPr>
            <w:r/>
            <w:r>
              <w:rPr>
                <w:rFonts w:ascii="Times New Roman" w:hAnsi="Times New Roman"/>
                <w:sz w:val="18"/>
              </w:rPr>
              <w:t>19</w:t>
            </w:r>
          </w:p>
        </w:tc>
        <w:tc>
          <w:tcPr>
            <w:tcW w:type="dxa" w:w="720"/>
          </w:tcPr>
          <w:p>
            <w:pPr>
              <w:jc w:val="center"/>
            </w:pPr>
            <w:r/>
            <w:r>
              <w:rPr>
                <w:rFonts w:ascii="Times New Roman" w:hAnsi="Times New Roman"/>
                <w:sz w:val="18"/>
              </w:rPr>
              <w:t>0</w:t>
            </w:r>
          </w:p>
        </w:tc>
        <w:tc>
          <w:tcPr>
            <w:tcW w:type="dxa" w:w="720"/>
          </w:tcPr>
          <w:p>
            <w:pPr>
              <w:jc w:val="center"/>
            </w:pPr>
            <w:r/>
            <w:r>
              <w:rPr>
                <w:rFonts w:ascii="Times New Roman" w:hAnsi="Times New Roman"/>
                <w:sz w:val="18"/>
              </w:rPr>
              <w:t>0.0118</w:t>
            </w:r>
          </w:p>
        </w:tc>
        <w:tc>
          <w:tcPr>
            <w:tcW w:type="dxa" w:w="720"/>
          </w:tcPr>
          <w:p>
            <w:pPr>
              <w:jc w:val="center"/>
            </w:pPr>
            <w:r/>
            <w:r>
              <w:rPr>
                <w:rFonts w:ascii="Times New Roman" w:hAnsi="Times New Roman"/>
                <w:sz w:val="18"/>
              </w:rPr>
              <w:t>0.0076</w:t>
            </w:r>
          </w:p>
        </w:tc>
        <w:tc>
          <w:tcPr>
            <w:tcW w:type="dxa" w:w="720"/>
          </w:tcPr>
          <w:p>
            <w:pPr>
              <w:jc w:val="center"/>
            </w:pPr>
            <w:r/>
            <w:r>
              <w:rPr>
                <w:rFonts w:ascii="Times New Roman" w:hAnsi="Times New Roman"/>
                <w:sz w:val="18"/>
              </w:rPr>
              <w:t>0.0161</w:t>
            </w:r>
          </w:p>
        </w:tc>
        <w:tc>
          <w:tcPr>
            <w:tcW w:type="dxa" w:w="720"/>
          </w:tcPr>
          <w:p>
            <w:pPr>
              <w:jc w:val="center"/>
            </w:pPr>
            <w:r/>
            <w:r>
              <w:rPr>
                <w:rFonts w:ascii="Times New Roman" w:hAnsi="Times New Roman"/>
                <w:sz w:val="18"/>
              </w:rPr>
              <w:t>°C yr⁻¹</w:t>
            </w:r>
          </w:p>
        </w:tc>
        <w:tc>
          <w:tcPr>
            <w:tcW w:type="dxa" w:w="720"/>
          </w:tcPr>
          <w:p>
            <w:pPr>
              <w:jc w:val="center"/>
            </w:pPr>
            <w:r/>
            <w:r>
              <w:rPr>
                <w:rFonts w:ascii="Times New Roman" w:hAnsi="Times New Roman"/>
                <w:sz w:val="18"/>
              </w:rPr>
              <w:t>0.519</w:t>
            </w:r>
          </w:p>
        </w:tc>
      </w:tr>
      <w:tr>
        <w:tc>
          <w:tcPr>
            <w:tcW w:type="dxa" w:w="720"/>
          </w:tcPr>
          <w:p>
            <w:pPr>
              <w:jc w:val="center"/>
            </w:pPr>
            <w:r/>
            <w:r>
              <w:rPr>
                <w:rFonts w:ascii="Times New Roman" w:hAnsi="Times New Roman"/>
                <w:sz w:val="18"/>
              </w:rPr>
              <w:t>Tmax_C</w:t>
            </w:r>
          </w:p>
        </w:tc>
        <w:tc>
          <w:tcPr>
            <w:tcW w:type="dxa" w:w="720"/>
          </w:tcPr>
          <w:p>
            <w:pPr>
              <w:jc w:val="center"/>
            </w:pPr>
            <w:r/>
            <w:r>
              <w:rPr>
                <w:rFonts w:ascii="Times New Roman" w:hAnsi="Times New Roman"/>
                <w:sz w:val="18"/>
              </w:rPr>
              <w:t>ERA5-Land</w:t>
            </w:r>
          </w:p>
        </w:tc>
        <w:tc>
          <w:tcPr>
            <w:tcW w:type="dxa" w:w="720"/>
          </w:tcPr>
          <w:p>
            <w:pPr>
              <w:jc w:val="center"/>
            </w:pPr>
            <w:r/>
            <w:r>
              <w:rPr>
                <w:rFonts w:ascii="Times New Roman" w:hAnsi="Times New Roman"/>
                <w:sz w:val="18"/>
              </w:rPr>
              <w:t>1981–2025</w:t>
            </w:r>
          </w:p>
        </w:tc>
        <w:tc>
          <w:tcPr>
            <w:tcW w:type="dxa" w:w="720"/>
          </w:tcPr>
          <w:p>
            <w:pPr>
              <w:jc w:val="center"/>
            </w:pPr>
            <w:r/>
            <w:r>
              <w:rPr>
                <w:rFonts w:ascii="Times New Roman" w:hAnsi="Times New Roman"/>
                <w:sz w:val="18"/>
              </w:rPr>
              <w:t>21</w:t>
            </w:r>
          </w:p>
        </w:tc>
        <w:tc>
          <w:tcPr>
            <w:tcW w:type="dxa" w:w="720"/>
          </w:tcPr>
          <w:p>
            <w:pPr>
              <w:jc w:val="center"/>
            </w:pPr>
            <w:r/>
            <w:r>
              <w:rPr>
                <w:rFonts w:ascii="Times New Roman" w:hAnsi="Times New Roman"/>
                <w:sz w:val="18"/>
              </w:rPr>
              <w:t>19</w:t>
            </w:r>
          </w:p>
        </w:tc>
        <w:tc>
          <w:tcPr>
            <w:tcW w:type="dxa" w:w="720"/>
          </w:tcPr>
          <w:p>
            <w:pPr>
              <w:jc w:val="center"/>
            </w:pPr>
            <w:r/>
            <w:r>
              <w:rPr>
                <w:rFonts w:ascii="Times New Roman" w:hAnsi="Times New Roman"/>
                <w:sz w:val="18"/>
              </w:rPr>
              <w:t>90.5%</w:t>
            </w:r>
          </w:p>
        </w:tc>
        <w:tc>
          <w:tcPr>
            <w:tcW w:type="dxa" w:w="720"/>
          </w:tcPr>
          <w:p>
            <w:pPr>
              <w:jc w:val="center"/>
            </w:pPr>
            <w:r/>
            <w:r>
              <w:rPr>
                <w:rFonts w:ascii="Times New Roman" w:hAnsi="Times New Roman"/>
                <w:sz w:val="18"/>
              </w:rPr>
              <w:t>19</w:t>
            </w:r>
          </w:p>
        </w:tc>
        <w:tc>
          <w:tcPr>
            <w:tcW w:type="dxa" w:w="720"/>
          </w:tcPr>
          <w:p>
            <w:pPr>
              <w:jc w:val="center"/>
            </w:pPr>
            <w:r/>
            <w:r>
              <w:rPr>
                <w:rFonts w:ascii="Times New Roman" w:hAnsi="Times New Roman"/>
                <w:sz w:val="18"/>
              </w:rPr>
              <w:t>0</w:t>
            </w:r>
          </w:p>
        </w:tc>
        <w:tc>
          <w:tcPr>
            <w:tcW w:type="dxa" w:w="720"/>
          </w:tcPr>
          <w:p>
            <w:pPr>
              <w:jc w:val="center"/>
            </w:pPr>
            <w:r/>
            <w:r>
              <w:rPr>
                <w:rFonts w:ascii="Times New Roman" w:hAnsi="Times New Roman"/>
                <w:sz w:val="18"/>
              </w:rPr>
              <w:t>0.01253</w:t>
            </w:r>
          </w:p>
        </w:tc>
        <w:tc>
          <w:tcPr>
            <w:tcW w:type="dxa" w:w="720"/>
          </w:tcPr>
          <w:p>
            <w:pPr>
              <w:jc w:val="center"/>
            </w:pPr>
            <w:r/>
            <w:r>
              <w:rPr>
                <w:rFonts w:ascii="Times New Roman" w:hAnsi="Times New Roman"/>
                <w:sz w:val="18"/>
              </w:rPr>
              <w:t>0.01033</w:t>
            </w:r>
          </w:p>
        </w:tc>
        <w:tc>
          <w:tcPr>
            <w:tcW w:type="dxa" w:w="720"/>
          </w:tcPr>
          <w:p>
            <w:pPr>
              <w:jc w:val="center"/>
            </w:pPr>
            <w:r/>
            <w:r>
              <w:rPr>
                <w:rFonts w:ascii="Times New Roman" w:hAnsi="Times New Roman"/>
                <w:sz w:val="18"/>
              </w:rPr>
              <w:t>0.0179</w:t>
            </w:r>
          </w:p>
        </w:tc>
        <w:tc>
          <w:tcPr>
            <w:tcW w:type="dxa" w:w="720"/>
          </w:tcPr>
          <w:p>
            <w:pPr>
              <w:jc w:val="center"/>
            </w:pPr>
            <w:r/>
            <w:r>
              <w:rPr>
                <w:rFonts w:ascii="Times New Roman" w:hAnsi="Times New Roman"/>
                <w:sz w:val="18"/>
              </w:rPr>
              <w:t>°C yr⁻¹</w:t>
            </w:r>
          </w:p>
        </w:tc>
        <w:tc>
          <w:tcPr>
            <w:tcW w:type="dxa" w:w="720"/>
          </w:tcPr>
          <w:p>
            <w:pPr>
              <w:jc w:val="center"/>
            </w:pPr>
            <w:r/>
            <w:r>
              <w:rPr>
                <w:rFonts w:ascii="Times New Roman" w:hAnsi="Times New Roman"/>
                <w:sz w:val="18"/>
              </w:rPr>
              <w:t>0.551</w:t>
            </w:r>
          </w:p>
        </w:tc>
      </w:tr>
      <w:tr>
        <w:tc>
          <w:tcPr>
            <w:tcW w:type="dxa" w:w="720"/>
          </w:tcPr>
          <w:p>
            <w:pPr>
              <w:jc w:val="center"/>
            </w:pPr>
            <w:r/>
            <w:r>
              <w:rPr>
                <w:rFonts w:ascii="Times New Roman" w:hAnsi="Times New Roman"/>
                <w:sz w:val="18"/>
              </w:rPr>
              <w:t>Tmin_C</w:t>
            </w:r>
          </w:p>
        </w:tc>
        <w:tc>
          <w:tcPr>
            <w:tcW w:type="dxa" w:w="720"/>
          </w:tcPr>
          <w:p>
            <w:pPr>
              <w:jc w:val="center"/>
            </w:pPr>
            <w:r/>
            <w:r>
              <w:rPr>
                <w:rFonts w:ascii="Times New Roman" w:hAnsi="Times New Roman"/>
                <w:sz w:val="18"/>
              </w:rPr>
              <w:t>ERA5-Land</w:t>
            </w:r>
          </w:p>
        </w:tc>
        <w:tc>
          <w:tcPr>
            <w:tcW w:type="dxa" w:w="720"/>
          </w:tcPr>
          <w:p>
            <w:pPr>
              <w:jc w:val="center"/>
            </w:pPr>
            <w:r/>
            <w:r>
              <w:rPr>
                <w:rFonts w:ascii="Times New Roman" w:hAnsi="Times New Roman"/>
                <w:sz w:val="18"/>
              </w:rPr>
              <w:t>1981–2025</w:t>
            </w:r>
          </w:p>
        </w:tc>
        <w:tc>
          <w:tcPr>
            <w:tcW w:type="dxa" w:w="720"/>
          </w:tcPr>
          <w:p>
            <w:pPr>
              <w:jc w:val="center"/>
            </w:pPr>
            <w:r/>
            <w:r>
              <w:rPr>
                <w:rFonts w:ascii="Times New Roman" w:hAnsi="Times New Roman"/>
                <w:sz w:val="18"/>
              </w:rPr>
              <w:t>21</w:t>
            </w:r>
          </w:p>
        </w:tc>
        <w:tc>
          <w:tcPr>
            <w:tcW w:type="dxa" w:w="720"/>
          </w:tcPr>
          <w:p>
            <w:pPr>
              <w:jc w:val="center"/>
            </w:pPr>
            <w:r/>
            <w:r>
              <w:rPr>
                <w:rFonts w:ascii="Times New Roman" w:hAnsi="Times New Roman"/>
                <w:sz w:val="18"/>
              </w:rPr>
              <w:t>12</w:t>
            </w:r>
          </w:p>
        </w:tc>
        <w:tc>
          <w:tcPr>
            <w:tcW w:type="dxa" w:w="720"/>
          </w:tcPr>
          <w:p>
            <w:pPr>
              <w:jc w:val="center"/>
            </w:pPr>
            <w:r/>
            <w:r>
              <w:rPr>
                <w:rFonts w:ascii="Times New Roman" w:hAnsi="Times New Roman"/>
                <w:sz w:val="18"/>
              </w:rPr>
              <w:t>57.1%</w:t>
            </w:r>
          </w:p>
        </w:tc>
        <w:tc>
          <w:tcPr>
            <w:tcW w:type="dxa" w:w="720"/>
          </w:tcPr>
          <w:p>
            <w:pPr>
              <w:jc w:val="center"/>
            </w:pPr>
            <w:r/>
            <w:r>
              <w:rPr>
                <w:rFonts w:ascii="Times New Roman" w:hAnsi="Times New Roman"/>
                <w:sz w:val="18"/>
              </w:rPr>
              <w:t>12</w:t>
            </w:r>
          </w:p>
        </w:tc>
        <w:tc>
          <w:tcPr>
            <w:tcW w:type="dxa" w:w="720"/>
          </w:tcPr>
          <w:p>
            <w:pPr>
              <w:jc w:val="center"/>
            </w:pPr>
            <w:r/>
            <w:r>
              <w:rPr>
                <w:rFonts w:ascii="Times New Roman" w:hAnsi="Times New Roman"/>
                <w:sz w:val="18"/>
              </w:rPr>
              <w:t>0</w:t>
            </w:r>
          </w:p>
        </w:tc>
        <w:tc>
          <w:tcPr>
            <w:tcW w:type="dxa" w:w="720"/>
          </w:tcPr>
          <w:p>
            <w:pPr>
              <w:jc w:val="center"/>
            </w:pPr>
            <w:r/>
            <w:r>
              <w:rPr>
                <w:rFonts w:ascii="Times New Roman" w:hAnsi="Times New Roman"/>
                <w:sz w:val="18"/>
              </w:rPr>
              <w:t>0.00986</w:t>
            </w:r>
          </w:p>
        </w:tc>
        <w:tc>
          <w:tcPr>
            <w:tcW w:type="dxa" w:w="720"/>
          </w:tcPr>
          <w:p>
            <w:pPr>
              <w:jc w:val="center"/>
            </w:pPr>
            <w:r/>
            <w:r>
              <w:rPr>
                <w:rFonts w:ascii="Times New Roman" w:hAnsi="Times New Roman"/>
                <w:sz w:val="18"/>
              </w:rPr>
              <w:t>0.00297</w:t>
            </w:r>
          </w:p>
        </w:tc>
        <w:tc>
          <w:tcPr>
            <w:tcW w:type="dxa" w:w="720"/>
          </w:tcPr>
          <w:p>
            <w:pPr>
              <w:jc w:val="center"/>
            </w:pPr>
            <w:r/>
            <w:r>
              <w:rPr>
                <w:rFonts w:ascii="Times New Roman" w:hAnsi="Times New Roman"/>
                <w:sz w:val="18"/>
              </w:rPr>
              <w:t>0.01235</w:t>
            </w:r>
          </w:p>
        </w:tc>
        <w:tc>
          <w:tcPr>
            <w:tcW w:type="dxa" w:w="720"/>
          </w:tcPr>
          <w:p>
            <w:pPr>
              <w:jc w:val="center"/>
            </w:pPr>
            <w:r/>
            <w:r>
              <w:rPr>
                <w:rFonts w:ascii="Times New Roman" w:hAnsi="Times New Roman"/>
                <w:sz w:val="18"/>
              </w:rPr>
              <w:t>°C yr⁻¹</w:t>
            </w:r>
          </w:p>
        </w:tc>
        <w:tc>
          <w:tcPr>
            <w:tcW w:type="dxa" w:w="720"/>
          </w:tcPr>
          <w:p>
            <w:pPr>
              <w:jc w:val="center"/>
            </w:pPr>
            <w:r/>
            <w:r>
              <w:rPr>
                <w:rFonts w:ascii="Times New Roman" w:hAnsi="Times New Roman"/>
                <w:sz w:val="18"/>
              </w:rPr>
              <w:t>0.434</w:t>
            </w:r>
          </w:p>
        </w:tc>
      </w:tr>
      <w:tr>
        <w:tc>
          <w:tcPr>
            <w:tcW w:type="dxa" w:w="720"/>
          </w:tcPr>
          <w:p>
            <w:pPr>
              <w:jc w:val="center"/>
            </w:pPr>
            <w:r/>
            <w:r>
              <w:rPr>
                <w:rFonts w:ascii="Times New Roman" w:hAnsi="Times New Roman"/>
                <w:sz w:val="18"/>
              </w:rPr>
              <w:t>RH_pct</w:t>
            </w:r>
          </w:p>
        </w:tc>
        <w:tc>
          <w:tcPr>
            <w:tcW w:type="dxa" w:w="720"/>
          </w:tcPr>
          <w:p>
            <w:pPr>
              <w:jc w:val="center"/>
            </w:pPr>
            <w:r/>
            <w:r>
              <w:rPr>
                <w:rFonts w:ascii="Times New Roman" w:hAnsi="Times New Roman"/>
                <w:sz w:val="18"/>
              </w:rPr>
              <w:t>ERA5-Land</w:t>
            </w:r>
          </w:p>
        </w:tc>
        <w:tc>
          <w:tcPr>
            <w:tcW w:type="dxa" w:w="720"/>
          </w:tcPr>
          <w:p>
            <w:pPr>
              <w:jc w:val="center"/>
            </w:pPr>
            <w:r/>
            <w:r>
              <w:rPr>
                <w:rFonts w:ascii="Times New Roman" w:hAnsi="Times New Roman"/>
                <w:sz w:val="18"/>
              </w:rPr>
              <w:t>1981–2025</w:t>
            </w:r>
          </w:p>
        </w:tc>
        <w:tc>
          <w:tcPr>
            <w:tcW w:type="dxa" w:w="720"/>
          </w:tcPr>
          <w:p>
            <w:pPr>
              <w:jc w:val="center"/>
            </w:pPr>
            <w:r/>
            <w:r>
              <w:rPr>
                <w:rFonts w:ascii="Times New Roman" w:hAnsi="Times New Roman"/>
                <w:sz w:val="18"/>
              </w:rPr>
              <w:t>21</w:t>
            </w:r>
          </w:p>
        </w:tc>
        <w:tc>
          <w:tcPr>
            <w:tcW w:type="dxa" w:w="720"/>
          </w:tcPr>
          <w:p>
            <w:pPr>
              <w:jc w:val="center"/>
            </w:pPr>
            <w:r/>
            <w:r>
              <w:rPr>
                <w:rFonts w:ascii="Times New Roman" w:hAnsi="Times New Roman"/>
                <w:sz w:val="18"/>
              </w:rPr>
              <w:t>11</w:t>
            </w:r>
          </w:p>
        </w:tc>
        <w:tc>
          <w:tcPr>
            <w:tcW w:type="dxa" w:w="720"/>
          </w:tcPr>
          <w:p>
            <w:pPr>
              <w:jc w:val="center"/>
            </w:pPr>
            <w:r/>
            <w:r>
              <w:rPr>
                <w:rFonts w:ascii="Times New Roman" w:hAnsi="Times New Roman"/>
                <w:sz w:val="18"/>
              </w:rPr>
              <w:t>52.4%</w:t>
            </w:r>
          </w:p>
        </w:tc>
        <w:tc>
          <w:tcPr>
            <w:tcW w:type="dxa" w:w="720"/>
          </w:tcPr>
          <w:p>
            <w:pPr>
              <w:jc w:val="center"/>
            </w:pPr>
            <w:r/>
            <w:r>
              <w:rPr>
                <w:rFonts w:ascii="Times New Roman" w:hAnsi="Times New Roman"/>
                <w:sz w:val="18"/>
              </w:rPr>
              <w:t>10</w:t>
            </w:r>
          </w:p>
        </w:tc>
        <w:tc>
          <w:tcPr>
            <w:tcW w:type="dxa" w:w="720"/>
          </w:tcPr>
          <w:p>
            <w:pPr>
              <w:jc w:val="center"/>
            </w:pPr>
            <w:r/>
            <w:r>
              <w:rPr>
                <w:rFonts w:ascii="Times New Roman" w:hAnsi="Times New Roman"/>
                <w:sz w:val="18"/>
              </w:rPr>
              <w:t>1</w:t>
            </w:r>
          </w:p>
        </w:tc>
        <w:tc>
          <w:tcPr>
            <w:tcW w:type="dxa" w:w="720"/>
          </w:tcPr>
          <w:p>
            <w:pPr>
              <w:jc w:val="center"/>
            </w:pPr>
            <w:r/>
            <w:r>
              <w:rPr>
                <w:rFonts w:ascii="Times New Roman" w:hAnsi="Times New Roman"/>
                <w:sz w:val="18"/>
              </w:rPr>
              <w:t>0.0255</w:t>
            </w:r>
          </w:p>
        </w:tc>
        <w:tc>
          <w:tcPr>
            <w:tcW w:type="dxa" w:w="720"/>
          </w:tcPr>
          <w:p>
            <w:pPr>
              <w:jc w:val="center"/>
            </w:pPr>
            <w:r/>
            <w:r>
              <w:rPr>
                <w:rFonts w:ascii="Times New Roman" w:hAnsi="Times New Roman"/>
                <w:sz w:val="18"/>
              </w:rPr>
              <w:t>-0.01634</w:t>
            </w:r>
          </w:p>
        </w:tc>
        <w:tc>
          <w:tcPr>
            <w:tcW w:type="dxa" w:w="720"/>
          </w:tcPr>
          <w:p>
            <w:pPr>
              <w:jc w:val="center"/>
            </w:pPr>
            <w:r/>
            <w:r>
              <w:rPr>
                <w:rFonts w:ascii="Times New Roman" w:hAnsi="Times New Roman"/>
                <w:sz w:val="18"/>
              </w:rPr>
              <w:t>0.05074</w:t>
            </w:r>
          </w:p>
        </w:tc>
        <w:tc>
          <w:tcPr>
            <w:tcW w:type="dxa" w:w="720"/>
          </w:tcPr>
          <w:p>
            <w:pPr>
              <w:jc w:val="center"/>
            </w:pPr>
            <w:r/>
            <w:r>
              <w:rPr>
                <w:rFonts w:ascii="Times New Roman" w:hAnsi="Times New Roman"/>
                <w:sz w:val="18"/>
              </w:rPr>
              <w:t>% yr⁻¹</w:t>
            </w:r>
          </w:p>
        </w:tc>
        <w:tc>
          <w:tcPr>
            <w:tcW w:type="dxa" w:w="720"/>
          </w:tcPr>
          <w:p>
            <w:pPr>
              <w:jc w:val="center"/>
            </w:pPr>
            <w:r/>
            <w:r>
              <w:rPr>
                <w:rFonts w:ascii="Times New Roman" w:hAnsi="Times New Roman"/>
                <w:sz w:val="18"/>
              </w:rPr>
              <w:t>1.122</w:t>
            </w:r>
          </w:p>
        </w:tc>
      </w:tr>
      <w:tr>
        <w:tc>
          <w:tcPr>
            <w:tcW w:type="dxa" w:w="720"/>
          </w:tcPr>
          <w:p>
            <w:pPr>
              <w:jc w:val="center"/>
            </w:pPr>
            <w:r/>
            <w:r>
              <w:rPr>
                <w:rFonts w:ascii="Times New Roman" w:hAnsi="Times New Roman"/>
                <w:sz w:val="18"/>
              </w:rPr>
              <w:t>PET_mm</w:t>
            </w:r>
          </w:p>
        </w:tc>
        <w:tc>
          <w:tcPr>
            <w:tcW w:type="dxa" w:w="720"/>
          </w:tcPr>
          <w:p>
            <w:pPr>
              <w:jc w:val="center"/>
            </w:pPr>
            <w:r/>
            <w:r>
              <w:rPr>
                <w:rFonts w:ascii="Times New Roman" w:hAnsi="Times New Roman"/>
                <w:sz w:val="18"/>
              </w:rPr>
              <w:t>TerraClimate</w:t>
            </w:r>
          </w:p>
        </w:tc>
        <w:tc>
          <w:tcPr>
            <w:tcW w:type="dxa" w:w="720"/>
          </w:tcPr>
          <w:p>
            <w:pPr>
              <w:jc w:val="center"/>
            </w:pPr>
            <w:r/>
            <w:r>
              <w:rPr>
                <w:rFonts w:ascii="Times New Roman" w:hAnsi="Times New Roman"/>
                <w:sz w:val="18"/>
              </w:rPr>
              <w:t>1981–2024</w:t>
            </w:r>
          </w:p>
        </w:tc>
        <w:tc>
          <w:tcPr>
            <w:tcW w:type="dxa" w:w="720"/>
          </w:tcPr>
          <w:p>
            <w:pPr>
              <w:jc w:val="center"/>
            </w:pPr>
            <w:r/>
            <w:r>
              <w:rPr>
                <w:rFonts w:ascii="Times New Roman" w:hAnsi="Times New Roman"/>
                <w:sz w:val="18"/>
              </w:rPr>
              <w:t>21</w:t>
            </w:r>
          </w:p>
        </w:tc>
        <w:tc>
          <w:tcPr>
            <w:tcW w:type="dxa" w:w="720"/>
          </w:tcPr>
          <w:p>
            <w:pPr>
              <w:jc w:val="center"/>
            </w:pPr>
            <w:r/>
            <w:r>
              <w:rPr>
                <w:rFonts w:ascii="Times New Roman" w:hAnsi="Times New Roman"/>
                <w:sz w:val="18"/>
              </w:rPr>
              <w:t>18</w:t>
            </w:r>
          </w:p>
        </w:tc>
        <w:tc>
          <w:tcPr>
            <w:tcW w:type="dxa" w:w="720"/>
          </w:tcPr>
          <w:p>
            <w:pPr>
              <w:jc w:val="center"/>
            </w:pPr>
            <w:r/>
            <w:r>
              <w:rPr>
                <w:rFonts w:ascii="Times New Roman" w:hAnsi="Times New Roman"/>
                <w:sz w:val="18"/>
              </w:rPr>
              <w:t>85.7%</w:t>
            </w:r>
          </w:p>
        </w:tc>
        <w:tc>
          <w:tcPr>
            <w:tcW w:type="dxa" w:w="720"/>
          </w:tcPr>
          <w:p>
            <w:pPr>
              <w:jc w:val="center"/>
            </w:pPr>
            <w:r/>
            <w:r>
              <w:rPr>
                <w:rFonts w:ascii="Times New Roman" w:hAnsi="Times New Roman"/>
                <w:sz w:val="18"/>
              </w:rPr>
              <w:t>0</w:t>
            </w:r>
          </w:p>
        </w:tc>
        <w:tc>
          <w:tcPr>
            <w:tcW w:type="dxa" w:w="720"/>
          </w:tcPr>
          <w:p>
            <w:pPr>
              <w:jc w:val="center"/>
            </w:pPr>
            <w:r/>
            <w:r>
              <w:rPr>
                <w:rFonts w:ascii="Times New Roman" w:hAnsi="Times New Roman"/>
                <w:sz w:val="18"/>
              </w:rPr>
              <w:t>18</w:t>
            </w:r>
          </w:p>
        </w:tc>
        <w:tc>
          <w:tcPr>
            <w:tcW w:type="dxa" w:w="720"/>
          </w:tcPr>
          <w:p>
            <w:pPr>
              <w:jc w:val="center"/>
            </w:pPr>
            <w:r/>
            <w:r>
              <w:rPr>
                <w:rFonts w:ascii="Times New Roman" w:hAnsi="Times New Roman"/>
                <w:sz w:val="18"/>
              </w:rPr>
              <w:t>-1.11181</w:t>
            </w:r>
          </w:p>
        </w:tc>
        <w:tc>
          <w:tcPr>
            <w:tcW w:type="dxa" w:w="720"/>
          </w:tcPr>
          <w:p>
            <w:pPr>
              <w:jc w:val="center"/>
            </w:pPr>
            <w:r/>
            <w:r>
              <w:rPr>
                <w:rFonts w:ascii="Times New Roman" w:hAnsi="Times New Roman"/>
                <w:sz w:val="18"/>
              </w:rPr>
              <w:t>-1.64583</w:t>
            </w:r>
          </w:p>
        </w:tc>
        <w:tc>
          <w:tcPr>
            <w:tcW w:type="dxa" w:w="720"/>
          </w:tcPr>
          <w:p>
            <w:pPr>
              <w:jc w:val="center"/>
            </w:pPr>
            <w:r/>
            <w:r>
              <w:rPr>
                <w:rFonts w:ascii="Times New Roman" w:hAnsi="Times New Roman"/>
                <w:sz w:val="18"/>
              </w:rPr>
              <w:t>-0.78241</w:t>
            </w:r>
          </w:p>
        </w:tc>
        <w:tc>
          <w:tcPr>
            <w:tcW w:type="dxa" w:w="720"/>
          </w:tcPr>
          <w:p>
            <w:pPr>
              <w:jc w:val="center"/>
            </w:pPr>
            <w:r/>
            <w:r>
              <w:rPr>
                <w:rFonts w:ascii="Times New Roman" w:hAnsi="Times New Roman"/>
                <w:sz w:val="18"/>
              </w:rPr>
              <w:t>mm yr⁻¹</w:t>
            </w:r>
          </w:p>
        </w:tc>
        <w:tc>
          <w:tcPr>
            <w:tcW w:type="dxa" w:w="720"/>
          </w:tcPr>
          <w:p>
            <w:pPr>
              <w:jc w:val="center"/>
            </w:pPr>
            <w:r/>
            <w:r>
              <w:rPr>
                <w:rFonts w:ascii="Times New Roman" w:hAnsi="Times New Roman"/>
                <w:sz w:val="18"/>
              </w:rPr>
              <w:t>-48.919</w:t>
            </w:r>
          </w:p>
        </w:tc>
      </w:tr>
      <w:tr>
        <w:tc>
          <w:tcPr>
            <w:tcW w:type="dxa" w:w="720"/>
          </w:tcPr>
          <w:p>
            <w:pPr>
              <w:jc w:val="center"/>
            </w:pPr>
            <w:r/>
            <w:r>
              <w:rPr>
                <w:rFonts w:ascii="Times New Roman" w:hAnsi="Times New Roman"/>
                <w:sz w:val="18"/>
              </w:rPr>
              <w:t>PDSI</w:t>
            </w:r>
          </w:p>
        </w:tc>
        <w:tc>
          <w:tcPr>
            <w:tcW w:type="dxa" w:w="720"/>
          </w:tcPr>
          <w:p>
            <w:pPr>
              <w:jc w:val="center"/>
            </w:pPr>
            <w:r/>
            <w:r>
              <w:rPr>
                <w:rFonts w:ascii="Times New Roman" w:hAnsi="Times New Roman"/>
                <w:sz w:val="18"/>
              </w:rPr>
              <w:t>TerraClimate</w:t>
            </w:r>
          </w:p>
        </w:tc>
        <w:tc>
          <w:tcPr>
            <w:tcW w:type="dxa" w:w="720"/>
          </w:tcPr>
          <w:p>
            <w:pPr>
              <w:jc w:val="center"/>
            </w:pPr>
            <w:r/>
            <w:r>
              <w:rPr>
                <w:rFonts w:ascii="Times New Roman" w:hAnsi="Times New Roman"/>
                <w:sz w:val="18"/>
              </w:rPr>
              <w:t>1981–2024</w:t>
            </w:r>
          </w:p>
        </w:tc>
        <w:tc>
          <w:tcPr>
            <w:tcW w:type="dxa" w:w="720"/>
          </w:tcPr>
          <w:p>
            <w:pPr>
              <w:jc w:val="center"/>
            </w:pPr>
            <w:r/>
            <w:r>
              <w:rPr>
                <w:rFonts w:ascii="Times New Roman" w:hAnsi="Times New Roman"/>
                <w:sz w:val="18"/>
              </w:rPr>
              <w:t>21</w:t>
            </w:r>
          </w:p>
        </w:tc>
        <w:tc>
          <w:tcPr>
            <w:tcW w:type="dxa" w:w="720"/>
          </w:tcPr>
          <w:p>
            <w:pPr>
              <w:jc w:val="center"/>
            </w:pPr>
            <w:r/>
            <w:r>
              <w:rPr>
                <w:rFonts w:ascii="Times New Roman" w:hAnsi="Times New Roman"/>
                <w:sz w:val="18"/>
              </w:rPr>
              <w:t>14</w:t>
            </w:r>
          </w:p>
        </w:tc>
        <w:tc>
          <w:tcPr>
            <w:tcW w:type="dxa" w:w="720"/>
          </w:tcPr>
          <w:p>
            <w:pPr>
              <w:jc w:val="center"/>
            </w:pPr>
            <w:r/>
            <w:r>
              <w:rPr>
                <w:rFonts w:ascii="Times New Roman" w:hAnsi="Times New Roman"/>
                <w:sz w:val="18"/>
              </w:rPr>
              <w:t>66.7%</w:t>
            </w:r>
          </w:p>
        </w:tc>
        <w:tc>
          <w:tcPr>
            <w:tcW w:type="dxa" w:w="720"/>
          </w:tcPr>
          <w:p>
            <w:pPr>
              <w:jc w:val="center"/>
            </w:pPr>
            <w:r/>
            <w:r>
              <w:rPr>
                <w:rFonts w:ascii="Times New Roman" w:hAnsi="Times New Roman"/>
                <w:sz w:val="18"/>
              </w:rPr>
              <w:t>14</w:t>
            </w:r>
          </w:p>
        </w:tc>
        <w:tc>
          <w:tcPr>
            <w:tcW w:type="dxa" w:w="720"/>
          </w:tcPr>
          <w:p>
            <w:pPr>
              <w:jc w:val="center"/>
            </w:pPr>
            <w:r/>
            <w:r>
              <w:rPr>
                <w:rFonts w:ascii="Times New Roman" w:hAnsi="Times New Roman"/>
                <w:sz w:val="18"/>
              </w:rPr>
              <w:t>0</w:t>
            </w:r>
          </w:p>
        </w:tc>
        <w:tc>
          <w:tcPr>
            <w:tcW w:type="dxa" w:w="720"/>
          </w:tcPr>
          <w:p>
            <w:pPr>
              <w:jc w:val="center"/>
            </w:pPr>
            <w:r/>
            <w:r>
              <w:rPr>
                <w:rFonts w:ascii="Times New Roman" w:hAnsi="Times New Roman"/>
                <w:sz w:val="18"/>
              </w:rPr>
              <w:t>0.0796</w:t>
            </w:r>
          </w:p>
        </w:tc>
        <w:tc>
          <w:tcPr>
            <w:tcW w:type="dxa" w:w="720"/>
          </w:tcPr>
          <w:p>
            <w:pPr>
              <w:jc w:val="center"/>
            </w:pPr>
            <w:r/>
            <w:r>
              <w:rPr>
                <w:rFonts w:ascii="Times New Roman" w:hAnsi="Times New Roman"/>
                <w:sz w:val="18"/>
              </w:rPr>
              <w:t>0.07</w:t>
            </w:r>
          </w:p>
        </w:tc>
        <w:tc>
          <w:tcPr>
            <w:tcW w:type="dxa" w:w="720"/>
          </w:tcPr>
          <w:p>
            <w:pPr>
              <w:jc w:val="center"/>
            </w:pPr>
            <w:r/>
            <w:r>
              <w:rPr>
                <w:rFonts w:ascii="Times New Roman" w:hAnsi="Times New Roman"/>
                <w:sz w:val="18"/>
              </w:rPr>
              <w:t>0.09403</w:t>
            </w:r>
          </w:p>
        </w:tc>
        <w:tc>
          <w:tcPr>
            <w:tcW w:type="dxa" w:w="720"/>
          </w:tcPr>
          <w:p>
            <w:pPr>
              <w:jc w:val="center"/>
            </w:pPr>
            <w:r/>
            <w:r>
              <w:rPr>
                <w:rFonts w:ascii="Times New Roman" w:hAnsi="Times New Roman"/>
                <w:sz w:val="18"/>
              </w:rPr>
              <w:t>PDSI units yr⁻¹</w:t>
            </w:r>
          </w:p>
        </w:tc>
        <w:tc>
          <w:tcPr>
            <w:tcW w:type="dxa" w:w="720"/>
          </w:tcPr>
          <w:p>
            <w:pPr>
              <w:jc w:val="center"/>
            </w:pPr>
            <w:r/>
            <w:r>
              <w:rPr>
                <w:rFonts w:ascii="Times New Roman" w:hAnsi="Times New Roman"/>
                <w:sz w:val="18"/>
              </w:rPr>
              <w:t>3.502</w:t>
            </w:r>
          </w:p>
        </w:tc>
      </w:tr>
    </w:tbl>
    <w:p>
      <w:pPr>
        <w:spacing w:after="240" w:line="480" w:lineRule="auto"/>
        <w:jc w:val="both"/>
      </w:pPr>
      <w:r>
        <w:rPr>
          <w:rFonts w:ascii="Times New Roman" w:hAnsi="Times New Roman"/>
          <w:b w:val="0"/>
          <w:i w:val="0"/>
          <w:sz w:val="24"/>
        </w:rPr>
      </w:r>
    </w:p>
    <w:p>
      <w:pPr>
        <w:spacing w:after="120" w:line="360" w:lineRule="auto"/>
      </w:pPr>
      <w:r>
        <w:rPr>
          <w:rFonts w:ascii="Times New Roman" w:hAnsi="Times New Roman"/>
          <w:b/>
          <w:sz w:val="22"/>
        </w:rPr>
        <w:t>Table 4.</w:t>
      </w:r>
      <w:r>
        <w:rPr>
          <w:rFonts w:ascii="Times New Roman" w:hAnsi="Times New Roman"/>
          <w:sz w:val="22"/>
        </w:rPr>
        <w:t xml:space="preserve"> ENSO teleconnection summary (Spearman correlation with ONI). N tests = stations × lags 0–3 months. N significant at p &lt; 0.05 raw; FDR-BH at 5 % applied to the full set of 588 tests is reported in Table S7.</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
              <w:rPr>
                <w:rFonts w:ascii="Times New Roman" w:hAnsi="Times New Roman"/>
                <w:b/>
                <w:sz w:val="18"/>
              </w:rPr>
              <w:t>Variable</w:t>
            </w:r>
          </w:p>
        </w:tc>
        <w:tc>
          <w:tcPr>
            <w:tcW w:type="dxa" w:w="1170"/>
          </w:tcPr>
          <w:p>
            <w:pPr>
              <w:jc w:val="center"/>
            </w:pPr>
            <w:r/>
            <w:r>
              <w:rPr>
                <w:rFonts w:ascii="Times New Roman" w:hAnsi="Times New Roman"/>
                <w:b/>
                <w:sz w:val="18"/>
              </w:rPr>
              <w:t>Source</w:t>
            </w:r>
          </w:p>
        </w:tc>
        <w:tc>
          <w:tcPr>
            <w:tcW w:type="dxa" w:w="1170"/>
          </w:tcPr>
          <w:p>
            <w:pPr>
              <w:jc w:val="center"/>
            </w:pPr>
            <w:r/>
            <w:r>
              <w:rPr>
                <w:rFonts w:ascii="Times New Roman" w:hAnsi="Times New Roman"/>
                <w:b/>
                <w:sz w:val="18"/>
              </w:rPr>
              <w:t>N_tests_total</w:t>
            </w:r>
          </w:p>
        </w:tc>
        <w:tc>
          <w:tcPr>
            <w:tcW w:type="dxa" w:w="1170"/>
          </w:tcPr>
          <w:p>
            <w:pPr>
              <w:jc w:val="center"/>
            </w:pPr>
            <w:r/>
            <w:r>
              <w:rPr>
                <w:rFonts w:ascii="Times New Roman" w:hAnsi="Times New Roman"/>
                <w:b/>
                <w:sz w:val="18"/>
              </w:rPr>
              <w:t>N_significant</w:t>
            </w:r>
          </w:p>
        </w:tc>
        <w:tc>
          <w:tcPr>
            <w:tcW w:type="dxa" w:w="1170"/>
          </w:tcPr>
          <w:p>
            <w:pPr>
              <w:jc w:val="center"/>
            </w:pPr>
            <w:r/>
            <w:r>
              <w:rPr>
                <w:rFonts w:ascii="Times New Roman" w:hAnsi="Times New Roman"/>
                <w:b/>
                <w:sz w:val="18"/>
              </w:rPr>
              <w:t>Pct_significant</w:t>
            </w:r>
          </w:p>
        </w:tc>
        <w:tc>
          <w:tcPr>
            <w:tcW w:type="dxa" w:w="1170"/>
          </w:tcPr>
          <w:p>
            <w:pPr>
              <w:jc w:val="center"/>
            </w:pPr>
            <w:r/>
            <w:r>
              <w:rPr>
                <w:rFonts w:ascii="Times New Roman" w:hAnsi="Times New Roman"/>
                <w:b/>
                <w:sz w:val="18"/>
              </w:rPr>
              <w:t>Dominant_lag_months</w:t>
            </w:r>
          </w:p>
        </w:tc>
        <w:tc>
          <w:tcPr>
            <w:tcW w:type="dxa" w:w="1170"/>
          </w:tcPr>
          <w:p>
            <w:pPr>
              <w:jc w:val="center"/>
            </w:pPr>
            <w:r/>
            <w:r>
              <w:rPr>
                <w:rFonts w:ascii="Times New Roman" w:hAnsi="Times New Roman"/>
                <w:b/>
                <w:sz w:val="18"/>
              </w:rPr>
              <w:t>Median_rho_dominant_lag</w:t>
            </w:r>
          </w:p>
        </w:tc>
        <w:tc>
          <w:tcPr>
            <w:tcW w:type="dxa" w:w="1170"/>
          </w:tcPr>
          <w:p>
            <w:pPr>
              <w:jc w:val="center"/>
            </w:pPr>
            <w:r/>
            <w:r>
              <w:rPr>
                <w:rFonts w:ascii="Times New Roman" w:hAnsi="Times New Roman"/>
                <w:b/>
                <w:sz w:val="18"/>
              </w:rPr>
              <w:t>ENSO_direction</w:t>
            </w:r>
          </w:p>
        </w:tc>
      </w:tr>
      <w:tr>
        <w:tc>
          <w:tcPr>
            <w:tcW w:type="dxa" w:w="1170"/>
          </w:tcPr>
          <w:p>
            <w:pPr>
              <w:jc w:val="center"/>
            </w:pPr>
            <w:r/>
            <w:r>
              <w:rPr>
                <w:rFonts w:ascii="Times New Roman" w:hAnsi="Times New Roman"/>
                <w:sz w:val="18"/>
              </w:rPr>
              <w:t>PRECIP_CHIRPS_mm</w:t>
            </w:r>
          </w:p>
        </w:tc>
        <w:tc>
          <w:tcPr>
            <w:tcW w:type="dxa" w:w="1170"/>
          </w:tcPr>
          <w:p>
            <w:pPr>
              <w:jc w:val="center"/>
            </w:pPr>
            <w:r/>
            <w:r>
              <w:rPr>
                <w:rFonts w:ascii="Times New Roman" w:hAnsi="Times New Roman"/>
                <w:sz w:val="18"/>
              </w:rPr>
              <w:t>CHIRPS</w:t>
            </w:r>
          </w:p>
        </w:tc>
        <w:tc>
          <w:tcPr>
            <w:tcW w:type="dxa" w:w="1170"/>
          </w:tcPr>
          <w:p>
            <w:pPr>
              <w:jc w:val="center"/>
            </w:pPr>
            <w:r/>
            <w:r>
              <w:rPr>
                <w:rFonts w:ascii="Times New Roman" w:hAnsi="Times New Roman"/>
                <w:sz w:val="18"/>
              </w:rPr>
              <w:t>84</w:t>
            </w:r>
          </w:p>
        </w:tc>
        <w:tc>
          <w:tcPr>
            <w:tcW w:type="dxa" w:w="1170"/>
          </w:tcPr>
          <w:p>
            <w:pPr>
              <w:jc w:val="center"/>
            </w:pPr>
            <w:r/>
            <w:r>
              <w:rPr>
                <w:rFonts w:ascii="Times New Roman" w:hAnsi="Times New Roman"/>
                <w:sz w:val="18"/>
              </w:rPr>
              <w:t>79</w:t>
            </w:r>
          </w:p>
        </w:tc>
        <w:tc>
          <w:tcPr>
            <w:tcW w:type="dxa" w:w="1170"/>
          </w:tcPr>
          <w:p>
            <w:pPr>
              <w:jc w:val="center"/>
            </w:pPr>
            <w:r/>
            <w:r>
              <w:rPr>
                <w:rFonts w:ascii="Times New Roman" w:hAnsi="Times New Roman"/>
                <w:sz w:val="18"/>
              </w:rPr>
              <w:t>94.0%</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-0.23</w:t>
            </w:r>
          </w:p>
        </w:tc>
        <w:tc>
          <w:tcPr>
            <w:tcW w:type="dxa" w:w="1170"/>
          </w:tcPr>
          <w:p>
            <w:pPr>
              <w:jc w:val="center"/>
            </w:pPr>
            <w:r/>
            <w:r>
              <w:rPr>
                <w:rFonts w:ascii="Times New Roman" w:hAnsi="Times New Roman"/>
                <w:sz w:val="18"/>
              </w:rPr>
              <w:t>− (El Niño → decrease)</w:t>
            </w:r>
          </w:p>
        </w:tc>
      </w:tr>
      <w:tr>
        <w:tc>
          <w:tcPr>
            <w:tcW w:type="dxa" w:w="1170"/>
          </w:tcPr>
          <w:p>
            <w:pPr>
              <w:jc w:val="center"/>
            </w:pPr>
            <w:r/>
            <w:r>
              <w:rPr>
                <w:rFonts w:ascii="Times New Roman" w:hAnsi="Times New Roman"/>
                <w:sz w:val="18"/>
              </w:rPr>
              <w:t>Tmean_C</w:t>
            </w:r>
          </w:p>
        </w:tc>
        <w:tc>
          <w:tcPr>
            <w:tcW w:type="dxa" w:w="1170"/>
          </w:tcPr>
          <w:p>
            <w:pPr>
              <w:jc w:val="center"/>
            </w:pPr>
            <w:r/>
            <w:r>
              <w:rPr>
                <w:rFonts w:ascii="Times New Roman" w:hAnsi="Times New Roman"/>
                <w:sz w:val="18"/>
              </w:rPr>
              <w:t>ERA5-Land</w:t>
            </w:r>
          </w:p>
        </w:tc>
        <w:tc>
          <w:tcPr>
            <w:tcW w:type="dxa" w:w="1170"/>
          </w:tcPr>
          <w:p>
            <w:pPr>
              <w:jc w:val="center"/>
            </w:pPr>
            <w:r/>
            <w:r>
              <w:rPr>
                <w:rFonts w:ascii="Times New Roman" w:hAnsi="Times New Roman"/>
                <w:sz w:val="18"/>
              </w:rPr>
              <w:t>84</w:t>
            </w:r>
          </w:p>
        </w:tc>
        <w:tc>
          <w:tcPr>
            <w:tcW w:type="dxa" w:w="1170"/>
          </w:tcPr>
          <w:p>
            <w:pPr>
              <w:jc w:val="center"/>
            </w:pPr>
            <w:r/>
            <w:r>
              <w:rPr>
                <w:rFonts w:ascii="Times New Roman" w:hAnsi="Times New Roman"/>
                <w:sz w:val="18"/>
              </w:rPr>
              <w:t>84</w:t>
            </w:r>
          </w:p>
        </w:tc>
        <w:tc>
          <w:tcPr>
            <w:tcW w:type="dxa" w:w="1170"/>
          </w:tcPr>
          <w:p>
            <w:pPr>
              <w:jc w:val="center"/>
            </w:pPr>
            <w:r/>
            <w:r>
              <w:rPr>
                <w:rFonts w:ascii="Times New Roman" w:hAnsi="Times New Roman"/>
                <w:sz w:val="18"/>
              </w:rPr>
              <w:t>100.0%</w:t>
            </w:r>
          </w:p>
        </w:tc>
        <w:tc>
          <w:tcPr>
            <w:tcW w:type="dxa" w:w="1170"/>
          </w:tcPr>
          <w:p>
            <w:pPr>
              <w:jc w:val="center"/>
            </w:pPr>
            <w:r/>
            <w:r>
              <w:rPr>
                <w:rFonts w:ascii="Times New Roman" w:hAnsi="Times New Roman"/>
                <w:sz w:val="18"/>
              </w:rPr>
              <w:t>0</w:t>
            </w:r>
          </w:p>
        </w:tc>
        <w:tc>
          <w:tcPr>
            <w:tcW w:type="dxa" w:w="1170"/>
          </w:tcPr>
          <w:p>
            <w:pPr>
              <w:jc w:val="center"/>
            </w:pPr>
            <w:r/>
            <w:r>
              <w:rPr>
                <w:rFonts w:ascii="Times New Roman" w:hAnsi="Times New Roman"/>
                <w:sz w:val="18"/>
              </w:rPr>
              <w:t>0.303</w:t>
            </w:r>
          </w:p>
        </w:tc>
        <w:tc>
          <w:tcPr>
            <w:tcW w:type="dxa" w:w="1170"/>
          </w:tcPr>
          <w:p>
            <w:pPr>
              <w:jc w:val="center"/>
            </w:pPr>
            <w:r/>
            <w:r>
              <w:rPr>
                <w:rFonts w:ascii="Times New Roman" w:hAnsi="Times New Roman"/>
                <w:sz w:val="18"/>
              </w:rPr>
              <w:t>+ (El Niño → increase)</w:t>
            </w:r>
          </w:p>
        </w:tc>
      </w:tr>
      <w:tr>
        <w:tc>
          <w:tcPr>
            <w:tcW w:type="dxa" w:w="1170"/>
          </w:tcPr>
          <w:p>
            <w:pPr>
              <w:jc w:val="center"/>
            </w:pPr>
            <w:r/>
            <w:r>
              <w:rPr>
                <w:rFonts w:ascii="Times New Roman" w:hAnsi="Times New Roman"/>
                <w:sz w:val="18"/>
              </w:rPr>
              <w:t>Tmax_C</w:t>
            </w:r>
          </w:p>
        </w:tc>
        <w:tc>
          <w:tcPr>
            <w:tcW w:type="dxa" w:w="1170"/>
          </w:tcPr>
          <w:p>
            <w:pPr>
              <w:jc w:val="center"/>
            </w:pPr>
            <w:r/>
            <w:r>
              <w:rPr>
                <w:rFonts w:ascii="Times New Roman" w:hAnsi="Times New Roman"/>
                <w:sz w:val="18"/>
              </w:rPr>
              <w:t>ERA5-Land</w:t>
            </w:r>
          </w:p>
        </w:tc>
        <w:tc>
          <w:tcPr>
            <w:tcW w:type="dxa" w:w="1170"/>
          </w:tcPr>
          <w:p>
            <w:pPr>
              <w:jc w:val="center"/>
            </w:pPr>
            <w:r/>
            <w:r>
              <w:rPr>
                <w:rFonts w:ascii="Times New Roman" w:hAnsi="Times New Roman"/>
                <w:sz w:val="18"/>
              </w:rPr>
              <w:t>84</w:t>
            </w:r>
          </w:p>
        </w:tc>
        <w:tc>
          <w:tcPr>
            <w:tcW w:type="dxa" w:w="1170"/>
          </w:tcPr>
          <w:p>
            <w:pPr>
              <w:jc w:val="center"/>
            </w:pPr>
            <w:r/>
            <w:r>
              <w:rPr>
                <w:rFonts w:ascii="Times New Roman" w:hAnsi="Times New Roman"/>
                <w:sz w:val="18"/>
              </w:rPr>
              <w:t>80</w:t>
            </w:r>
          </w:p>
        </w:tc>
        <w:tc>
          <w:tcPr>
            <w:tcW w:type="dxa" w:w="1170"/>
          </w:tcPr>
          <w:p>
            <w:pPr>
              <w:jc w:val="center"/>
            </w:pPr>
            <w:r/>
            <w:r>
              <w:rPr>
                <w:rFonts w:ascii="Times New Roman" w:hAnsi="Times New Roman"/>
                <w:sz w:val="18"/>
              </w:rPr>
              <w:t>95.2%</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0.25</w:t>
            </w:r>
          </w:p>
        </w:tc>
        <w:tc>
          <w:tcPr>
            <w:tcW w:type="dxa" w:w="1170"/>
          </w:tcPr>
          <w:p>
            <w:pPr>
              <w:jc w:val="center"/>
            </w:pPr>
            <w:r/>
            <w:r>
              <w:rPr>
                <w:rFonts w:ascii="Times New Roman" w:hAnsi="Times New Roman"/>
                <w:sz w:val="18"/>
              </w:rPr>
              <w:t>+ (El Niño → increase)</w:t>
            </w:r>
          </w:p>
        </w:tc>
      </w:tr>
      <w:tr>
        <w:tc>
          <w:tcPr>
            <w:tcW w:type="dxa" w:w="1170"/>
          </w:tcPr>
          <w:p>
            <w:pPr>
              <w:jc w:val="center"/>
            </w:pPr>
            <w:r/>
            <w:r>
              <w:rPr>
                <w:rFonts w:ascii="Times New Roman" w:hAnsi="Times New Roman"/>
                <w:sz w:val="18"/>
              </w:rPr>
              <w:t>Tmin_C</w:t>
            </w:r>
          </w:p>
        </w:tc>
        <w:tc>
          <w:tcPr>
            <w:tcW w:type="dxa" w:w="1170"/>
          </w:tcPr>
          <w:p>
            <w:pPr>
              <w:jc w:val="center"/>
            </w:pPr>
            <w:r/>
            <w:r>
              <w:rPr>
                <w:rFonts w:ascii="Times New Roman" w:hAnsi="Times New Roman"/>
                <w:sz w:val="18"/>
              </w:rPr>
              <w:t>ERA5-Land</w:t>
            </w:r>
          </w:p>
        </w:tc>
        <w:tc>
          <w:tcPr>
            <w:tcW w:type="dxa" w:w="1170"/>
          </w:tcPr>
          <w:p>
            <w:pPr>
              <w:jc w:val="center"/>
            </w:pPr>
            <w:r/>
            <w:r>
              <w:rPr>
                <w:rFonts w:ascii="Times New Roman" w:hAnsi="Times New Roman"/>
                <w:sz w:val="18"/>
              </w:rPr>
              <w:t>84</w:t>
            </w:r>
          </w:p>
        </w:tc>
        <w:tc>
          <w:tcPr>
            <w:tcW w:type="dxa" w:w="1170"/>
          </w:tcPr>
          <w:p>
            <w:pPr>
              <w:jc w:val="center"/>
            </w:pPr>
            <w:r/>
            <w:r>
              <w:rPr>
                <w:rFonts w:ascii="Times New Roman" w:hAnsi="Times New Roman"/>
                <w:sz w:val="18"/>
              </w:rPr>
              <w:t>84</w:t>
            </w:r>
          </w:p>
        </w:tc>
        <w:tc>
          <w:tcPr>
            <w:tcW w:type="dxa" w:w="1170"/>
          </w:tcPr>
          <w:p>
            <w:pPr>
              <w:jc w:val="center"/>
            </w:pPr>
            <w:r/>
            <w:r>
              <w:rPr>
                <w:rFonts w:ascii="Times New Roman" w:hAnsi="Times New Roman"/>
                <w:sz w:val="18"/>
              </w:rPr>
              <w:t>100.0%</w:t>
            </w:r>
          </w:p>
        </w:tc>
        <w:tc>
          <w:tcPr>
            <w:tcW w:type="dxa" w:w="1170"/>
          </w:tcPr>
          <w:p>
            <w:pPr>
              <w:jc w:val="center"/>
            </w:pPr>
            <w:r/>
            <w:r>
              <w:rPr>
                <w:rFonts w:ascii="Times New Roman" w:hAnsi="Times New Roman"/>
                <w:sz w:val="18"/>
              </w:rPr>
              <w:t>0</w:t>
            </w:r>
          </w:p>
        </w:tc>
        <w:tc>
          <w:tcPr>
            <w:tcW w:type="dxa" w:w="1170"/>
          </w:tcPr>
          <w:p>
            <w:pPr>
              <w:jc w:val="center"/>
            </w:pPr>
            <w:r/>
            <w:r>
              <w:rPr>
                <w:rFonts w:ascii="Times New Roman" w:hAnsi="Times New Roman"/>
                <w:sz w:val="18"/>
              </w:rPr>
              <w:t>0.226</w:t>
            </w:r>
          </w:p>
        </w:tc>
        <w:tc>
          <w:tcPr>
            <w:tcW w:type="dxa" w:w="1170"/>
          </w:tcPr>
          <w:p>
            <w:pPr>
              <w:jc w:val="center"/>
            </w:pPr>
            <w:r/>
            <w:r>
              <w:rPr>
                <w:rFonts w:ascii="Times New Roman" w:hAnsi="Times New Roman"/>
                <w:sz w:val="18"/>
              </w:rPr>
              <w:t>+ (El Niño → increase)</w:t>
            </w:r>
          </w:p>
        </w:tc>
      </w:tr>
      <w:tr>
        <w:tc>
          <w:tcPr>
            <w:tcW w:type="dxa" w:w="1170"/>
          </w:tcPr>
          <w:p>
            <w:pPr>
              <w:jc w:val="center"/>
            </w:pPr>
            <w:r/>
            <w:r>
              <w:rPr>
                <w:rFonts w:ascii="Times New Roman" w:hAnsi="Times New Roman"/>
                <w:sz w:val="18"/>
              </w:rPr>
              <w:t>RH_pct</w:t>
            </w:r>
          </w:p>
        </w:tc>
        <w:tc>
          <w:tcPr>
            <w:tcW w:type="dxa" w:w="1170"/>
          </w:tcPr>
          <w:p>
            <w:pPr>
              <w:jc w:val="center"/>
            </w:pPr>
            <w:r/>
            <w:r>
              <w:rPr>
                <w:rFonts w:ascii="Times New Roman" w:hAnsi="Times New Roman"/>
                <w:sz w:val="18"/>
              </w:rPr>
              <w:t>ERA5-Land</w:t>
            </w:r>
          </w:p>
        </w:tc>
        <w:tc>
          <w:tcPr>
            <w:tcW w:type="dxa" w:w="1170"/>
          </w:tcPr>
          <w:p>
            <w:pPr>
              <w:jc w:val="center"/>
            </w:pPr>
            <w:r/>
            <w:r>
              <w:rPr>
                <w:rFonts w:ascii="Times New Roman" w:hAnsi="Times New Roman"/>
                <w:sz w:val="18"/>
              </w:rPr>
              <w:t>84</w:t>
            </w:r>
          </w:p>
        </w:tc>
        <w:tc>
          <w:tcPr>
            <w:tcW w:type="dxa" w:w="1170"/>
          </w:tcPr>
          <w:p>
            <w:pPr>
              <w:jc w:val="center"/>
            </w:pPr>
            <w:r/>
            <w:r>
              <w:rPr>
                <w:rFonts w:ascii="Times New Roman" w:hAnsi="Times New Roman"/>
                <w:sz w:val="18"/>
              </w:rPr>
              <w:t>44</w:t>
            </w:r>
          </w:p>
        </w:tc>
        <w:tc>
          <w:tcPr>
            <w:tcW w:type="dxa" w:w="1170"/>
          </w:tcPr>
          <w:p>
            <w:pPr>
              <w:jc w:val="center"/>
            </w:pPr>
            <w:r/>
            <w:r>
              <w:rPr>
                <w:rFonts w:ascii="Times New Roman" w:hAnsi="Times New Roman"/>
                <w:sz w:val="18"/>
              </w:rPr>
              <w:t>52.4%</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-0.227</w:t>
            </w:r>
          </w:p>
        </w:tc>
        <w:tc>
          <w:tcPr>
            <w:tcW w:type="dxa" w:w="1170"/>
          </w:tcPr>
          <w:p>
            <w:pPr>
              <w:jc w:val="center"/>
            </w:pPr>
            <w:r/>
            <w:r>
              <w:rPr>
                <w:rFonts w:ascii="Times New Roman" w:hAnsi="Times New Roman"/>
                <w:sz w:val="18"/>
              </w:rPr>
              <w:t>− (El Niño → decrease)</w:t>
            </w:r>
          </w:p>
        </w:tc>
      </w:tr>
      <w:tr>
        <w:tc>
          <w:tcPr>
            <w:tcW w:type="dxa" w:w="1170"/>
          </w:tcPr>
          <w:p>
            <w:pPr>
              <w:jc w:val="center"/>
            </w:pPr>
            <w:r/>
            <w:r>
              <w:rPr>
                <w:rFonts w:ascii="Times New Roman" w:hAnsi="Times New Roman"/>
                <w:sz w:val="18"/>
              </w:rPr>
              <w:t>PET_mm</w:t>
            </w:r>
          </w:p>
        </w:tc>
        <w:tc>
          <w:tcPr>
            <w:tcW w:type="dxa" w:w="1170"/>
          </w:tcPr>
          <w:p>
            <w:pPr>
              <w:jc w:val="center"/>
            </w:pPr>
            <w:r/>
            <w:r>
              <w:rPr>
                <w:rFonts w:ascii="Times New Roman" w:hAnsi="Times New Roman"/>
                <w:sz w:val="18"/>
              </w:rPr>
              <w:t>TerraClimate</w:t>
            </w:r>
          </w:p>
        </w:tc>
        <w:tc>
          <w:tcPr>
            <w:tcW w:type="dxa" w:w="1170"/>
          </w:tcPr>
          <w:p>
            <w:pPr>
              <w:jc w:val="center"/>
            </w:pPr>
            <w:r/>
            <w:r>
              <w:rPr>
                <w:rFonts w:ascii="Times New Roman" w:hAnsi="Times New Roman"/>
                <w:sz w:val="18"/>
              </w:rPr>
              <w:t>84</w:t>
            </w:r>
          </w:p>
        </w:tc>
        <w:tc>
          <w:tcPr>
            <w:tcW w:type="dxa" w:w="1170"/>
          </w:tcPr>
          <w:p>
            <w:pPr>
              <w:jc w:val="center"/>
            </w:pPr>
            <w:r/>
            <w:r>
              <w:rPr>
                <w:rFonts w:ascii="Times New Roman" w:hAnsi="Times New Roman"/>
                <w:sz w:val="18"/>
              </w:rPr>
              <w:t>83</w:t>
            </w:r>
          </w:p>
        </w:tc>
        <w:tc>
          <w:tcPr>
            <w:tcW w:type="dxa" w:w="1170"/>
          </w:tcPr>
          <w:p>
            <w:pPr>
              <w:jc w:val="center"/>
            </w:pPr>
            <w:r/>
            <w:r>
              <w:rPr>
                <w:rFonts w:ascii="Times New Roman" w:hAnsi="Times New Roman"/>
                <w:sz w:val="18"/>
              </w:rPr>
              <w:t>98.8%</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0.139</w:t>
            </w:r>
          </w:p>
        </w:tc>
        <w:tc>
          <w:tcPr>
            <w:tcW w:type="dxa" w:w="1170"/>
          </w:tcPr>
          <w:p>
            <w:pPr>
              <w:jc w:val="center"/>
            </w:pPr>
            <w:r/>
            <w:r>
              <w:rPr>
                <w:rFonts w:ascii="Times New Roman" w:hAnsi="Times New Roman"/>
                <w:sz w:val="18"/>
              </w:rPr>
              <w:t>+ (El Niño → increase)</w:t>
            </w:r>
          </w:p>
        </w:tc>
      </w:tr>
      <w:tr>
        <w:tc>
          <w:tcPr>
            <w:tcW w:type="dxa" w:w="1170"/>
          </w:tcPr>
          <w:p>
            <w:pPr>
              <w:jc w:val="center"/>
            </w:pPr>
            <w:r/>
            <w:r>
              <w:rPr>
                <w:rFonts w:ascii="Times New Roman" w:hAnsi="Times New Roman"/>
                <w:sz w:val="18"/>
              </w:rPr>
              <w:t>PDSI</w:t>
            </w:r>
          </w:p>
        </w:tc>
        <w:tc>
          <w:tcPr>
            <w:tcW w:type="dxa" w:w="1170"/>
          </w:tcPr>
          <w:p>
            <w:pPr>
              <w:jc w:val="center"/>
            </w:pPr>
            <w:r/>
            <w:r>
              <w:rPr>
                <w:rFonts w:ascii="Times New Roman" w:hAnsi="Times New Roman"/>
                <w:sz w:val="18"/>
              </w:rPr>
              <w:t>TerraClimate</w:t>
            </w:r>
          </w:p>
        </w:tc>
        <w:tc>
          <w:tcPr>
            <w:tcW w:type="dxa" w:w="1170"/>
          </w:tcPr>
          <w:p>
            <w:pPr>
              <w:jc w:val="center"/>
            </w:pPr>
            <w:r/>
            <w:r>
              <w:rPr>
                <w:rFonts w:ascii="Times New Roman" w:hAnsi="Times New Roman"/>
                <w:sz w:val="18"/>
              </w:rPr>
              <w:t>84</w:t>
            </w:r>
          </w:p>
        </w:tc>
        <w:tc>
          <w:tcPr>
            <w:tcW w:type="dxa" w:w="1170"/>
          </w:tcPr>
          <w:p>
            <w:pPr>
              <w:jc w:val="center"/>
            </w:pPr>
            <w:r/>
            <w:r>
              <w:rPr>
                <w:rFonts w:ascii="Times New Roman" w:hAnsi="Times New Roman"/>
                <w:sz w:val="18"/>
              </w:rPr>
              <w:t>11</w:t>
            </w:r>
          </w:p>
        </w:tc>
        <w:tc>
          <w:tcPr>
            <w:tcW w:type="dxa" w:w="1170"/>
          </w:tcPr>
          <w:p>
            <w:pPr>
              <w:jc w:val="center"/>
            </w:pPr>
            <w:r/>
            <w:r>
              <w:rPr>
                <w:rFonts w:ascii="Times New Roman" w:hAnsi="Times New Roman"/>
                <w:sz w:val="18"/>
              </w:rPr>
              <w:t>13.1%</w:t>
            </w:r>
          </w:p>
        </w:tc>
        <w:tc>
          <w:tcPr>
            <w:tcW w:type="dxa" w:w="1170"/>
          </w:tcPr>
          <w:p>
            <w:pPr>
              <w:jc w:val="center"/>
            </w:pPr>
            <w:r/>
            <w:r>
              <w:rPr>
                <w:rFonts w:ascii="Times New Roman" w:hAnsi="Times New Roman"/>
                <w:sz w:val="18"/>
              </w:rPr>
              <w:t>0</w:t>
            </w:r>
          </w:p>
        </w:tc>
        <w:tc>
          <w:tcPr>
            <w:tcW w:type="dxa" w:w="1170"/>
          </w:tcPr>
          <w:p>
            <w:pPr>
              <w:jc w:val="center"/>
            </w:pPr>
            <w:r/>
            <w:r>
              <w:rPr>
                <w:rFonts w:ascii="Times New Roman" w:hAnsi="Times New Roman"/>
                <w:sz w:val="18"/>
              </w:rPr>
              <w:t>-0.093</w:t>
            </w:r>
          </w:p>
        </w:tc>
        <w:tc>
          <w:tcPr>
            <w:tcW w:type="dxa" w:w="1170"/>
          </w:tcPr>
          <w:p>
            <w:pPr>
              <w:jc w:val="center"/>
            </w:pPr>
            <w:r/>
            <w:r>
              <w:rPr>
                <w:rFonts w:ascii="Times New Roman" w:hAnsi="Times New Roman"/>
                <w:sz w:val="18"/>
              </w:rPr>
              <w:t>− (El Niño → decrease)</w:t>
            </w:r>
          </w:p>
        </w:tc>
      </w:tr>
    </w:tbl>
    <w:p>
      <w:pPr>
        <w:spacing w:after="240" w:line="480" w:lineRule="auto"/>
        <w:jc w:val="both"/>
      </w:pPr>
      <w:r>
        <w:rPr>
          <w:rFonts w:ascii="Times New Roman" w:hAnsi="Times New Roman"/>
          <w:b w:val="0"/>
          <w:i w:val="0"/>
          <w:sz w:val="24"/>
        </w:rPr>
      </w:r>
    </w:p>
    <w:p>
      <w:pPr>
        <w:spacing w:after="120" w:line="360" w:lineRule="auto"/>
      </w:pPr>
      <w:r>
        <w:rPr>
          <w:rFonts w:ascii="Times New Roman" w:hAnsi="Times New Roman"/>
          <w:b/>
          <w:sz w:val="22"/>
        </w:rPr>
        <w:t>Table 5.</w:t>
      </w:r>
      <w:r>
        <w:rPr>
          <w:rFonts w:ascii="Times New Roman" w:hAnsi="Times New Roman"/>
          <w:sz w:val="22"/>
        </w:rPr>
        <w:t xml:space="preserve"> Cross-validation of CHIRPS and ERA5-Land against the two recent INAMHI automatic stations (M0105, M1240); 4 station-product pairs (CHIRPS-M1240 and CHIRPS-M0105 for monthly precipitation; ERA5-Land-M1240 and ERA5-Land-M0105 for monthly mean temperature). Overlap windows: CHIRPS 2014–2025 (M1240; n = 89) and 2019–2024 (M0105; n = 64); ERA5-Land 2014–2025 (both stations; n = 97 and 89). Reported metrics: number of monthly observations (n_months), Pearson correlation r, RMSE, MAE, mean bias, relative bias (%), and regression slope. Status thresholds: ACCEPTABLE = r ≥ 0.60 and |relative bias| ≤ 50 %; LIMITED = 0.40 ≤ r &lt; 0.60 or 50 % &lt; |relative bias| ≤ 100 %; REJECTED = r &lt; 0.40 or |relative bias| &gt; 100 %. Resulting labels: CHIRPS–M1240 ACCEPTABLE; CHIRPS–M0105 LIMITED; ERA5-Land–M1240 and ERA5-Land–M0105 REJECTED for monthly mean temperature (systematic warm bias of +8.7 to +9.3 °C over the Imbabura inter-Andean valley, as expected from the ~9-km grid over complex topography).</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Pr>
          <w:p>
            <w:pPr>
              <w:jc w:val="center"/>
            </w:pPr>
            <w:r/>
            <w:r>
              <w:rPr>
                <w:rFonts w:ascii="Times New Roman" w:hAnsi="Times New Roman"/>
                <w:b/>
                <w:sz w:val="16"/>
              </w:rPr>
              <w:t>Station_code</w:t>
            </w:r>
          </w:p>
        </w:tc>
        <w:tc>
          <w:tcPr>
            <w:tcW w:type="dxa" w:w="720"/>
          </w:tcPr>
          <w:p>
            <w:pPr>
              <w:jc w:val="center"/>
            </w:pPr>
            <w:r/>
            <w:r>
              <w:rPr>
                <w:rFonts w:ascii="Times New Roman" w:hAnsi="Times New Roman"/>
                <w:b/>
                <w:sz w:val="16"/>
              </w:rPr>
              <w:t>Satellite_source</w:t>
            </w:r>
          </w:p>
        </w:tc>
        <w:tc>
          <w:tcPr>
            <w:tcW w:type="dxa" w:w="720"/>
          </w:tcPr>
          <w:p>
            <w:pPr>
              <w:jc w:val="center"/>
            </w:pPr>
            <w:r/>
            <w:r>
              <w:rPr>
                <w:rFonts w:ascii="Times New Roman" w:hAnsi="Times New Roman"/>
                <w:b/>
                <w:sz w:val="16"/>
              </w:rPr>
              <w:t>INAMHI_variable</w:t>
            </w:r>
          </w:p>
        </w:tc>
        <w:tc>
          <w:tcPr>
            <w:tcW w:type="dxa" w:w="720"/>
          </w:tcPr>
          <w:p>
            <w:pPr>
              <w:jc w:val="center"/>
            </w:pPr>
            <w:r/>
            <w:r>
              <w:rPr>
                <w:rFonts w:ascii="Times New Roman" w:hAnsi="Times New Roman"/>
                <w:b/>
                <w:sz w:val="16"/>
              </w:rPr>
              <w:t>Quality_grades</w:t>
            </w:r>
          </w:p>
        </w:tc>
        <w:tc>
          <w:tcPr>
            <w:tcW w:type="dxa" w:w="720"/>
          </w:tcPr>
          <w:p>
            <w:pPr>
              <w:jc w:val="center"/>
            </w:pPr>
            <w:r/>
            <w:r>
              <w:rPr>
                <w:rFonts w:ascii="Times New Roman" w:hAnsi="Times New Roman"/>
                <w:b/>
                <w:sz w:val="16"/>
              </w:rPr>
              <w:t>Period</w:t>
            </w:r>
          </w:p>
        </w:tc>
        <w:tc>
          <w:tcPr>
            <w:tcW w:type="dxa" w:w="720"/>
          </w:tcPr>
          <w:p>
            <w:pPr>
              <w:jc w:val="center"/>
            </w:pPr>
            <w:r/>
            <w:r>
              <w:rPr>
                <w:rFonts w:ascii="Times New Roman" w:hAnsi="Times New Roman"/>
                <w:b/>
                <w:sz w:val="16"/>
              </w:rPr>
              <w:t>n_months</w:t>
            </w:r>
          </w:p>
        </w:tc>
        <w:tc>
          <w:tcPr>
            <w:tcW w:type="dxa" w:w="720"/>
          </w:tcPr>
          <w:p>
            <w:pPr>
              <w:jc w:val="center"/>
            </w:pPr>
            <w:r/>
            <w:r>
              <w:rPr>
                <w:rFonts w:ascii="Times New Roman" w:hAnsi="Times New Roman"/>
                <w:b/>
                <w:sz w:val="16"/>
              </w:rPr>
              <w:t>r_Pearson</w:t>
            </w:r>
          </w:p>
        </w:tc>
        <w:tc>
          <w:tcPr>
            <w:tcW w:type="dxa" w:w="720"/>
          </w:tcPr>
          <w:p>
            <w:pPr>
              <w:jc w:val="center"/>
            </w:pPr>
            <w:r/>
            <w:r>
              <w:rPr>
                <w:rFonts w:ascii="Times New Roman" w:hAnsi="Times New Roman"/>
                <w:b/>
                <w:sz w:val="16"/>
              </w:rPr>
              <w:t>RMSE</w:t>
            </w:r>
          </w:p>
        </w:tc>
        <w:tc>
          <w:tcPr>
            <w:tcW w:type="dxa" w:w="720"/>
          </w:tcPr>
          <w:p>
            <w:pPr>
              <w:jc w:val="center"/>
            </w:pPr>
            <w:r/>
            <w:r>
              <w:rPr>
                <w:rFonts w:ascii="Times New Roman" w:hAnsi="Times New Roman"/>
                <w:b/>
                <w:sz w:val="16"/>
              </w:rPr>
              <w:t>MAE</w:t>
            </w:r>
          </w:p>
        </w:tc>
        <w:tc>
          <w:tcPr>
            <w:tcW w:type="dxa" w:w="720"/>
          </w:tcPr>
          <w:p>
            <w:pPr>
              <w:jc w:val="center"/>
            </w:pPr>
            <w:r/>
            <w:r>
              <w:rPr>
                <w:rFonts w:ascii="Times New Roman" w:hAnsi="Times New Roman"/>
                <w:b/>
                <w:sz w:val="16"/>
              </w:rPr>
              <w:t>Mean_bias</w:t>
            </w:r>
          </w:p>
        </w:tc>
        <w:tc>
          <w:tcPr>
            <w:tcW w:type="dxa" w:w="720"/>
          </w:tcPr>
          <w:p>
            <w:pPr>
              <w:jc w:val="center"/>
            </w:pPr>
            <w:r/>
            <w:r>
              <w:rPr>
                <w:rFonts w:ascii="Times New Roman" w:hAnsi="Times New Roman"/>
                <w:b/>
                <w:sz w:val="16"/>
              </w:rPr>
              <w:t>Bias_pct</w:t>
            </w:r>
          </w:p>
        </w:tc>
        <w:tc>
          <w:tcPr>
            <w:tcW w:type="dxa" w:w="720"/>
          </w:tcPr>
          <w:p>
            <w:pPr>
              <w:jc w:val="center"/>
            </w:pPr>
            <w:r/>
            <w:r>
              <w:rPr>
                <w:rFonts w:ascii="Times New Roman" w:hAnsi="Times New Roman"/>
                <w:b/>
                <w:sz w:val="16"/>
              </w:rPr>
              <w:t>Slope</w:t>
            </w:r>
          </w:p>
        </w:tc>
        <w:tc>
          <w:tcPr>
            <w:tcW w:type="dxa" w:w="720"/>
          </w:tcPr>
          <w:p>
            <w:pPr>
              <w:jc w:val="center"/>
            </w:pPr>
            <w:r/>
            <w:r>
              <w:rPr>
                <w:rFonts w:ascii="Times New Roman" w:hAnsi="Times New Roman"/>
                <w:b/>
                <w:sz w:val="16"/>
              </w:rPr>
              <w:t>Status</w:t>
            </w:r>
          </w:p>
        </w:tc>
      </w:tr>
      <w:tr>
        <w:tc>
          <w:tcPr>
            <w:tcW w:type="dxa" w:w="720"/>
          </w:tcPr>
          <w:p>
            <w:pPr>
              <w:jc w:val="center"/>
            </w:pPr>
            <w:r/>
            <w:r>
              <w:rPr>
                <w:rFonts w:ascii="Times New Roman" w:hAnsi="Times New Roman"/>
                <w:sz w:val="16"/>
              </w:rPr>
              <w:t>M1240</w:t>
            </w:r>
          </w:p>
        </w:tc>
        <w:tc>
          <w:tcPr>
            <w:tcW w:type="dxa" w:w="720"/>
          </w:tcPr>
          <w:p>
            <w:pPr>
              <w:jc w:val="center"/>
            </w:pPr>
            <w:r/>
            <w:r>
              <w:rPr>
                <w:rFonts w:ascii="Times New Roman" w:hAnsi="Times New Roman"/>
                <w:sz w:val="16"/>
              </w:rPr>
              <w:t>CHIRPS</w:t>
            </w:r>
          </w:p>
        </w:tc>
        <w:tc>
          <w:tcPr>
            <w:tcW w:type="dxa" w:w="720"/>
          </w:tcPr>
          <w:p>
            <w:pPr>
              <w:jc w:val="center"/>
            </w:pPr>
            <w:r/>
            <w:r>
              <w:rPr>
                <w:rFonts w:ascii="Times New Roman" w:hAnsi="Times New Roman"/>
                <w:sz w:val="16"/>
              </w:rPr>
              <w:t>PRECIP_MENSUAL</w:t>
            </w:r>
          </w:p>
        </w:tc>
        <w:tc>
          <w:tcPr>
            <w:tcW w:type="dxa" w:w="720"/>
          </w:tcPr>
          <w:p>
            <w:pPr>
              <w:jc w:val="center"/>
            </w:pPr>
            <w:r/>
            <w:r>
              <w:rPr>
                <w:rFonts w:ascii="Times New Roman" w:hAnsi="Times New Roman"/>
                <w:sz w:val="16"/>
              </w:rPr>
              <w:t>A+B</w:t>
            </w:r>
          </w:p>
        </w:tc>
        <w:tc>
          <w:tcPr>
            <w:tcW w:type="dxa" w:w="720"/>
          </w:tcPr>
          <w:p>
            <w:pPr>
              <w:jc w:val="center"/>
            </w:pPr>
            <w:r/>
            <w:r>
              <w:rPr>
                <w:rFonts w:ascii="Times New Roman" w:hAnsi="Times New Roman"/>
                <w:sz w:val="16"/>
              </w:rPr>
              <w:t>2014-2025</w:t>
            </w:r>
          </w:p>
        </w:tc>
        <w:tc>
          <w:tcPr>
            <w:tcW w:type="dxa" w:w="720"/>
          </w:tcPr>
          <w:p>
            <w:pPr>
              <w:jc w:val="center"/>
            </w:pPr>
            <w:r/>
            <w:r>
              <w:rPr>
                <w:rFonts w:ascii="Times New Roman" w:hAnsi="Times New Roman"/>
                <w:sz w:val="16"/>
              </w:rPr>
              <w:t>89</w:t>
            </w:r>
          </w:p>
        </w:tc>
        <w:tc>
          <w:tcPr>
            <w:tcW w:type="dxa" w:w="720"/>
          </w:tcPr>
          <w:p>
            <w:pPr>
              <w:jc w:val="center"/>
            </w:pPr>
            <w:r/>
            <w:r>
              <w:rPr>
                <w:rFonts w:ascii="Times New Roman" w:hAnsi="Times New Roman"/>
                <w:sz w:val="16"/>
              </w:rPr>
              <w:t>0.6294</w:t>
            </w:r>
          </w:p>
        </w:tc>
        <w:tc>
          <w:tcPr>
            <w:tcW w:type="dxa" w:w="720"/>
          </w:tcPr>
          <w:p>
            <w:pPr>
              <w:jc w:val="center"/>
            </w:pPr>
            <w:r/>
            <w:r>
              <w:rPr>
                <w:rFonts w:ascii="Times New Roman" w:hAnsi="Times New Roman"/>
                <w:sz w:val="16"/>
              </w:rPr>
              <w:t>61.181</w:t>
            </w:r>
          </w:p>
        </w:tc>
        <w:tc>
          <w:tcPr>
            <w:tcW w:type="dxa" w:w="720"/>
          </w:tcPr>
          <w:p>
            <w:pPr>
              <w:jc w:val="center"/>
            </w:pPr>
            <w:r/>
            <w:r>
              <w:rPr>
                <w:rFonts w:ascii="Times New Roman" w:hAnsi="Times New Roman"/>
                <w:sz w:val="16"/>
              </w:rPr>
              <w:t>51.344</w:t>
            </w:r>
          </w:p>
        </w:tc>
        <w:tc>
          <w:tcPr>
            <w:tcW w:type="dxa" w:w="720"/>
          </w:tcPr>
          <w:p>
            <w:pPr>
              <w:jc w:val="center"/>
            </w:pPr>
            <w:r/>
            <w:r>
              <w:rPr>
                <w:rFonts w:ascii="Times New Roman" w:hAnsi="Times New Roman"/>
                <w:sz w:val="16"/>
              </w:rPr>
              <w:t>-45.84</w:t>
            </w:r>
          </w:p>
        </w:tc>
        <w:tc>
          <w:tcPr>
            <w:tcW w:type="dxa" w:w="720"/>
          </w:tcPr>
          <w:p>
            <w:pPr>
              <w:jc w:val="center"/>
            </w:pPr>
            <w:r/>
            <w:r>
              <w:rPr>
                <w:rFonts w:ascii="Times New Roman" w:hAnsi="Times New Roman"/>
                <w:sz w:val="16"/>
              </w:rPr>
              <w:t>-38.17</w:t>
            </w:r>
          </w:p>
        </w:tc>
        <w:tc>
          <w:tcPr>
            <w:tcW w:type="dxa" w:w="720"/>
          </w:tcPr>
          <w:p>
            <w:pPr>
              <w:jc w:val="center"/>
            </w:pPr>
            <w:r/>
            <w:r>
              <w:rPr>
                <w:rFonts w:ascii="Times New Roman" w:hAnsi="Times New Roman"/>
                <w:sz w:val="16"/>
              </w:rPr>
              <w:t>0.6621</w:t>
            </w:r>
          </w:p>
        </w:tc>
        <w:tc>
          <w:tcPr>
            <w:tcW w:type="dxa" w:w="720"/>
          </w:tcPr>
          <w:p>
            <w:pPr>
              <w:jc w:val="center"/>
            </w:pPr>
            <w:r/>
            <w:r>
              <w:rPr>
                <w:rFonts w:ascii="Times New Roman" w:hAnsi="Times New Roman"/>
                <w:sz w:val="16"/>
              </w:rPr>
              <w:t>ACCEPTABLE</w:t>
            </w:r>
          </w:p>
        </w:tc>
      </w:tr>
      <w:tr>
        <w:tc>
          <w:tcPr>
            <w:tcW w:type="dxa" w:w="720"/>
          </w:tcPr>
          <w:p>
            <w:pPr>
              <w:jc w:val="center"/>
            </w:pPr>
            <w:r/>
            <w:r>
              <w:rPr>
                <w:rFonts w:ascii="Times New Roman" w:hAnsi="Times New Roman"/>
                <w:sz w:val="16"/>
              </w:rPr>
              <w:t>M1240</w:t>
            </w:r>
          </w:p>
        </w:tc>
        <w:tc>
          <w:tcPr>
            <w:tcW w:type="dxa" w:w="720"/>
          </w:tcPr>
          <w:p>
            <w:pPr>
              <w:jc w:val="center"/>
            </w:pPr>
            <w:r/>
            <w:r>
              <w:rPr>
                <w:rFonts w:ascii="Times New Roman" w:hAnsi="Times New Roman"/>
                <w:sz w:val="16"/>
              </w:rPr>
              <w:t>ERA5-Land</w:t>
            </w:r>
          </w:p>
        </w:tc>
        <w:tc>
          <w:tcPr>
            <w:tcW w:type="dxa" w:w="720"/>
          </w:tcPr>
          <w:p>
            <w:pPr>
              <w:jc w:val="center"/>
            </w:pPr>
            <w:r/>
            <w:r>
              <w:rPr>
                <w:rFonts w:ascii="Times New Roman" w:hAnsi="Times New Roman"/>
                <w:sz w:val="16"/>
              </w:rPr>
              <w:t>T_PROM_MENSUAL</w:t>
            </w:r>
          </w:p>
        </w:tc>
        <w:tc>
          <w:tcPr>
            <w:tcW w:type="dxa" w:w="720"/>
          </w:tcPr>
          <w:p>
            <w:pPr>
              <w:jc w:val="center"/>
            </w:pPr>
            <w:r/>
            <w:r>
              <w:rPr>
                <w:rFonts w:ascii="Times New Roman" w:hAnsi="Times New Roman"/>
                <w:sz w:val="16"/>
              </w:rPr>
              <w:t>A+B</w:t>
            </w:r>
          </w:p>
        </w:tc>
        <w:tc>
          <w:tcPr>
            <w:tcW w:type="dxa" w:w="720"/>
          </w:tcPr>
          <w:p>
            <w:pPr>
              <w:jc w:val="center"/>
            </w:pPr>
            <w:r/>
            <w:r>
              <w:rPr>
                <w:rFonts w:ascii="Times New Roman" w:hAnsi="Times New Roman"/>
                <w:sz w:val="16"/>
              </w:rPr>
              <w:t>2014-2025</w:t>
            </w:r>
          </w:p>
        </w:tc>
        <w:tc>
          <w:tcPr>
            <w:tcW w:type="dxa" w:w="720"/>
          </w:tcPr>
          <w:p>
            <w:pPr>
              <w:jc w:val="center"/>
            </w:pPr>
            <w:r/>
            <w:r>
              <w:rPr>
                <w:rFonts w:ascii="Times New Roman" w:hAnsi="Times New Roman"/>
                <w:sz w:val="16"/>
              </w:rPr>
              <w:t>89</w:t>
            </w:r>
          </w:p>
        </w:tc>
        <w:tc>
          <w:tcPr>
            <w:tcW w:type="dxa" w:w="720"/>
          </w:tcPr>
          <w:p>
            <w:pPr>
              <w:jc w:val="center"/>
            </w:pPr>
            <w:r/>
            <w:r>
              <w:rPr>
                <w:rFonts w:ascii="Times New Roman" w:hAnsi="Times New Roman"/>
                <w:sz w:val="16"/>
              </w:rPr>
              <w:t>0.1943</w:t>
            </w:r>
          </w:p>
        </w:tc>
        <w:tc>
          <w:tcPr>
            <w:tcW w:type="dxa" w:w="720"/>
          </w:tcPr>
          <w:p>
            <w:pPr>
              <w:jc w:val="center"/>
            </w:pPr>
            <w:r/>
            <w:r>
              <w:rPr>
                <w:rFonts w:ascii="Times New Roman" w:hAnsi="Times New Roman"/>
                <w:sz w:val="16"/>
              </w:rPr>
              <w:t>9.382</w:t>
            </w:r>
          </w:p>
        </w:tc>
        <w:tc>
          <w:tcPr>
            <w:tcW w:type="dxa" w:w="720"/>
          </w:tcPr>
          <w:p>
            <w:pPr>
              <w:jc w:val="center"/>
            </w:pPr>
            <w:r/>
            <w:r>
              <w:rPr>
                <w:rFonts w:ascii="Times New Roman" w:hAnsi="Times New Roman"/>
                <w:sz w:val="16"/>
              </w:rPr>
              <w:t>9.347</w:t>
            </w:r>
          </w:p>
        </w:tc>
        <w:tc>
          <w:tcPr>
            <w:tcW w:type="dxa" w:w="720"/>
          </w:tcPr>
          <w:p>
            <w:pPr>
              <w:jc w:val="center"/>
            </w:pPr>
            <w:r/>
            <w:r>
              <w:rPr>
                <w:rFonts w:ascii="Times New Roman" w:hAnsi="Times New Roman"/>
                <w:sz w:val="16"/>
              </w:rPr>
              <w:t>9.347</w:t>
            </w:r>
          </w:p>
        </w:tc>
        <w:tc>
          <w:tcPr>
            <w:tcW w:type="dxa" w:w="720"/>
          </w:tcPr>
          <w:p>
            <w:pPr>
              <w:jc w:val="center"/>
            </w:pPr>
            <w:r/>
            <w:r>
              <w:rPr>
                <w:rFonts w:ascii="Times New Roman" w:hAnsi="Times New Roman"/>
                <w:sz w:val="16"/>
              </w:rPr>
              <w:t>137.64</w:t>
            </w:r>
          </w:p>
        </w:tc>
        <w:tc>
          <w:tcPr>
            <w:tcW w:type="dxa" w:w="720"/>
          </w:tcPr>
          <w:p>
            <w:pPr>
              <w:jc w:val="center"/>
            </w:pPr>
            <w:r/>
            <w:r>
              <w:rPr>
                <w:rFonts w:ascii="Times New Roman" w:hAnsi="Times New Roman"/>
                <w:sz w:val="16"/>
              </w:rPr>
              <w:t>0.1299</w:t>
            </w:r>
          </w:p>
        </w:tc>
        <w:tc>
          <w:tcPr>
            <w:tcW w:type="dxa" w:w="720"/>
          </w:tcPr>
          <w:p>
            <w:pPr>
              <w:jc w:val="center"/>
            </w:pPr>
            <w:r/>
            <w:r>
              <w:rPr>
                <w:rFonts w:ascii="Times New Roman" w:hAnsi="Times New Roman"/>
                <w:sz w:val="16"/>
              </w:rPr>
              <w:t>REJECTED — systematic ERA5 bias (+8.7°C over the Andes)</w:t>
            </w:r>
          </w:p>
        </w:tc>
      </w:tr>
      <w:tr>
        <w:tc>
          <w:tcPr>
            <w:tcW w:type="dxa" w:w="720"/>
          </w:tcPr>
          <w:p>
            <w:pPr>
              <w:jc w:val="center"/>
            </w:pPr>
            <w:r/>
            <w:r>
              <w:rPr>
                <w:rFonts w:ascii="Times New Roman" w:hAnsi="Times New Roman"/>
                <w:sz w:val="16"/>
              </w:rPr>
              <w:t>M0105</w:t>
            </w:r>
          </w:p>
        </w:tc>
        <w:tc>
          <w:tcPr>
            <w:tcW w:type="dxa" w:w="720"/>
          </w:tcPr>
          <w:p>
            <w:pPr>
              <w:jc w:val="center"/>
            </w:pPr>
            <w:r/>
            <w:r>
              <w:rPr>
                <w:rFonts w:ascii="Times New Roman" w:hAnsi="Times New Roman"/>
                <w:sz w:val="16"/>
              </w:rPr>
              <w:t>ERA5-Land</w:t>
            </w:r>
          </w:p>
        </w:tc>
        <w:tc>
          <w:tcPr>
            <w:tcW w:type="dxa" w:w="720"/>
          </w:tcPr>
          <w:p>
            <w:pPr>
              <w:jc w:val="center"/>
            </w:pPr>
            <w:r/>
            <w:r>
              <w:rPr>
                <w:rFonts w:ascii="Times New Roman" w:hAnsi="Times New Roman"/>
                <w:sz w:val="16"/>
              </w:rPr>
              <w:t>T_PROM_MENSUAL</w:t>
            </w:r>
          </w:p>
        </w:tc>
        <w:tc>
          <w:tcPr>
            <w:tcW w:type="dxa" w:w="720"/>
          </w:tcPr>
          <w:p>
            <w:pPr>
              <w:jc w:val="center"/>
            </w:pPr>
            <w:r/>
            <w:r>
              <w:rPr>
                <w:rFonts w:ascii="Times New Roman" w:hAnsi="Times New Roman"/>
                <w:sz w:val="16"/>
              </w:rPr>
              <w:t>A+B</w:t>
            </w:r>
          </w:p>
        </w:tc>
        <w:tc>
          <w:tcPr>
            <w:tcW w:type="dxa" w:w="720"/>
          </w:tcPr>
          <w:p>
            <w:pPr>
              <w:jc w:val="center"/>
            </w:pPr>
            <w:r/>
            <w:r>
              <w:rPr>
                <w:rFonts w:ascii="Times New Roman" w:hAnsi="Times New Roman"/>
                <w:sz w:val="16"/>
              </w:rPr>
              <w:t>2014-2025</w:t>
            </w:r>
          </w:p>
        </w:tc>
        <w:tc>
          <w:tcPr>
            <w:tcW w:type="dxa" w:w="720"/>
          </w:tcPr>
          <w:p>
            <w:pPr>
              <w:jc w:val="center"/>
            </w:pPr>
            <w:r/>
            <w:r>
              <w:rPr>
                <w:rFonts w:ascii="Times New Roman" w:hAnsi="Times New Roman"/>
                <w:sz w:val="16"/>
              </w:rPr>
              <w:t>97</w:t>
            </w:r>
          </w:p>
        </w:tc>
        <w:tc>
          <w:tcPr>
            <w:tcW w:type="dxa" w:w="720"/>
          </w:tcPr>
          <w:p>
            <w:pPr>
              <w:jc w:val="center"/>
            </w:pPr>
            <w:r/>
            <w:r>
              <w:rPr>
                <w:rFonts w:ascii="Times New Roman" w:hAnsi="Times New Roman"/>
                <w:sz w:val="16"/>
              </w:rPr>
              <w:t>0.4979</w:t>
            </w:r>
          </w:p>
        </w:tc>
        <w:tc>
          <w:tcPr>
            <w:tcW w:type="dxa" w:w="720"/>
          </w:tcPr>
          <w:p>
            <w:pPr>
              <w:jc w:val="center"/>
            </w:pPr>
            <w:r/>
            <w:r>
              <w:rPr>
                <w:rFonts w:ascii="Times New Roman" w:hAnsi="Times New Roman"/>
                <w:sz w:val="16"/>
              </w:rPr>
              <w:t>8.399</w:t>
            </w:r>
          </w:p>
        </w:tc>
        <w:tc>
          <w:tcPr>
            <w:tcW w:type="dxa" w:w="720"/>
          </w:tcPr>
          <w:p>
            <w:pPr>
              <w:jc w:val="center"/>
            </w:pPr>
            <w:r/>
            <w:r>
              <w:rPr>
                <w:rFonts w:ascii="Times New Roman" w:hAnsi="Times New Roman"/>
                <w:sz w:val="16"/>
              </w:rPr>
              <w:t>8.378</w:t>
            </w:r>
          </w:p>
        </w:tc>
        <w:tc>
          <w:tcPr>
            <w:tcW w:type="dxa" w:w="720"/>
          </w:tcPr>
          <w:p>
            <w:pPr>
              <w:jc w:val="center"/>
            </w:pPr>
            <w:r/>
            <w:r>
              <w:rPr>
                <w:rFonts w:ascii="Times New Roman" w:hAnsi="Times New Roman"/>
                <w:sz w:val="16"/>
              </w:rPr>
              <w:t>8.378</w:t>
            </w:r>
          </w:p>
        </w:tc>
        <w:tc>
          <w:tcPr>
            <w:tcW w:type="dxa" w:w="720"/>
          </w:tcPr>
          <w:p>
            <w:pPr>
              <w:jc w:val="center"/>
            </w:pPr>
            <w:r/>
            <w:r>
              <w:rPr>
                <w:rFonts w:ascii="Times New Roman" w:hAnsi="Times New Roman"/>
                <w:sz w:val="16"/>
              </w:rPr>
              <w:t>123.73</w:t>
            </w:r>
          </w:p>
        </w:tc>
        <w:tc>
          <w:tcPr>
            <w:tcW w:type="dxa" w:w="720"/>
          </w:tcPr>
          <w:p>
            <w:pPr>
              <w:jc w:val="center"/>
            </w:pPr>
            <w:r/>
            <w:r>
              <w:rPr>
                <w:rFonts w:ascii="Times New Roman" w:hAnsi="Times New Roman"/>
                <w:sz w:val="16"/>
              </w:rPr>
              <w:t>0.3869</w:t>
            </w:r>
          </w:p>
        </w:tc>
        <w:tc>
          <w:tcPr>
            <w:tcW w:type="dxa" w:w="720"/>
          </w:tcPr>
          <w:p>
            <w:pPr>
              <w:jc w:val="center"/>
            </w:pPr>
            <w:r/>
            <w:r>
              <w:rPr>
                <w:rFonts w:ascii="Times New Roman" w:hAnsi="Times New Roman"/>
                <w:sz w:val="16"/>
              </w:rPr>
              <w:t>REJECTED — systematic ERA5 bias (+8.7°C over the Andes)</w:t>
            </w:r>
          </w:p>
        </w:tc>
      </w:tr>
      <w:tr>
        <w:tc>
          <w:tcPr>
            <w:tcW w:type="dxa" w:w="720"/>
          </w:tcPr>
          <w:p>
            <w:pPr>
              <w:jc w:val="center"/>
            </w:pPr>
            <w:r/>
            <w:r>
              <w:rPr>
                <w:rFonts w:ascii="Times New Roman" w:hAnsi="Times New Roman"/>
                <w:sz w:val="16"/>
              </w:rPr>
              <w:t>M0105</w:t>
            </w:r>
          </w:p>
        </w:tc>
        <w:tc>
          <w:tcPr>
            <w:tcW w:type="dxa" w:w="720"/>
          </w:tcPr>
          <w:p>
            <w:pPr>
              <w:jc w:val="center"/>
            </w:pPr>
            <w:r/>
            <w:r>
              <w:rPr>
                <w:rFonts w:ascii="Times New Roman" w:hAnsi="Times New Roman"/>
                <w:sz w:val="16"/>
              </w:rPr>
              <w:t>CHIRPS</w:t>
            </w:r>
          </w:p>
        </w:tc>
        <w:tc>
          <w:tcPr>
            <w:tcW w:type="dxa" w:w="720"/>
          </w:tcPr>
          <w:p>
            <w:pPr>
              <w:jc w:val="center"/>
            </w:pPr>
            <w:r/>
            <w:r>
              <w:rPr>
                <w:rFonts w:ascii="Times New Roman" w:hAnsi="Times New Roman"/>
                <w:sz w:val="16"/>
              </w:rPr>
              <w:t>PRECIP_MENSUAL</w:t>
            </w:r>
          </w:p>
        </w:tc>
        <w:tc>
          <w:tcPr>
            <w:tcW w:type="dxa" w:w="720"/>
          </w:tcPr>
          <w:p>
            <w:pPr>
              <w:jc w:val="center"/>
            </w:pPr>
            <w:r/>
            <w:r>
              <w:rPr>
                <w:rFonts w:ascii="Times New Roman" w:hAnsi="Times New Roman"/>
                <w:sz w:val="16"/>
              </w:rPr>
              <w:t>A+B</w:t>
            </w:r>
          </w:p>
        </w:tc>
        <w:tc>
          <w:tcPr>
            <w:tcW w:type="dxa" w:w="720"/>
          </w:tcPr>
          <w:p>
            <w:pPr>
              <w:jc w:val="center"/>
            </w:pPr>
            <w:r/>
            <w:r>
              <w:rPr>
                <w:rFonts w:ascii="Times New Roman" w:hAnsi="Times New Roman"/>
                <w:sz w:val="16"/>
              </w:rPr>
              <w:t>2019-2024</w:t>
            </w:r>
          </w:p>
        </w:tc>
        <w:tc>
          <w:tcPr>
            <w:tcW w:type="dxa" w:w="720"/>
          </w:tcPr>
          <w:p>
            <w:pPr>
              <w:jc w:val="center"/>
            </w:pPr>
            <w:r/>
            <w:r>
              <w:rPr>
                <w:rFonts w:ascii="Times New Roman" w:hAnsi="Times New Roman"/>
                <w:sz w:val="16"/>
              </w:rPr>
              <w:t>64</w:t>
            </w:r>
          </w:p>
        </w:tc>
        <w:tc>
          <w:tcPr>
            <w:tcW w:type="dxa" w:w="720"/>
          </w:tcPr>
          <w:p>
            <w:pPr>
              <w:jc w:val="center"/>
            </w:pPr>
            <w:r/>
            <w:r>
              <w:rPr>
                <w:rFonts w:ascii="Times New Roman" w:hAnsi="Times New Roman"/>
                <w:sz w:val="16"/>
              </w:rPr>
              <w:t>0.4959</w:t>
            </w:r>
          </w:p>
        </w:tc>
        <w:tc>
          <w:tcPr>
            <w:tcW w:type="dxa" w:w="720"/>
          </w:tcPr>
          <w:p>
            <w:pPr>
              <w:jc w:val="center"/>
            </w:pPr>
            <w:r/>
            <w:r>
              <w:rPr>
                <w:rFonts w:ascii="Times New Roman" w:hAnsi="Times New Roman"/>
                <w:sz w:val="16"/>
              </w:rPr>
              <w:t>43.043</w:t>
            </w:r>
          </w:p>
        </w:tc>
        <w:tc>
          <w:tcPr>
            <w:tcW w:type="dxa" w:w="720"/>
          </w:tcPr>
          <w:p>
            <w:pPr>
              <w:jc w:val="center"/>
            </w:pPr>
            <w:r/>
            <w:r>
              <w:rPr>
                <w:rFonts w:ascii="Times New Roman" w:hAnsi="Times New Roman"/>
                <w:sz w:val="16"/>
              </w:rPr>
              <w:t>34.087</w:t>
            </w:r>
          </w:p>
        </w:tc>
        <w:tc>
          <w:tcPr>
            <w:tcW w:type="dxa" w:w="720"/>
          </w:tcPr>
          <w:p>
            <w:pPr>
              <w:jc w:val="center"/>
            </w:pPr>
            <w:r/>
            <w:r>
              <w:rPr>
                <w:rFonts w:ascii="Times New Roman" w:hAnsi="Times New Roman"/>
                <w:sz w:val="16"/>
              </w:rPr>
              <w:t>-17.076</w:t>
            </w:r>
          </w:p>
        </w:tc>
        <w:tc>
          <w:tcPr>
            <w:tcW w:type="dxa" w:w="720"/>
          </w:tcPr>
          <w:p>
            <w:pPr>
              <w:jc w:val="center"/>
            </w:pPr>
            <w:r/>
            <w:r>
              <w:rPr>
                <w:rFonts w:ascii="Times New Roman" w:hAnsi="Times New Roman"/>
                <w:sz w:val="16"/>
              </w:rPr>
              <w:t>-19.75</w:t>
            </w:r>
          </w:p>
        </w:tc>
        <w:tc>
          <w:tcPr>
            <w:tcW w:type="dxa" w:w="720"/>
          </w:tcPr>
          <w:p>
            <w:pPr>
              <w:jc w:val="center"/>
            </w:pPr>
            <w:r/>
            <w:r>
              <w:rPr>
                <w:rFonts w:ascii="Times New Roman" w:hAnsi="Times New Roman"/>
                <w:sz w:val="16"/>
              </w:rPr>
              <w:t>0.515</w:t>
            </w:r>
          </w:p>
        </w:tc>
        <w:tc>
          <w:tcPr>
            <w:tcW w:type="dxa" w:w="720"/>
          </w:tcPr>
          <w:p>
            <w:pPr>
              <w:jc w:val="center"/>
            </w:pPr>
            <w:r/>
            <w:r>
              <w:rPr>
                <w:rFonts w:ascii="Times New Roman" w:hAnsi="Times New Roman"/>
                <w:sz w:val="16"/>
              </w:rPr>
              <w:t>LIMITED</w:t>
            </w:r>
          </w:p>
        </w:tc>
      </w:tr>
    </w:tbl>
    <w:p>
      <w:pPr>
        <w:spacing w:after="240" w:line="480" w:lineRule="auto"/>
        <w:jc w:val="both"/>
      </w:pPr>
      <w:r>
        <w:rPr>
          <w:rFonts w:ascii="Times New Roman" w:hAnsi="Times New Roman"/>
          <w:b w:val="0"/>
          <w:i w:val="0"/>
          <w:sz w:val="24"/>
        </w:rPr>
      </w:r>
    </w:p>
    <w:p>
      <w:pPr>
        <w:spacing w:after="120" w:line="360" w:lineRule="auto"/>
      </w:pPr>
      <w:r>
        <w:rPr>
          <w:rFonts w:ascii="Times New Roman" w:hAnsi="Times New Roman"/>
          <w:b/>
          <w:sz w:val="22"/>
        </w:rPr>
        <w:t>Table 6.</w:t>
      </w:r>
      <w:r>
        <w:rPr>
          <w:rFonts w:ascii="Times New Roman" w:hAnsi="Times New Roman"/>
          <w:sz w:val="22"/>
        </w:rPr>
        <w:t xml:space="preserve"> 1991–2020 WMO climatology per station: annual precipitation (CHIRPS), mean/max/min temperature (ERA5-Land), reference evapotranspiration (TerraClimate), relative humidity (ERA5-Land), and PDSI (TerraClimate).</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jc w:val="center"/>
            </w:pPr>
            <w:r/>
            <w:r>
              <w:rPr>
                <w:rFonts w:ascii="Times New Roman" w:hAnsi="Times New Roman"/>
                <w:b/>
                <w:sz w:val="18"/>
              </w:rPr>
              <w:t>Station_code</w:t>
            </w:r>
          </w:p>
        </w:tc>
        <w:tc>
          <w:tcPr>
            <w:tcW w:type="dxa" w:w="936"/>
          </w:tcPr>
          <w:p>
            <w:pPr>
              <w:jc w:val="center"/>
            </w:pPr>
            <w:r/>
            <w:r>
              <w:rPr>
                <w:rFonts w:ascii="Times New Roman" w:hAnsi="Times New Roman"/>
                <w:b/>
                <w:sz w:val="18"/>
              </w:rPr>
              <w:t>Name</w:t>
            </w:r>
          </w:p>
        </w:tc>
        <w:tc>
          <w:tcPr>
            <w:tcW w:type="dxa" w:w="936"/>
          </w:tcPr>
          <w:p>
            <w:pPr>
              <w:jc w:val="center"/>
            </w:pPr>
            <w:r/>
            <w:r>
              <w:rPr>
                <w:rFonts w:ascii="Times New Roman" w:hAnsi="Times New Roman"/>
                <w:b/>
                <w:sz w:val="18"/>
              </w:rPr>
              <w:t>Elevation_m</w:t>
            </w:r>
          </w:p>
        </w:tc>
        <w:tc>
          <w:tcPr>
            <w:tcW w:type="dxa" w:w="936"/>
          </w:tcPr>
          <w:p>
            <w:pPr>
              <w:jc w:val="center"/>
            </w:pPr>
            <w:r/>
            <w:r>
              <w:rPr>
                <w:rFonts w:ascii="Times New Roman" w:hAnsi="Times New Roman"/>
                <w:b/>
                <w:sz w:val="18"/>
              </w:rPr>
              <w:t>Annual_precipitation_mm</w:t>
            </w:r>
          </w:p>
        </w:tc>
        <w:tc>
          <w:tcPr>
            <w:tcW w:type="dxa" w:w="936"/>
          </w:tcPr>
          <w:p>
            <w:pPr>
              <w:jc w:val="center"/>
            </w:pPr>
            <w:r/>
            <w:r>
              <w:rPr>
                <w:rFonts w:ascii="Times New Roman" w:hAnsi="Times New Roman"/>
                <w:b/>
                <w:sz w:val="18"/>
              </w:rPr>
              <w:t>Tmean_C</w:t>
            </w:r>
          </w:p>
        </w:tc>
        <w:tc>
          <w:tcPr>
            <w:tcW w:type="dxa" w:w="936"/>
          </w:tcPr>
          <w:p>
            <w:pPr>
              <w:jc w:val="center"/>
            </w:pPr>
            <w:r/>
            <w:r>
              <w:rPr>
                <w:rFonts w:ascii="Times New Roman" w:hAnsi="Times New Roman"/>
                <w:b/>
                <w:sz w:val="18"/>
              </w:rPr>
              <w:t>PET_mm</w:t>
            </w:r>
          </w:p>
        </w:tc>
        <w:tc>
          <w:tcPr>
            <w:tcW w:type="dxa" w:w="936"/>
          </w:tcPr>
          <w:p>
            <w:pPr>
              <w:jc w:val="center"/>
            </w:pPr>
            <w:r/>
            <w:r>
              <w:rPr>
                <w:rFonts w:ascii="Times New Roman" w:hAnsi="Times New Roman"/>
                <w:b/>
                <w:sz w:val="18"/>
              </w:rPr>
              <w:t>RH_pct</w:t>
            </w:r>
          </w:p>
        </w:tc>
        <w:tc>
          <w:tcPr>
            <w:tcW w:type="dxa" w:w="936"/>
          </w:tcPr>
          <w:p>
            <w:pPr>
              <w:jc w:val="center"/>
            </w:pPr>
            <w:r/>
            <w:r>
              <w:rPr>
                <w:rFonts w:ascii="Times New Roman" w:hAnsi="Times New Roman"/>
                <w:b/>
                <w:sz w:val="18"/>
              </w:rPr>
              <w:t>PDSI</w:t>
            </w:r>
          </w:p>
        </w:tc>
        <w:tc>
          <w:tcPr>
            <w:tcW w:type="dxa" w:w="936"/>
          </w:tcPr>
          <w:p>
            <w:pPr>
              <w:jc w:val="center"/>
            </w:pPr>
            <w:r/>
            <w:r>
              <w:rPr>
                <w:rFonts w:ascii="Times New Roman" w:hAnsi="Times New Roman"/>
                <w:b/>
                <w:sz w:val="18"/>
              </w:rPr>
              <w:t>Tmax_C</w:t>
            </w:r>
          </w:p>
        </w:tc>
        <w:tc>
          <w:tcPr>
            <w:tcW w:type="dxa" w:w="936"/>
          </w:tcPr>
          <w:p>
            <w:pPr>
              <w:jc w:val="center"/>
            </w:pPr>
            <w:r/>
            <w:r>
              <w:rPr>
                <w:rFonts w:ascii="Times New Roman" w:hAnsi="Times New Roman"/>
                <w:b/>
                <w:sz w:val="18"/>
              </w:rPr>
              <w:t>Tmin_C</w:t>
            </w:r>
          </w:p>
        </w:tc>
      </w:tr>
      <w:tr>
        <w:tc>
          <w:tcPr>
            <w:tcW w:type="dxa" w:w="936"/>
          </w:tcPr>
          <w:p>
            <w:pPr>
              <w:jc w:val="center"/>
            </w:pPr>
            <w:r/>
            <w:r>
              <w:rPr>
                <w:rFonts w:ascii="Times New Roman" w:hAnsi="Times New Roman"/>
                <w:sz w:val="18"/>
              </w:rPr>
              <w:t>M0327</w:t>
            </w:r>
          </w:p>
        </w:tc>
        <w:tc>
          <w:tcPr>
            <w:tcW w:type="dxa" w:w="936"/>
          </w:tcPr>
          <w:p>
            <w:pPr>
              <w:jc w:val="center"/>
            </w:pPr>
            <w:r/>
            <w:r>
              <w:rPr>
                <w:rFonts w:ascii="Times New Roman" w:hAnsi="Times New Roman"/>
                <w:sz w:val="18"/>
              </w:rPr>
              <w:t>CHONTAL_BAJO</w:t>
            </w:r>
          </w:p>
        </w:tc>
        <w:tc>
          <w:tcPr>
            <w:tcW w:type="dxa" w:w="936"/>
          </w:tcPr>
          <w:p>
            <w:pPr>
              <w:jc w:val="center"/>
            </w:pPr>
            <w:r/>
            <w:r>
              <w:rPr>
                <w:rFonts w:ascii="Times New Roman" w:hAnsi="Times New Roman"/>
                <w:sz w:val="18"/>
              </w:rPr>
              <w:t>675</w:t>
            </w:r>
          </w:p>
        </w:tc>
        <w:tc>
          <w:tcPr>
            <w:tcW w:type="dxa" w:w="936"/>
          </w:tcPr>
          <w:p>
            <w:pPr>
              <w:jc w:val="center"/>
            </w:pPr>
            <w:r/>
            <w:r>
              <w:rPr>
                <w:rFonts w:ascii="Times New Roman" w:hAnsi="Times New Roman"/>
                <w:sz w:val="18"/>
              </w:rPr>
              <w:t>1806.6</w:t>
            </w:r>
          </w:p>
        </w:tc>
        <w:tc>
          <w:tcPr>
            <w:tcW w:type="dxa" w:w="936"/>
          </w:tcPr>
          <w:p>
            <w:pPr>
              <w:jc w:val="center"/>
            </w:pPr>
            <w:r/>
            <w:r>
              <w:rPr>
                <w:rFonts w:ascii="Times New Roman" w:hAnsi="Times New Roman"/>
                <w:sz w:val="18"/>
              </w:rPr>
              <w:t>12.25</w:t>
            </w:r>
          </w:p>
        </w:tc>
        <w:tc>
          <w:tcPr>
            <w:tcW w:type="dxa" w:w="936"/>
          </w:tcPr>
          <w:p>
            <w:pPr>
              <w:jc w:val="center"/>
            </w:pPr>
            <w:r/>
            <w:r>
              <w:rPr>
                <w:rFonts w:ascii="Times New Roman" w:hAnsi="Times New Roman"/>
                <w:sz w:val="18"/>
              </w:rPr>
              <w:t>87.32</w:t>
            </w:r>
          </w:p>
        </w:tc>
        <w:tc>
          <w:tcPr>
            <w:tcW w:type="dxa" w:w="936"/>
          </w:tcPr>
          <w:p>
            <w:pPr>
              <w:jc w:val="center"/>
            </w:pPr>
            <w:r/>
            <w:r>
              <w:rPr>
                <w:rFonts w:ascii="Times New Roman" w:hAnsi="Times New Roman"/>
                <w:sz w:val="18"/>
              </w:rPr>
              <w:t>90.64</w:t>
            </w:r>
          </w:p>
        </w:tc>
        <w:tc>
          <w:tcPr>
            <w:tcW w:type="dxa" w:w="936"/>
          </w:tcPr>
          <w:p>
            <w:pPr>
              <w:jc w:val="center"/>
            </w:pPr>
            <w:r/>
            <w:r>
              <w:rPr>
                <w:rFonts w:ascii="Times New Roman" w:hAnsi="Times New Roman"/>
                <w:sz w:val="18"/>
              </w:rPr>
              <w:t>1.29</w:t>
            </w:r>
          </w:p>
        </w:tc>
        <w:tc>
          <w:tcPr>
            <w:tcW w:type="dxa" w:w="936"/>
          </w:tcPr>
          <w:p>
            <w:pPr>
              <w:jc w:val="center"/>
            </w:pPr>
            <w:r/>
            <w:r>
              <w:rPr>
                <w:rFonts w:ascii="Times New Roman" w:hAnsi="Times New Roman"/>
                <w:sz w:val="18"/>
              </w:rPr>
              <w:t>16.86</w:t>
            </w:r>
          </w:p>
        </w:tc>
        <w:tc>
          <w:tcPr>
            <w:tcW w:type="dxa" w:w="936"/>
          </w:tcPr>
          <w:p>
            <w:pPr>
              <w:jc w:val="center"/>
            </w:pPr>
            <w:r/>
            <w:r>
              <w:rPr>
                <w:rFonts w:ascii="Times New Roman" w:hAnsi="Times New Roman"/>
                <w:sz w:val="18"/>
              </w:rPr>
              <w:t>8.54</w:t>
            </w:r>
          </w:p>
        </w:tc>
      </w:tr>
      <w:tr>
        <w:tc>
          <w:tcPr>
            <w:tcW w:type="dxa" w:w="936"/>
          </w:tcPr>
          <w:p>
            <w:pPr>
              <w:jc w:val="center"/>
            </w:pPr>
            <w:r/>
            <w:r>
              <w:rPr>
                <w:rFonts w:ascii="Times New Roman" w:hAnsi="Times New Roman"/>
                <w:sz w:val="18"/>
              </w:rPr>
              <w:t>M0318</w:t>
            </w:r>
          </w:p>
        </w:tc>
        <w:tc>
          <w:tcPr>
            <w:tcW w:type="dxa" w:w="936"/>
          </w:tcPr>
          <w:p>
            <w:pPr>
              <w:jc w:val="center"/>
            </w:pPr>
            <w:r/>
            <w:r>
              <w:rPr>
                <w:rFonts w:ascii="Times New Roman" w:hAnsi="Times New Roman"/>
                <w:sz w:val="18"/>
              </w:rPr>
              <w:t>APUELA_INTAG</w:t>
            </w:r>
          </w:p>
        </w:tc>
        <w:tc>
          <w:tcPr>
            <w:tcW w:type="dxa" w:w="936"/>
          </w:tcPr>
          <w:p>
            <w:pPr>
              <w:jc w:val="center"/>
            </w:pPr>
            <w:r/>
            <w:r>
              <w:rPr>
                <w:rFonts w:ascii="Times New Roman" w:hAnsi="Times New Roman"/>
                <w:sz w:val="18"/>
              </w:rPr>
              <w:t>1620</w:t>
            </w:r>
          </w:p>
        </w:tc>
        <w:tc>
          <w:tcPr>
            <w:tcW w:type="dxa" w:w="936"/>
          </w:tcPr>
          <w:p>
            <w:pPr>
              <w:jc w:val="center"/>
            </w:pPr>
            <w:r/>
            <w:r>
              <w:rPr>
                <w:rFonts w:ascii="Times New Roman" w:hAnsi="Times New Roman"/>
                <w:sz w:val="18"/>
              </w:rPr>
              <w:t>1471.1</w:t>
            </w:r>
          </w:p>
        </w:tc>
        <w:tc>
          <w:tcPr>
            <w:tcW w:type="dxa" w:w="936"/>
          </w:tcPr>
          <w:p>
            <w:pPr>
              <w:jc w:val="center"/>
            </w:pPr>
            <w:r/>
            <w:r>
              <w:rPr>
                <w:rFonts w:ascii="Times New Roman" w:hAnsi="Times New Roman"/>
                <w:sz w:val="18"/>
              </w:rPr>
              <w:t>12.08</w:t>
            </w:r>
          </w:p>
        </w:tc>
        <w:tc>
          <w:tcPr>
            <w:tcW w:type="dxa" w:w="936"/>
          </w:tcPr>
          <w:p>
            <w:pPr>
              <w:jc w:val="center"/>
            </w:pPr>
            <w:r/>
            <w:r>
              <w:rPr>
                <w:rFonts w:ascii="Times New Roman" w:hAnsi="Times New Roman"/>
                <w:sz w:val="18"/>
              </w:rPr>
              <w:t>87.66</w:t>
            </w:r>
          </w:p>
        </w:tc>
        <w:tc>
          <w:tcPr>
            <w:tcW w:type="dxa" w:w="936"/>
          </w:tcPr>
          <w:p>
            <w:pPr>
              <w:jc w:val="center"/>
            </w:pPr>
            <w:r/>
            <w:r>
              <w:rPr>
                <w:rFonts w:ascii="Times New Roman" w:hAnsi="Times New Roman"/>
                <w:sz w:val="18"/>
              </w:rPr>
              <w:t>78.55</w:t>
            </w:r>
          </w:p>
        </w:tc>
        <w:tc>
          <w:tcPr>
            <w:tcW w:type="dxa" w:w="936"/>
          </w:tcPr>
          <w:p>
            <w:pPr>
              <w:jc w:val="center"/>
            </w:pPr>
            <w:r/>
            <w:r>
              <w:rPr>
                <w:rFonts w:ascii="Times New Roman" w:hAnsi="Times New Roman"/>
                <w:sz w:val="18"/>
              </w:rPr>
              <w:t>1.79</w:t>
            </w:r>
          </w:p>
        </w:tc>
        <w:tc>
          <w:tcPr>
            <w:tcW w:type="dxa" w:w="936"/>
          </w:tcPr>
          <w:p>
            <w:pPr>
              <w:jc w:val="center"/>
            </w:pPr>
            <w:r/>
            <w:r>
              <w:rPr>
                <w:rFonts w:ascii="Times New Roman" w:hAnsi="Times New Roman"/>
                <w:sz w:val="18"/>
              </w:rPr>
              <w:t>18.19</w:t>
            </w:r>
          </w:p>
        </w:tc>
        <w:tc>
          <w:tcPr>
            <w:tcW w:type="dxa" w:w="936"/>
          </w:tcPr>
          <w:p>
            <w:pPr>
              <w:jc w:val="center"/>
            </w:pPr>
            <w:r/>
            <w:r>
              <w:rPr>
                <w:rFonts w:ascii="Times New Roman" w:hAnsi="Times New Roman"/>
                <w:sz w:val="18"/>
              </w:rPr>
              <w:t>6.15</w:t>
            </w:r>
          </w:p>
        </w:tc>
      </w:tr>
      <w:tr>
        <w:tc>
          <w:tcPr>
            <w:tcW w:type="dxa" w:w="936"/>
          </w:tcPr>
          <w:p>
            <w:pPr>
              <w:jc w:val="center"/>
            </w:pPr>
            <w:r/>
            <w:r>
              <w:rPr>
                <w:rFonts w:ascii="Times New Roman" w:hAnsi="Times New Roman"/>
                <w:sz w:val="18"/>
              </w:rPr>
              <w:t>M0326</w:t>
            </w:r>
          </w:p>
        </w:tc>
        <w:tc>
          <w:tcPr>
            <w:tcW w:type="dxa" w:w="936"/>
          </w:tcPr>
          <w:p>
            <w:pPr>
              <w:jc w:val="center"/>
            </w:pPr>
            <w:r/>
            <w:r>
              <w:rPr>
                <w:rFonts w:ascii="Times New Roman" w:hAnsi="Times New Roman"/>
                <w:sz w:val="18"/>
              </w:rPr>
              <w:t>SELVA_ALEGRE</w:t>
            </w:r>
          </w:p>
        </w:tc>
        <w:tc>
          <w:tcPr>
            <w:tcW w:type="dxa" w:w="936"/>
          </w:tcPr>
          <w:p>
            <w:pPr>
              <w:jc w:val="center"/>
            </w:pPr>
            <w:r/>
            <w:r>
              <w:rPr>
                <w:rFonts w:ascii="Times New Roman" w:hAnsi="Times New Roman"/>
                <w:sz w:val="18"/>
              </w:rPr>
              <w:t>1800</w:t>
            </w:r>
          </w:p>
        </w:tc>
        <w:tc>
          <w:tcPr>
            <w:tcW w:type="dxa" w:w="936"/>
          </w:tcPr>
          <w:p>
            <w:pPr>
              <w:jc w:val="center"/>
            </w:pPr>
            <w:r/>
            <w:r>
              <w:rPr>
                <w:rFonts w:ascii="Times New Roman" w:hAnsi="Times New Roman"/>
                <w:sz w:val="18"/>
              </w:rPr>
              <w:t>1508.9</w:t>
            </w:r>
          </w:p>
        </w:tc>
        <w:tc>
          <w:tcPr>
            <w:tcW w:type="dxa" w:w="936"/>
          </w:tcPr>
          <w:p>
            <w:pPr>
              <w:jc w:val="center"/>
            </w:pPr>
            <w:r/>
            <w:r>
              <w:rPr>
                <w:rFonts w:ascii="Times New Roman" w:hAnsi="Times New Roman"/>
                <w:sz w:val="18"/>
              </w:rPr>
              <w:t>8.95</w:t>
            </w:r>
          </w:p>
        </w:tc>
        <w:tc>
          <w:tcPr>
            <w:tcW w:type="dxa" w:w="936"/>
          </w:tcPr>
          <w:p>
            <w:pPr>
              <w:jc w:val="center"/>
            </w:pPr>
            <w:r/>
            <w:r>
              <w:rPr>
                <w:rFonts w:ascii="Times New Roman" w:hAnsi="Times New Roman"/>
                <w:sz w:val="18"/>
              </w:rPr>
              <w:t>78.77</w:t>
            </w:r>
          </w:p>
        </w:tc>
        <w:tc>
          <w:tcPr>
            <w:tcW w:type="dxa" w:w="936"/>
          </w:tcPr>
          <w:p>
            <w:pPr>
              <w:jc w:val="center"/>
            </w:pPr>
            <w:r/>
            <w:r>
              <w:rPr>
                <w:rFonts w:ascii="Times New Roman" w:hAnsi="Times New Roman"/>
                <w:sz w:val="18"/>
              </w:rPr>
              <w:t>84.97</w:t>
            </w:r>
          </w:p>
        </w:tc>
        <w:tc>
          <w:tcPr>
            <w:tcW w:type="dxa" w:w="936"/>
          </w:tcPr>
          <w:p>
            <w:pPr>
              <w:jc w:val="center"/>
            </w:pPr>
            <w:r/>
            <w:r>
              <w:rPr>
                <w:rFonts w:ascii="Times New Roman" w:hAnsi="Times New Roman"/>
                <w:sz w:val="18"/>
              </w:rPr>
              <w:t>1.55</w:t>
            </w:r>
          </w:p>
        </w:tc>
        <w:tc>
          <w:tcPr>
            <w:tcW w:type="dxa" w:w="936"/>
          </w:tcPr>
          <w:p>
            <w:pPr>
              <w:jc w:val="center"/>
            </w:pPr>
            <w:r/>
            <w:r>
              <w:rPr>
                <w:rFonts w:ascii="Times New Roman" w:hAnsi="Times New Roman"/>
                <w:sz w:val="18"/>
              </w:rPr>
              <w:t>14.27</w:t>
            </w:r>
          </w:p>
        </w:tc>
        <w:tc>
          <w:tcPr>
            <w:tcW w:type="dxa" w:w="936"/>
          </w:tcPr>
          <w:p>
            <w:pPr>
              <w:jc w:val="center"/>
            </w:pPr>
            <w:r/>
            <w:r>
              <w:rPr>
                <w:rFonts w:ascii="Times New Roman" w:hAnsi="Times New Roman"/>
                <w:sz w:val="18"/>
              </w:rPr>
              <w:t>4.67</w:t>
            </w:r>
          </w:p>
        </w:tc>
      </w:tr>
      <w:tr>
        <w:tc>
          <w:tcPr>
            <w:tcW w:type="dxa" w:w="936"/>
          </w:tcPr>
          <w:p>
            <w:pPr>
              <w:jc w:val="center"/>
            </w:pPr>
            <w:r/>
            <w:r>
              <w:rPr>
                <w:rFonts w:ascii="Times New Roman" w:hAnsi="Times New Roman"/>
                <w:sz w:val="18"/>
              </w:rPr>
              <w:t>M0314</w:t>
            </w:r>
          </w:p>
        </w:tc>
        <w:tc>
          <w:tcPr>
            <w:tcW w:type="dxa" w:w="936"/>
          </w:tcPr>
          <w:p>
            <w:pPr>
              <w:jc w:val="center"/>
            </w:pPr>
            <w:r/>
            <w:r>
              <w:rPr>
                <w:rFonts w:ascii="Times New Roman" w:hAnsi="Times New Roman"/>
                <w:sz w:val="18"/>
              </w:rPr>
              <w:t>AMBUQUI</w:t>
            </w:r>
          </w:p>
        </w:tc>
        <w:tc>
          <w:tcPr>
            <w:tcW w:type="dxa" w:w="936"/>
          </w:tcPr>
          <w:p>
            <w:pPr>
              <w:jc w:val="center"/>
            </w:pPr>
            <w:r/>
            <w:r>
              <w:rPr>
                <w:rFonts w:ascii="Times New Roman" w:hAnsi="Times New Roman"/>
                <w:sz w:val="18"/>
              </w:rPr>
              <w:t>1880</w:t>
            </w:r>
          </w:p>
        </w:tc>
        <w:tc>
          <w:tcPr>
            <w:tcW w:type="dxa" w:w="936"/>
          </w:tcPr>
          <w:p>
            <w:pPr>
              <w:jc w:val="center"/>
            </w:pPr>
            <w:r/>
            <w:r>
              <w:rPr>
                <w:rFonts w:ascii="Times New Roman" w:hAnsi="Times New Roman"/>
                <w:sz w:val="18"/>
              </w:rPr>
              <w:t>2117.1</w:t>
            </w:r>
          </w:p>
        </w:tc>
        <w:tc>
          <w:tcPr>
            <w:tcW w:type="dxa" w:w="936"/>
          </w:tcPr>
          <w:p>
            <w:pPr>
              <w:jc w:val="center"/>
            </w:pPr>
            <w:r/>
            <w:r>
              <w:rPr>
                <w:rFonts w:ascii="Times New Roman" w:hAnsi="Times New Roman"/>
                <w:sz w:val="18"/>
              </w:rPr>
              <w:t>10.06</w:t>
            </w:r>
          </w:p>
        </w:tc>
        <w:tc>
          <w:tcPr>
            <w:tcW w:type="dxa" w:w="936"/>
          </w:tcPr>
          <w:p>
            <w:pPr>
              <w:jc w:val="center"/>
            </w:pPr>
            <w:r/>
            <w:r>
              <w:rPr>
                <w:rFonts w:ascii="Times New Roman" w:hAnsi="Times New Roman"/>
                <w:sz w:val="18"/>
              </w:rPr>
              <w:t>73.07</w:t>
            </w:r>
          </w:p>
        </w:tc>
        <w:tc>
          <w:tcPr>
            <w:tcW w:type="dxa" w:w="936"/>
          </w:tcPr>
          <w:p>
            <w:pPr>
              <w:jc w:val="center"/>
            </w:pPr>
            <w:r/>
            <w:r>
              <w:rPr>
                <w:rFonts w:ascii="Times New Roman" w:hAnsi="Times New Roman"/>
                <w:sz w:val="18"/>
              </w:rPr>
              <w:t>88.06</w:t>
            </w:r>
          </w:p>
        </w:tc>
        <w:tc>
          <w:tcPr>
            <w:tcW w:type="dxa" w:w="936"/>
          </w:tcPr>
          <w:p>
            <w:pPr>
              <w:jc w:val="center"/>
            </w:pPr>
            <w:r/>
            <w:r>
              <w:rPr>
                <w:rFonts w:ascii="Times New Roman" w:hAnsi="Times New Roman"/>
                <w:sz w:val="18"/>
              </w:rPr>
              <w:t>1.62</w:t>
            </w:r>
          </w:p>
        </w:tc>
        <w:tc>
          <w:tcPr>
            <w:tcW w:type="dxa" w:w="936"/>
          </w:tcPr>
          <w:p>
            <w:pPr>
              <w:jc w:val="center"/>
            </w:pPr>
            <w:r/>
            <w:r>
              <w:rPr>
                <w:rFonts w:ascii="Times New Roman" w:hAnsi="Times New Roman"/>
                <w:sz w:val="18"/>
              </w:rPr>
              <w:t>16.08</w:t>
            </w:r>
          </w:p>
        </w:tc>
        <w:tc>
          <w:tcPr>
            <w:tcW w:type="dxa" w:w="936"/>
          </w:tcPr>
          <w:p>
            <w:pPr>
              <w:jc w:val="center"/>
            </w:pPr>
            <w:r/>
            <w:r>
              <w:rPr>
                <w:rFonts w:ascii="Times New Roman" w:hAnsi="Times New Roman"/>
                <w:sz w:val="18"/>
              </w:rPr>
              <w:t>4.43</w:t>
            </w:r>
          </w:p>
        </w:tc>
      </w:tr>
      <w:tr>
        <w:tc>
          <w:tcPr>
            <w:tcW w:type="dxa" w:w="936"/>
          </w:tcPr>
          <w:p>
            <w:pPr>
              <w:jc w:val="center"/>
            </w:pPr>
            <w:r/>
            <w:r>
              <w:rPr>
                <w:rFonts w:ascii="Times New Roman" w:hAnsi="Times New Roman"/>
                <w:sz w:val="18"/>
              </w:rPr>
              <w:t>M0086</w:t>
            </w:r>
          </w:p>
        </w:tc>
        <w:tc>
          <w:tcPr>
            <w:tcW w:type="dxa" w:w="936"/>
          </w:tcPr>
          <w:p>
            <w:pPr>
              <w:jc w:val="center"/>
            </w:pPr>
            <w:r/>
            <w:r>
              <w:rPr>
                <w:rFonts w:ascii="Times New Roman" w:hAnsi="Times New Roman"/>
                <w:sz w:val="18"/>
              </w:rPr>
              <w:t>SAN_VICENTE_PUSIR</w:t>
            </w:r>
          </w:p>
        </w:tc>
        <w:tc>
          <w:tcPr>
            <w:tcW w:type="dxa" w:w="936"/>
          </w:tcPr>
          <w:p>
            <w:pPr>
              <w:jc w:val="center"/>
            </w:pPr>
            <w:r/>
            <w:r>
              <w:rPr>
                <w:rFonts w:ascii="Times New Roman" w:hAnsi="Times New Roman"/>
                <w:sz w:val="18"/>
              </w:rPr>
              <w:t>1891</w:t>
            </w:r>
          </w:p>
        </w:tc>
        <w:tc>
          <w:tcPr>
            <w:tcW w:type="dxa" w:w="936"/>
          </w:tcPr>
          <w:p>
            <w:pPr>
              <w:jc w:val="center"/>
            </w:pPr>
            <w:r/>
            <w:r>
              <w:rPr>
                <w:rFonts w:ascii="Times New Roman" w:hAnsi="Times New Roman"/>
                <w:sz w:val="18"/>
              </w:rPr>
              <w:t>2122.1</w:t>
            </w:r>
          </w:p>
        </w:tc>
        <w:tc>
          <w:tcPr>
            <w:tcW w:type="dxa" w:w="936"/>
          </w:tcPr>
          <w:p>
            <w:pPr>
              <w:jc w:val="center"/>
            </w:pPr>
            <w:r/>
            <w:r>
              <w:rPr>
                <w:rFonts w:ascii="Times New Roman" w:hAnsi="Times New Roman"/>
                <w:sz w:val="18"/>
              </w:rPr>
              <w:t>9.19</w:t>
            </w:r>
          </w:p>
        </w:tc>
        <w:tc>
          <w:tcPr>
            <w:tcW w:type="dxa" w:w="936"/>
          </w:tcPr>
          <w:p>
            <w:pPr>
              <w:jc w:val="center"/>
            </w:pPr>
            <w:r/>
            <w:r>
              <w:rPr>
                <w:rFonts w:ascii="Times New Roman" w:hAnsi="Times New Roman"/>
                <w:sz w:val="18"/>
              </w:rPr>
              <w:t>65.34</w:t>
            </w:r>
          </w:p>
        </w:tc>
        <w:tc>
          <w:tcPr>
            <w:tcW w:type="dxa" w:w="936"/>
          </w:tcPr>
          <w:p>
            <w:pPr>
              <w:jc w:val="center"/>
            </w:pPr>
            <w:r/>
            <w:r>
              <w:rPr>
                <w:rFonts w:ascii="Times New Roman" w:hAnsi="Times New Roman"/>
                <w:sz w:val="18"/>
              </w:rPr>
              <w:t>88.02</w:t>
            </w:r>
          </w:p>
        </w:tc>
        <w:tc>
          <w:tcPr>
            <w:tcW w:type="dxa" w:w="936"/>
          </w:tcPr>
          <w:p>
            <w:pPr>
              <w:jc w:val="center"/>
            </w:pPr>
            <w:r/>
            <w:r>
              <w:rPr>
                <w:rFonts w:ascii="Times New Roman" w:hAnsi="Times New Roman"/>
                <w:sz w:val="18"/>
              </w:rPr>
              <w:t>1.57</w:t>
            </w:r>
          </w:p>
        </w:tc>
        <w:tc>
          <w:tcPr>
            <w:tcW w:type="dxa" w:w="936"/>
          </w:tcPr>
          <w:p>
            <w:pPr>
              <w:jc w:val="center"/>
            </w:pPr>
            <w:r/>
            <w:r>
              <w:rPr>
                <w:rFonts w:ascii="Times New Roman" w:hAnsi="Times New Roman"/>
                <w:sz w:val="18"/>
              </w:rPr>
              <w:t>14.81</w:t>
            </w:r>
          </w:p>
        </w:tc>
        <w:tc>
          <w:tcPr>
            <w:tcW w:type="dxa" w:w="936"/>
          </w:tcPr>
          <w:p>
            <w:pPr>
              <w:jc w:val="center"/>
            </w:pPr>
            <w:r/>
            <w:r>
              <w:rPr>
                <w:rFonts w:ascii="Times New Roman" w:hAnsi="Times New Roman"/>
                <w:sz w:val="18"/>
              </w:rPr>
              <w:t>3.64</w:t>
            </w:r>
          </w:p>
        </w:tc>
      </w:tr>
      <w:tr>
        <w:tc>
          <w:tcPr>
            <w:tcW w:type="dxa" w:w="936"/>
          </w:tcPr>
          <w:p>
            <w:pPr>
              <w:jc w:val="center"/>
            </w:pPr>
            <w:r/>
            <w:r>
              <w:rPr>
                <w:rFonts w:ascii="Times New Roman" w:hAnsi="Times New Roman"/>
                <w:sz w:val="18"/>
              </w:rPr>
              <w:t>M0325</w:t>
            </w:r>
          </w:p>
        </w:tc>
        <w:tc>
          <w:tcPr>
            <w:tcW w:type="dxa" w:w="936"/>
          </w:tcPr>
          <w:p>
            <w:pPr>
              <w:jc w:val="center"/>
            </w:pPr>
            <w:r/>
            <w:r>
              <w:rPr>
                <w:rFonts w:ascii="Times New Roman" w:hAnsi="Times New Roman"/>
                <w:sz w:val="18"/>
              </w:rPr>
              <w:t>GARCIA_MORENO</w:t>
            </w:r>
          </w:p>
        </w:tc>
        <w:tc>
          <w:tcPr>
            <w:tcW w:type="dxa" w:w="936"/>
          </w:tcPr>
          <w:p>
            <w:pPr>
              <w:jc w:val="center"/>
            </w:pPr>
            <w:r/>
            <w:r>
              <w:rPr>
                <w:rFonts w:ascii="Times New Roman" w:hAnsi="Times New Roman"/>
                <w:sz w:val="18"/>
              </w:rPr>
              <w:t>1950</w:t>
            </w:r>
          </w:p>
        </w:tc>
        <w:tc>
          <w:tcPr>
            <w:tcW w:type="dxa" w:w="936"/>
          </w:tcPr>
          <w:p>
            <w:pPr>
              <w:jc w:val="center"/>
            </w:pPr>
            <w:r/>
            <w:r>
              <w:rPr>
                <w:rFonts w:ascii="Times New Roman" w:hAnsi="Times New Roman"/>
                <w:sz w:val="18"/>
              </w:rPr>
              <w:t>2280.6</w:t>
            </w:r>
          </w:p>
        </w:tc>
        <w:tc>
          <w:tcPr>
            <w:tcW w:type="dxa" w:w="936"/>
          </w:tcPr>
          <w:p>
            <w:pPr>
              <w:jc w:val="center"/>
            </w:pPr>
            <w:r/>
            <w:r>
              <w:rPr>
                <w:rFonts w:ascii="Times New Roman" w:hAnsi="Times New Roman"/>
                <w:sz w:val="18"/>
              </w:rPr>
              <w:t>8.95</w:t>
            </w:r>
          </w:p>
        </w:tc>
        <w:tc>
          <w:tcPr>
            <w:tcW w:type="dxa" w:w="936"/>
          </w:tcPr>
          <w:p>
            <w:pPr>
              <w:jc w:val="center"/>
            </w:pPr>
            <w:r/>
            <w:r>
              <w:rPr>
                <w:rFonts w:ascii="Times New Roman" w:hAnsi="Times New Roman"/>
                <w:sz w:val="18"/>
              </w:rPr>
              <w:t>84.0</w:t>
            </w:r>
          </w:p>
        </w:tc>
        <w:tc>
          <w:tcPr>
            <w:tcW w:type="dxa" w:w="936"/>
          </w:tcPr>
          <w:p>
            <w:pPr>
              <w:jc w:val="center"/>
            </w:pPr>
            <w:r/>
            <w:r>
              <w:rPr>
                <w:rFonts w:ascii="Times New Roman" w:hAnsi="Times New Roman"/>
                <w:sz w:val="18"/>
              </w:rPr>
              <w:t>84.97</w:t>
            </w:r>
          </w:p>
        </w:tc>
        <w:tc>
          <w:tcPr>
            <w:tcW w:type="dxa" w:w="936"/>
          </w:tcPr>
          <w:p>
            <w:pPr>
              <w:jc w:val="center"/>
            </w:pPr>
            <w:r/>
            <w:r>
              <w:rPr>
                <w:rFonts w:ascii="Times New Roman" w:hAnsi="Times New Roman"/>
                <w:sz w:val="18"/>
              </w:rPr>
              <w:t>1.64</w:t>
            </w:r>
          </w:p>
        </w:tc>
        <w:tc>
          <w:tcPr>
            <w:tcW w:type="dxa" w:w="936"/>
          </w:tcPr>
          <w:p>
            <w:pPr>
              <w:jc w:val="center"/>
            </w:pPr>
            <w:r/>
            <w:r>
              <w:rPr>
                <w:rFonts w:ascii="Times New Roman" w:hAnsi="Times New Roman"/>
                <w:sz w:val="18"/>
              </w:rPr>
              <w:t>14.27</w:t>
            </w:r>
          </w:p>
        </w:tc>
        <w:tc>
          <w:tcPr>
            <w:tcW w:type="dxa" w:w="936"/>
          </w:tcPr>
          <w:p>
            <w:pPr>
              <w:jc w:val="center"/>
            </w:pPr>
            <w:r/>
            <w:r>
              <w:rPr>
                <w:rFonts w:ascii="Times New Roman" w:hAnsi="Times New Roman"/>
                <w:sz w:val="18"/>
              </w:rPr>
              <w:t>4.67</w:t>
            </w:r>
          </w:p>
        </w:tc>
      </w:tr>
      <w:tr>
        <w:tc>
          <w:tcPr>
            <w:tcW w:type="dxa" w:w="936"/>
          </w:tcPr>
          <w:p>
            <w:pPr>
              <w:jc w:val="center"/>
            </w:pPr>
            <w:r/>
            <w:r>
              <w:rPr>
                <w:rFonts w:ascii="Times New Roman" w:hAnsi="Times New Roman"/>
                <w:sz w:val="18"/>
              </w:rPr>
              <w:t>M0315</w:t>
            </w:r>
          </w:p>
        </w:tc>
        <w:tc>
          <w:tcPr>
            <w:tcW w:type="dxa" w:w="936"/>
          </w:tcPr>
          <w:p>
            <w:pPr>
              <w:jc w:val="center"/>
            </w:pPr>
            <w:r/>
            <w:r>
              <w:rPr>
                <w:rFonts w:ascii="Times New Roman" w:hAnsi="Times New Roman"/>
                <w:sz w:val="18"/>
              </w:rPr>
              <w:t>PIMAMPIRO</w:t>
            </w:r>
          </w:p>
        </w:tc>
        <w:tc>
          <w:tcPr>
            <w:tcW w:type="dxa" w:w="936"/>
          </w:tcPr>
          <w:p>
            <w:pPr>
              <w:jc w:val="center"/>
            </w:pPr>
            <w:r/>
            <w:r>
              <w:rPr>
                <w:rFonts w:ascii="Times New Roman" w:hAnsi="Times New Roman"/>
                <w:sz w:val="18"/>
              </w:rPr>
              <w:t>2090</w:t>
            </w:r>
          </w:p>
        </w:tc>
        <w:tc>
          <w:tcPr>
            <w:tcW w:type="dxa" w:w="936"/>
          </w:tcPr>
          <w:p>
            <w:pPr>
              <w:jc w:val="center"/>
            </w:pPr>
            <w:r/>
            <w:r>
              <w:rPr>
                <w:rFonts w:ascii="Times New Roman" w:hAnsi="Times New Roman"/>
                <w:sz w:val="18"/>
              </w:rPr>
              <w:t>2112.1</w:t>
            </w:r>
          </w:p>
        </w:tc>
        <w:tc>
          <w:tcPr>
            <w:tcW w:type="dxa" w:w="936"/>
          </w:tcPr>
          <w:p>
            <w:pPr>
              <w:jc w:val="center"/>
            </w:pPr>
            <w:r/>
            <w:r>
              <w:rPr>
                <w:rFonts w:ascii="Times New Roman" w:hAnsi="Times New Roman"/>
                <w:sz w:val="18"/>
              </w:rPr>
              <w:t>12.61</w:t>
            </w:r>
          </w:p>
        </w:tc>
        <w:tc>
          <w:tcPr>
            <w:tcW w:type="dxa" w:w="936"/>
          </w:tcPr>
          <w:p>
            <w:pPr>
              <w:jc w:val="center"/>
            </w:pPr>
            <w:r/>
            <w:r>
              <w:rPr>
                <w:rFonts w:ascii="Times New Roman" w:hAnsi="Times New Roman"/>
                <w:sz w:val="18"/>
              </w:rPr>
              <w:t>59.9</w:t>
            </w:r>
          </w:p>
        </w:tc>
        <w:tc>
          <w:tcPr>
            <w:tcW w:type="dxa" w:w="936"/>
          </w:tcPr>
          <w:p>
            <w:pPr>
              <w:jc w:val="center"/>
            </w:pPr>
            <w:r/>
            <w:r>
              <w:rPr>
                <w:rFonts w:ascii="Times New Roman" w:hAnsi="Times New Roman"/>
                <w:sz w:val="18"/>
              </w:rPr>
              <w:t>88.91</w:t>
            </w:r>
          </w:p>
        </w:tc>
        <w:tc>
          <w:tcPr>
            <w:tcW w:type="dxa" w:w="936"/>
          </w:tcPr>
          <w:p>
            <w:pPr>
              <w:jc w:val="center"/>
            </w:pPr>
            <w:r/>
            <w:r>
              <w:rPr>
                <w:rFonts w:ascii="Times New Roman" w:hAnsi="Times New Roman"/>
                <w:sz w:val="18"/>
              </w:rPr>
              <w:t>1.47</w:t>
            </w:r>
          </w:p>
        </w:tc>
        <w:tc>
          <w:tcPr>
            <w:tcW w:type="dxa" w:w="936"/>
          </w:tcPr>
          <w:p>
            <w:pPr>
              <w:jc w:val="center"/>
            </w:pPr>
            <w:r/>
            <w:r>
              <w:rPr>
                <w:rFonts w:ascii="Times New Roman" w:hAnsi="Times New Roman"/>
                <w:sz w:val="18"/>
              </w:rPr>
              <w:t>19.23</w:t>
            </w:r>
          </w:p>
        </w:tc>
        <w:tc>
          <w:tcPr>
            <w:tcW w:type="dxa" w:w="936"/>
          </w:tcPr>
          <w:p>
            <w:pPr>
              <w:jc w:val="center"/>
            </w:pPr>
            <w:r/>
            <w:r>
              <w:rPr>
                <w:rFonts w:ascii="Times New Roman" w:hAnsi="Times New Roman"/>
                <w:sz w:val="18"/>
              </w:rPr>
              <w:t>6.3</w:t>
            </w:r>
          </w:p>
        </w:tc>
      </w:tr>
      <w:tr>
        <w:tc>
          <w:tcPr>
            <w:tcW w:type="dxa" w:w="936"/>
          </w:tcPr>
          <w:p>
            <w:pPr>
              <w:jc w:val="center"/>
            </w:pPr>
            <w:r/>
            <w:r>
              <w:rPr>
                <w:rFonts w:ascii="Times New Roman" w:hAnsi="Times New Roman"/>
                <w:sz w:val="18"/>
              </w:rPr>
              <w:t>M0021</w:t>
            </w:r>
          </w:p>
        </w:tc>
        <w:tc>
          <w:tcPr>
            <w:tcW w:type="dxa" w:w="936"/>
          </w:tcPr>
          <w:p>
            <w:pPr>
              <w:jc w:val="center"/>
            </w:pPr>
            <w:r/>
            <w:r>
              <w:rPr>
                <w:rFonts w:ascii="Times New Roman" w:hAnsi="Times New Roman"/>
                <w:sz w:val="18"/>
              </w:rPr>
              <w:t>ATUNTAQUI</w:t>
            </w:r>
          </w:p>
        </w:tc>
        <w:tc>
          <w:tcPr>
            <w:tcW w:type="dxa" w:w="936"/>
          </w:tcPr>
          <w:p>
            <w:pPr>
              <w:jc w:val="center"/>
            </w:pPr>
            <w:r/>
            <w:r>
              <w:rPr>
                <w:rFonts w:ascii="Times New Roman" w:hAnsi="Times New Roman"/>
                <w:sz w:val="18"/>
              </w:rPr>
              <w:t>2200</w:t>
            </w:r>
          </w:p>
        </w:tc>
        <w:tc>
          <w:tcPr>
            <w:tcW w:type="dxa" w:w="936"/>
          </w:tcPr>
          <w:p>
            <w:pPr>
              <w:jc w:val="center"/>
            </w:pPr>
            <w:r/>
            <w:r>
              <w:rPr>
                <w:rFonts w:ascii="Times New Roman" w:hAnsi="Times New Roman"/>
                <w:sz w:val="18"/>
              </w:rPr>
              <w:t>944.1</w:t>
            </w:r>
          </w:p>
        </w:tc>
        <w:tc>
          <w:tcPr>
            <w:tcW w:type="dxa" w:w="936"/>
          </w:tcPr>
          <w:p>
            <w:pPr>
              <w:jc w:val="center"/>
            </w:pPr>
            <w:r/>
            <w:r>
              <w:rPr>
                <w:rFonts w:ascii="Times New Roman" w:hAnsi="Times New Roman"/>
                <w:sz w:val="18"/>
              </w:rPr>
              <w:t>5.28</w:t>
            </w:r>
          </w:p>
        </w:tc>
        <w:tc>
          <w:tcPr>
            <w:tcW w:type="dxa" w:w="936"/>
          </w:tcPr>
          <w:p>
            <w:pPr>
              <w:jc w:val="center"/>
            </w:pPr>
            <w:r/>
            <w:r>
              <w:rPr>
                <w:rFonts w:ascii="Times New Roman" w:hAnsi="Times New Roman"/>
                <w:sz w:val="18"/>
              </w:rPr>
              <w:t>56.26</w:t>
            </w:r>
          </w:p>
        </w:tc>
        <w:tc>
          <w:tcPr>
            <w:tcW w:type="dxa" w:w="936"/>
          </w:tcPr>
          <w:p>
            <w:pPr>
              <w:jc w:val="center"/>
            </w:pPr>
            <w:r/>
            <w:r>
              <w:rPr>
                <w:rFonts w:ascii="Times New Roman" w:hAnsi="Times New Roman"/>
                <w:sz w:val="18"/>
              </w:rPr>
              <w:t>85.4</w:t>
            </w:r>
          </w:p>
        </w:tc>
        <w:tc>
          <w:tcPr>
            <w:tcW w:type="dxa" w:w="936"/>
          </w:tcPr>
          <w:p>
            <w:pPr>
              <w:jc w:val="center"/>
            </w:pPr>
            <w:r/>
            <w:r>
              <w:rPr>
                <w:rFonts w:ascii="Times New Roman" w:hAnsi="Times New Roman"/>
                <w:sz w:val="18"/>
              </w:rPr>
              <w:t>1.55</w:t>
            </w:r>
          </w:p>
        </w:tc>
        <w:tc>
          <w:tcPr>
            <w:tcW w:type="dxa" w:w="936"/>
          </w:tcPr>
          <w:p>
            <w:pPr>
              <w:jc w:val="center"/>
            </w:pPr>
            <w:r/>
            <w:r>
              <w:rPr>
                <w:rFonts w:ascii="Times New Roman" w:hAnsi="Times New Roman"/>
                <w:sz w:val="18"/>
              </w:rPr>
              <w:t>11.08</w:t>
            </w:r>
          </w:p>
        </w:tc>
        <w:tc>
          <w:tcPr>
            <w:tcW w:type="dxa" w:w="936"/>
          </w:tcPr>
          <w:p>
            <w:pPr>
              <w:jc w:val="center"/>
            </w:pPr>
            <w:r/>
            <w:r>
              <w:rPr>
                <w:rFonts w:ascii="Times New Roman" w:hAnsi="Times New Roman"/>
                <w:sz w:val="18"/>
              </w:rPr>
              <w:t>-0.2</w:t>
            </w:r>
          </w:p>
        </w:tc>
      </w:tr>
      <w:tr>
        <w:tc>
          <w:tcPr>
            <w:tcW w:type="dxa" w:w="936"/>
          </w:tcPr>
          <w:p>
            <w:pPr>
              <w:jc w:val="center"/>
            </w:pPr>
            <w:r/>
            <w:r>
              <w:rPr>
                <w:rFonts w:ascii="Times New Roman" w:hAnsi="Times New Roman"/>
                <w:sz w:val="18"/>
              </w:rPr>
              <w:t>M0324</w:t>
            </w:r>
          </w:p>
        </w:tc>
        <w:tc>
          <w:tcPr>
            <w:tcW w:type="dxa" w:w="936"/>
          </w:tcPr>
          <w:p>
            <w:pPr>
              <w:jc w:val="center"/>
            </w:pPr>
            <w:r/>
            <w:r>
              <w:rPr>
                <w:rFonts w:ascii="Times New Roman" w:hAnsi="Times New Roman"/>
                <w:sz w:val="18"/>
              </w:rPr>
              <w:t>SAN_FCO_SIGSIPAMBA</w:t>
            </w:r>
          </w:p>
        </w:tc>
        <w:tc>
          <w:tcPr>
            <w:tcW w:type="dxa" w:w="936"/>
          </w:tcPr>
          <w:p>
            <w:pPr>
              <w:jc w:val="center"/>
            </w:pPr>
            <w:r/>
            <w:r>
              <w:rPr>
                <w:rFonts w:ascii="Times New Roman" w:hAnsi="Times New Roman"/>
                <w:sz w:val="18"/>
              </w:rPr>
              <w:t>2230</w:t>
            </w:r>
          </w:p>
        </w:tc>
        <w:tc>
          <w:tcPr>
            <w:tcW w:type="dxa" w:w="936"/>
          </w:tcPr>
          <w:p>
            <w:pPr>
              <w:jc w:val="center"/>
            </w:pPr>
            <w:r/>
            <w:r>
              <w:rPr>
                <w:rFonts w:ascii="Times New Roman" w:hAnsi="Times New Roman"/>
                <w:sz w:val="18"/>
              </w:rPr>
              <w:t>1683.9</w:t>
            </w:r>
          </w:p>
        </w:tc>
        <w:tc>
          <w:tcPr>
            <w:tcW w:type="dxa" w:w="936"/>
          </w:tcPr>
          <w:p>
            <w:pPr>
              <w:jc w:val="center"/>
            </w:pPr>
            <w:r/>
            <w:r>
              <w:rPr>
                <w:rFonts w:ascii="Times New Roman" w:hAnsi="Times New Roman"/>
                <w:sz w:val="18"/>
              </w:rPr>
              <w:t>11.49</w:t>
            </w:r>
          </w:p>
        </w:tc>
        <w:tc>
          <w:tcPr>
            <w:tcW w:type="dxa" w:w="936"/>
          </w:tcPr>
          <w:p>
            <w:pPr>
              <w:jc w:val="center"/>
            </w:pPr>
            <w:r/>
            <w:r>
              <w:rPr>
                <w:rFonts w:ascii="Times New Roman" w:hAnsi="Times New Roman"/>
                <w:sz w:val="18"/>
              </w:rPr>
              <w:t>66.01</w:t>
            </w:r>
          </w:p>
        </w:tc>
        <w:tc>
          <w:tcPr>
            <w:tcW w:type="dxa" w:w="936"/>
          </w:tcPr>
          <w:p>
            <w:pPr>
              <w:jc w:val="center"/>
            </w:pPr>
            <w:r/>
            <w:r>
              <w:rPr>
                <w:rFonts w:ascii="Times New Roman" w:hAnsi="Times New Roman"/>
                <w:sz w:val="18"/>
              </w:rPr>
              <w:t>89.55</w:t>
            </w:r>
          </w:p>
        </w:tc>
        <w:tc>
          <w:tcPr>
            <w:tcW w:type="dxa" w:w="936"/>
          </w:tcPr>
          <w:p>
            <w:pPr>
              <w:jc w:val="center"/>
            </w:pPr>
            <w:r/>
            <w:r>
              <w:rPr>
                <w:rFonts w:ascii="Times New Roman" w:hAnsi="Times New Roman"/>
                <w:sz w:val="18"/>
              </w:rPr>
              <w:t>1.56</w:t>
            </w:r>
          </w:p>
        </w:tc>
        <w:tc>
          <w:tcPr>
            <w:tcW w:type="dxa" w:w="936"/>
          </w:tcPr>
          <w:p>
            <w:pPr>
              <w:jc w:val="center"/>
            </w:pPr>
            <w:r/>
            <w:r>
              <w:rPr>
                <w:rFonts w:ascii="Times New Roman" w:hAnsi="Times New Roman"/>
                <w:sz w:val="18"/>
              </w:rPr>
              <w:t>17.68</w:t>
            </w:r>
          </w:p>
        </w:tc>
        <w:tc>
          <w:tcPr>
            <w:tcW w:type="dxa" w:w="936"/>
          </w:tcPr>
          <w:p>
            <w:pPr>
              <w:jc w:val="center"/>
            </w:pPr>
            <w:r/>
            <w:r>
              <w:rPr>
                <w:rFonts w:ascii="Times New Roman" w:hAnsi="Times New Roman"/>
                <w:sz w:val="18"/>
              </w:rPr>
              <w:t>5.74</w:t>
            </w:r>
          </w:p>
        </w:tc>
      </w:tr>
      <w:tr>
        <w:tc>
          <w:tcPr>
            <w:tcW w:type="dxa" w:w="936"/>
          </w:tcPr>
          <w:p>
            <w:pPr>
              <w:jc w:val="center"/>
            </w:pPr>
            <w:r/>
            <w:r>
              <w:rPr>
                <w:rFonts w:ascii="Times New Roman" w:hAnsi="Times New Roman"/>
                <w:sz w:val="18"/>
              </w:rPr>
              <w:t>M1240</w:t>
            </w:r>
          </w:p>
        </w:tc>
        <w:tc>
          <w:tcPr>
            <w:tcW w:type="dxa" w:w="936"/>
          </w:tcPr>
          <w:p>
            <w:pPr>
              <w:jc w:val="center"/>
            </w:pPr>
            <w:r/>
            <w:r>
              <w:rPr>
                <w:rFonts w:ascii="Times New Roman" w:hAnsi="Times New Roman"/>
                <w:sz w:val="18"/>
              </w:rPr>
              <w:t>IBARRA_INAMHI</w:t>
            </w:r>
          </w:p>
        </w:tc>
        <w:tc>
          <w:tcPr>
            <w:tcW w:type="dxa" w:w="936"/>
          </w:tcPr>
          <w:p>
            <w:pPr>
              <w:jc w:val="center"/>
            </w:pPr>
            <w:r/>
            <w:r>
              <w:rPr>
                <w:rFonts w:ascii="Times New Roman" w:hAnsi="Times New Roman"/>
                <w:sz w:val="18"/>
              </w:rPr>
              <w:t>2247</w:t>
            </w:r>
          </w:p>
        </w:tc>
        <w:tc>
          <w:tcPr>
            <w:tcW w:type="dxa" w:w="936"/>
          </w:tcPr>
          <w:p>
            <w:pPr>
              <w:jc w:val="center"/>
            </w:pPr>
            <w:r/>
            <w:r>
              <w:rPr>
                <w:rFonts w:ascii="Times New Roman" w:hAnsi="Times New Roman"/>
                <w:sz w:val="18"/>
              </w:rPr>
              <w:t>1377.5</w:t>
            </w:r>
          </w:p>
        </w:tc>
        <w:tc>
          <w:tcPr>
            <w:tcW w:type="dxa" w:w="936"/>
          </w:tcPr>
          <w:p>
            <w:pPr>
              <w:jc w:val="center"/>
            </w:pPr>
            <w:r/>
            <w:r>
              <w:rPr>
                <w:rFonts w:ascii="Times New Roman" w:hAnsi="Times New Roman"/>
                <w:sz w:val="18"/>
              </w:rPr>
              <w:t>6.6</w:t>
            </w:r>
          </w:p>
        </w:tc>
        <w:tc>
          <w:tcPr>
            <w:tcW w:type="dxa" w:w="936"/>
          </w:tcPr>
          <w:p>
            <w:pPr>
              <w:jc w:val="center"/>
            </w:pPr>
            <w:r/>
            <w:r>
              <w:rPr>
                <w:rFonts w:ascii="Times New Roman" w:hAnsi="Times New Roman"/>
                <w:sz w:val="18"/>
              </w:rPr>
              <w:t>55.53</w:t>
            </w:r>
          </w:p>
        </w:tc>
        <w:tc>
          <w:tcPr>
            <w:tcW w:type="dxa" w:w="936"/>
          </w:tcPr>
          <w:p>
            <w:pPr>
              <w:jc w:val="center"/>
            </w:pPr>
            <w:r/>
            <w:r>
              <w:rPr>
                <w:rFonts w:ascii="Times New Roman" w:hAnsi="Times New Roman"/>
                <w:sz w:val="18"/>
              </w:rPr>
              <w:t>86.09</w:t>
            </w:r>
          </w:p>
        </w:tc>
        <w:tc>
          <w:tcPr>
            <w:tcW w:type="dxa" w:w="936"/>
          </w:tcPr>
          <w:p>
            <w:pPr>
              <w:jc w:val="center"/>
            </w:pPr>
            <w:r/>
            <w:r>
              <w:rPr>
                <w:rFonts w:ascii="Times New Roman" w:hAnsi="Times New Roman"/>
                <w:sz w:val="18"/>
              </w:rPr>
              <w:t>1.44</w:t>
            </w:r>
          </w:p>
        </w:tc>
        <w:tc>
          <w:tcPr>
            <w:tcW w:type="dxa" w:w="936"/>
          </w:tcPr>
          <w:p>
            <w:pPr>
              <w:jc w:val="center"/>
            </w:pPr>
            <w:r/>
            <w:r>
              <w:rPr>
                <w:rFonts w:ascii="Times New Roman" w:hAnsi="Times New Roman"/>
                <w:sz w:val="18"/>
              </w:rPr>
              <w:t>12.23</w:t>
            </w:r>
          </w:p>
        </w:tc>
        <w:tc>
          <w:tcPr>
            <w:tcW w:type="dxa" w:w="936"/>
          </w:tcPr>
          <w:p>
            <w:pPr>
              <w:jc w:val="center"/>
            </w:pPr>
            <w:r/>
            <w:r>
              <w:rPr>
                <w:rFonts w:ascii="Times New Roman" w:hAnsi="Times New Roman"/>
                <w:sz w:val="18"/>
              </w:rPr>
              <w:t>1.1</w:t>
            </w:r>
          </w:p>
        </w:tc>
      </w:tr>
      <w:tr>
        <w:tc>
          <w:tcPr>
            <w:tcW w:type="dxa" w:w="936"/>
          </w:tcPr>
          <w:p>
            <w:pPr>
              <w:jc w:val="center"/>
            </w:pPr>
            <w:r/>
            <w:r>
              <w:rPr>
                <w:rFonts w:ascii="Times New Roman" w:hAnsi="Times New Roman"/>
                <w:sz w:val="18"/>
              </w:rPr>
              <w:t>M0104</w:t>
            </w:r>
          </w:p>
        </w:tc>
        <w:tc>
          <w:tcPr>
            <w:tcW w:type="dxa" w:w="936"/>
          </w:tcPr>
          <w:p>
            <w:pPr>
              <w:jc w:val="center"/>
            </w:pPr>
            <w:r/>
            <w:r>
              <w:rPr>
                <w:rFonts w:ascii="Times New Roman" w:hAnsi="Times New Roman"/>
                <w:sz w:val="18"/>
              </w:rPr>
              <w:t>MIRA_FAO</w:t>
            </w:r>
          </w:p>
        </w:tc>
        <w:tc>
          <w:tcPr>
            <w:tcW w:type="dxa" w:w="936"/>
          </w:tcPr>
          <w:p>
            <w:pPr>
              <w:jc w:val="center"/>
            </w:pPr>
            <w:r/>
            <w:r>
              <w:rPr>
                <w:rFonts w:ascii="Times New Roman" w:hAnsi="Times New Roman"/>
                <w:sz w:val="18"/>
              </w:rPr>
              <w:t>2275</w:t>
            </w:r>
          </w:p>
        </w:tc>
        <w:tc>
          <w:tcPr>
            <w:tcW w:type="dxa" w:w="936"/>
          </w:tcPr>
          <w:p>
            <w:pPr>
              <w:jc w:val="center"/>
            </w:pPr>
            <w:r/>
            <w:r>
              <w:rPr>
                <w:rFonts w:ascii="Times New Roman" w:hAnsi="Times New Roman"/>
                <w:sz w:val="18"/>
              </w:rPr>
              <w:t>2077.2</w:t>
            </w:r>
          </w:p>
        </w:tc>
        <w:tc>
          <w:tcPr>
            <w:tcW w:type="dxa" w:w="936"/>
          </w:tcPr>
          <w:p>
            <w:pPr>
              <w:jc w:val="center"/>
            </w:pPr>
            <w:r/>
            <w:r>
              <w:rPr>
                <w:rFonts w:ascii="Times New Roman" w:hAnsi="Times New Roman"/>
                <w:sz w:val="18"/>
              </w:rPr>
              <w:t>8.61</w:t>
            </w:r>
          </w:p>
        </w:tc>
        <w:tc>
          <w:tcPr>
            <w:tcW w:type="dxa" w:w="936"/>
          </w:tcPr>
          <w:p>
            <w:pPr>
              <w:jc w:val="center"/>
            </w:pPr>
            <w:r/>
            <w:r>
              <w:rPr>
                <w:rFonts w:ascii="Times New Roman" w:hAnsi="Times New Roman"/>
                <w:sz w:val="18"/>
              </w:rPr>
              <w:t>53.99</w:t>
            </w:r>
          </w:p>
        </w:tc>
        <w:tc>
          <w:tcPr>
            <w:tcW w:type="dxa" w:w="936"/>
          </w:tcPr>
          <w:p>
            <w:pPr>
              <w:jc w:val="center"/>
            </w:pPr>
            <w:r/>
            <w:r>
              <w:rPr>
                <w:rFonts w:ascii="Times New Roman" w:hAnsi="Times New Roman"/>
                <w:sz w:val="18"/>
              </w:rPr>
              <w:t>87.69</w:t>
            </w:r>
          </w:p>
        </w:tc>
        <w:tc>
          <w:tcPr>
            <w:tcW w:type="dxa" w:w="936"/>
          </w:tcPr>
          <w:p>
            <w:pPr>
              <w:jc w:val="center"/>
            </w:pPr>
            <w:r/>
            <w:r>
              <w:rPr>
                <w:rFonts w:ascii="Times New Roman" w:hAnsi="Times New Roman"/>
                <w:sz w:val="18"/>
              </w:rPr>
              <w:t>1.55</w:t>
            </w:r>
          </w:p>
        </w:tc>
        <w:tc>
          <w:tcPr>
            <w:tcW w:type="dxa" w:w="936"/>
          </w:tcPr>
          <w:p>
            <w:pPr>
              <w:jc w:val="center"/>
            </w:pPr>
            <w:r/>
            <w:r>
              <w:rPr>
                <w:rFonts w:ascii="Times New Roman" w:hAnsi="Times New Roman"/>
                <w:sz w:val="18"/>
              </w:rPr>
              <w:t>13.82</w:t>
            </w:r>
          </w:p>
        </w:tc>
        <w:tc>
          <w:tcPr>
            <w:tcW w:type="dxa" w:w="936"/>
          </w:tcPr>
          <w:p>
            <w:pPr>
              <w:jc w:val="center"/>
            </w:pPr>
            <w:r/>
            <w:r>
              <w:rPr>
                <w:rFonts w:ascii="Times New Roman" w:hAnsi="Times New Roman"/>
                <w:sz w:val="18"/>
              </w:rPr>
              <w:t>3.34</w:t>
            </w:r>
          </w:p>
        </w:tc>
      </w:tr>
      <w:tr>
        <w:tc>
          <w:tcPr>
            <w:tcW w:type="dxa" w:w="936"/>
          </w:tcPr>
          <w:p>
            <w:pPr>
              <w:jc w:val="center"/>
            </w:pPr>
            <w:r/>
            <w:r>
              <w:rPr>
                <w:rFonts w:ascii="Times New Roman" w:hAnsi="Times New Roman"/>
                <w:sz w:val="18"/>
              </w:rPr>
              <w:t>M0107</w:t>
            </w:r>
          </w:p>
        </w:tc>
        <w:tc>
          <w:tcPr>
            <w:tcW w:type="dxa" w:w="936"/>
          </w:tcPr>
          <w:p>
            <w:pPr>
              <w:jc w:val="center"/>
            </w:pPr>
            <w:r/>
            <w:r>
              <w:rPr>
                <w:rFonts w:ascii="Times New Roman" w:hAnsi="Times New Roman"/>
                <w:sz w:val="18"/>
              </w:rPr>
              <w:t>CAHUASQUI_FAO</w:t>
            </w:r>
          </w:p>
        </w:tc>
        <w:tc>
          <w:tcPr>
            <w:tcW w:type="dxa" w:w="936"/>
          </w:tcPr>
          <w:p>
            <w:pPr>
              <w:jc w:val="center"/>
            </w:pPr>
            <w:r/>
            <w:r>
              <w:rPr>
                <w:rFonts w:ascii="Times New Roman" w:hAnsi="Times New Roman"/>
                <w:sz w:val="18"/>
              </w:rPr>
              <w:t>2335</w:t>
            </w:r>
          </w:p>
        </w:tc>
        <w:tc>
          <w:tcPr>
            <w:tcW w:type="dxa" w:w="936"/>
          </w:tcPr>
          <w:p>
            <w:pPr>
              <w:jc w:val="center"/>
            </w:pPr>
            <w:r/>
            <w:r>
              <w:rPr>
                <w:rFonts w:ascii="Times New Roman" w:hAnsi="Times New Roman"/>
                <w:sz w:val="18"/>
              </w:rPr>
              <w:t>1225.3</w:t>
            </w:r>
          </w:p>
        </w:tc>
        <w:tc>
          <w:tcPr>
            <w:tcW w:type="dxa" w:w="936"/>
          </w:tcPr>
          <w:p>
            <w:pPr>
              <w:jc w:val="center"/>
            </w:pPr>
            <w:r/>
            <w:r>
              <w:rPr>
                <w:rFonts w:ascii="Times New Roman" w:hAnsi="Times New Roman"/>
                <w:sz w:val="18"/>
              </w:rPr>
              <w:t>5.06</w:t>
            </w:r>
          </w:p>
        </w:tc>
        <w:tc>
          <w:tcPr>
            <w:tcW w:type="dxa" w:w="936"/>
          </w:tcPr>
          <w:p>
            <w:pPr>
              <w:jc w:val="center"/>
            </w:pPr>
            <w:r/>
            <w:r>
              <w:rPr>
                <w:rFonts w:ascii="Times New Roman" w:hAnsi="Times New Roman"/>
                <w:sz w:val="18"/>
              </w:rPr>
              <w:t>60.42</w:t>
            </w:r>
          </w:p>
        </w:tc>
        <w:tc>
          <w:tcPr>
            <w:tcW w:type="dxa" w:w="936"/>
          </w:tcPr>
          <w:p>
            <w:pPr>
              <w:jc w:val="center"/>
            </w:pPr>
            <w:r/>
            <w:r>
              <w:rPr>
                <w:rFonts w:ascii="Times New Roman" w:hAnsi="Times New Roman"/>
                <w:sz w:val="18"/>
              </w:rPr>
              <w:t>86.84</w:t>
            </w:r>
          </w:p>
        </w:tc>
        <w:tc>
          <w:tcPr>
            <w:tcW w:type="dxa" w:w="936"/>
          </w:tcPr>
          <w:p>
            <w:pPr>
              <w:jc w:val="center"/>
            </w:pPr>
            <w:r/>
            <w:r>
              <w:rPr>
                <w:rFonts w:ascii="Times New Roman" w:hAnsi="Times New Roman"/>
                <w:sz w:val="18"/>
              </w:rPr>
              <w:t>1.81</w:t>
            </w:r>
          </w:p>
        </w:tc>
        <w:tc>
          <w:tcPr>
            <w:tcW w:type="dxa" w:w="936"/>
          </w:tcPr>
          <w:p>
            <w:pPr>
              <w:jc w:val="center"/>
            </w:pPr>
            <w:r/>
            <w:r>
              <w:rPr>
                <w:rFonts w:ascii="Times New Roman" w:hAnsi="Times New Roman"/>
                <w:sz w:val="18"/>
              </w:rPr>
              <w:t>10.79</w:t>
            </w:r>
          </w:p>
        </w:tc>
        <w:tc>
          <w:tcPr>
            <w:tcW w:type="dxa" w:w="936"/>
          </w:tcPr>
          <w:p>
            <w:pPr>
              <w:jc w:val="center"/>
            </w:pPr>
            <w:r/>
            <w:r>
              <w:rPr>
                <w:rFonts w:ascii="Times New Roman" w:hAnsi="Times New Roman"/>
                <w:sz w:val="18"/>
              </w:rPr>
              <w:t>-0.11</w:t>
            </w:r>
          </w:p>
        </w:tc>
      </w:tr>
      <w:tr>
        <w:tc>
          <w:tcPr>
            <w:tcW w:type="dxa" w:w="936"/>
          </w:tcPr>
          <w:p>
            <w:pPr>
              <w:jc w:val="center"/>
            </w:pPr>
            <w:r/>
            <w:r>
              <w:rPr>
                <w:rFonts w:ascii="Times New Roman" w:hAnsi="Times New Roman"/>
                <w:sz w:val="18"/>
              </w:rPr>
              <w:t>M0312</w:t>
            </w:r>
          </w:p>
        </w:tc>
        <w:tc>
          <w:tcPr>
            <w:tcW w:type="dxa" w:w="936"/>
          </w:tcPr>
          <w:p>
            <w:pPr>
              <w:jc w:val="center"/>
            </w:pPr>
            <w:r/>
            <w:r>
              <w:rPr>
                <w:rFonts w:ascii="Times New Roman" w:hAnsi="Times New Roman"/>
                <w:sz w:val="18"/>
              </w:rPr>
              <w:t>PABLO_ARENAS</w:t>
            </w:r>
          </w:p>
        </w:tc>
        <w:tc>
          <w:tcPr>
            <w:tcW w:type="dxa" w:w="936"/>
          </w:tcPr>
          <w:p>
            <w:pPr>
              <w:jc w:val="center"/>
            </w:pPr>
            <w:r/>
            <w:r>
              <w:rPr>
                <w:rFonts w:ascii="Times New Roman" w:hAnsi="Times New Roman"/>
                <w:sz w:val="18"/>
              </w:rPr>
              <w:t>2340</w:t>
            </w:r>
          </w:p>
        </w:tc>
        <w:tc>
          <w:tcPr>
            <w:tcW w:type="dxa" w:w="936"/>
          </w:tcPr>
          <w:p>
            <w:pPr>
              <w:jc w:val="center"/>
            </w:pPr>
            <w:r/>
            <w:r>
              <w:rPr>
                <w:rFonts w:ascii="Times New Roman" w:hAnsi="Times New Roman"/>
                <w:sz w:val="18"/>
              </w:rPr>
              <w:t>1410.6</w:t>
            </w:r>
          </w:p>
        </w:tc>
        <w:tc>
          <w:tcPr>
            <w:tcW w:type="dxa" w:w="936"/>
          </w:tcPr>
          <w:p>
            <w:pPr>
              <w:jc w:val="center"/>
            </w:pPr>
            <w:r/>
            <w:r>
              <w:rPr>
                <w:rFonts w:ascii="Times New Roman" w:hAnsi="Times New Roman"/>
                <w:sz w:val="18"/>
              </w:rPr>
              <w:t>5.06</w:t>
            </w:r>
          </w:p>
        </w:tc>
        <w:tc>
          <w:tcPr>
            <w:tcW w:type="dxa" w:w="936"/>
          </w:tcPr>
          <w:p>
            <w:pPr>
              <w:jc w:val="center"/>
            </w:pPr>
            <w:r/>
            <w:r>
              <w:rPr>
                <w:rFonts w:ascii="Times New Roman" w:hAnsi="Times New Roman"/>
                <w:sz w:val="18"/>
              </w:rPr>
              <w:t>59.44</w:t>
            </w:r>
          </w:p>
        </w:tc>
        <w:tc>
          <w:tcPr>
            <w:tcW w:type="dxa" w:w="936"/>
          </w:tcPr>
          <w:p>
            <w:pPr>
              <w:jc w:val="center"/>
            </w:pPr>
            <w:r/>
            <w:r>
              <w:rPr>
                <w:rFonts w:ascii="Times New Roman" w:hAnsi="Times New Roman"/>
                <w:sz w:val="18"/>
              </w:rPr>
              <w:t>86.84</w:t>
            </w:r>
          </w:p>
        </w:tc>
        <w:tc>
          <w:tcPr>
            <w:tcW w:type="dxa" w:w="936"/>
          </w:tcPr>
          <w:p>
            <w:pPr>
              <w:jc w:val="center"/>
            </w:pPr>
            <w:r/>
            <w:r>
              <w:rPr>
                <w:rFonts w:ascii="Times New Roman" w:hAnsi="Times New Roman"/>
                <w:sz w:val="18"/>
              </w:rPr>
              <w:t>1.76</w:t>
            </w:r>
          </w:p>
        </w:tc>
        <w:tc>
          <w:tcPr>
            <w:tcW w:type="dxa" w:w="936"/>
          </w:tcPr>
          <w:p>
            <w:pPr>
              <w:jc w:val="center"/>
            </w:pPr>
            <w:r/>
            <w:r>
              <w:rPr>
                <w:rFonts w:ascii="Times New Roman" w:hAnsi="Times New Roman"/>
                <w:sz w:val="18"/>
              </w:rPr>
              <w:t>10.79</w:t>
            </w:r>
          </w:p>
        </w:tc>
        <w:tc>
          <w:tcPr>
            <w:tcW w:type="dxa" w:w="936"/>
          </w:tcPr>
          <w:p>
            <w:pPr>
              <w:jc w:val="center"/>
            </w:pPr>
            <w:r/>
            <w:r>
              <w:rPr>
                <w:rFonts w:ascii="Times New Roman" w:hAnsi="Times New Roman"/>
                <w:sz w:val="18"/>
              </w:rPr>
              <w:t>-0.11</w:t>
            </w:r>
          </w:p>
        </w:tc>
      </w:tr>
      <w:tr>
        <w:tc>
          <w:tcPr>
            <w:tcW w:type="dxa" w:w="936"/>
          </w:tcPr>
          <w:p>
            <w:pPr>
              <w:jc w:val="center"/>
            </w:pPr>
            <w:r/>
            <w:r>
              <w:rPr>
                <w:rFonts w:ascii="Times New Roman" w:hAnsi="Times New Roman"/>
                <w:sz w:val="18"/>
              </w:rPr>
              <w:t>M0317</w:t>
            </w:r>
          </w:p>
        </w:tc>
        <w:tc>
          <w:tcPr>
            <w:tcW w:type="dxa" w:w="936"/>
          </w:tcPr>
          <w:p>
            <w:pPr>
              <w:jc w:val="center"/>
            </w:pPr>
            <w:r/>
            <w:r>
              <w:rPr>
                <w:rFonts w:ascii="Times New Roman" w:hAnsi="Times New Roman"/>
                <w:sz w:val="18"/>
              </w:rPr>
              <w:t>COTACACHI</w:t>
            </w:r>
          </w:p>
        </w:tc>
        <w:tc>
          <w:tcPr>
            <w:tcW w:type="dxa" w:w="936"/>
          </w:tcPr>
          <w:p>
            <w:pPr>
              <w:jc w:val="center"/>
            </w:pPr>
            <w:r/>
            <w:r>
              <w:rPr>
                <w:rFonts w:ascii="Times New Roman" w:hAnsi="Times New Roman"/>
                <w:sz w:val="18"/>
              </w:rPr>
              <w:t>2410</w:t>
            </w:r>
          </w:p>
        </w:tc>
        <w:tc>
          <w:tcPr>
            <w:tcW w:type="dxa" w:w="936"/>
          </w:tcPr>
          <w:p>
            <w:pPr>
              <w:jc w:val="center"/>
            </w:pPr>
            <w:r/>
            <w:r>
              <w:rPr>
                <w:rFonts w:ascii="Times New Roman" w:hAnsi="Times New Roman"/>
                <w:sz w:val="18"/>
              </w:rPr>
              <w:t>1026.8</w:t>
            </w:r>
          </w:p>
        </w:tc>
        <w:tc>
          <w:tcPr>
            <w:tcW w:type="dxa" w:w="936"/>
          </w:tcPr>
          <w:p>
            <w:pPr>
              <w:jc w:val="center"/>
            </w:pPr>
            <w:r/>
            <w:r>
              <w:rPr>
                <w:rFonts w:ascii="Times New Roman" w:hAnsi="Times New Roman"/>
                <w:sz w:val="18"/>
              </w:rPr>
              <w:t>9.68</w:t>
            </w:r>
          </w:p>
        </w:tc>
        <w:tc>
          <w:tcPr>
            <w:tcW w:type="dxa" w:w="936"/>
          </w:tcPr>
          <w:p>
            <w:pPr>
              <w:jc w:val="center"/>
            </w:pPr>
            <w:r/>
            <w:r>
              <w:rPr>
                <w:rFonts w:ascii="Times New Roman" w:hAnsi="Times New Roman"/>
                <w:sz w:val="18"/>
              </w:rPr>
              <w:t>63.38</w:t>
            </w:r>
          </w:p>
        </w:tc>
        <w:tc>
          <w:tcPr>
            <w:tcW w:type="dxa" w:w="936"/>
          </w:tcPr>
          <w:p>
            <w:pPr>
              <w:jc w:val="center"/>
            </w:pPr>
            <w:r/>
            <w:r>
              <w:rPr>
                <w:rFonts w:ascii="Times New Roman" w:hAnsi="Times New Roman"/>
                <w:sz w:val="18"/>
              </w:rPr>
              <w:t>81.93</w:t>
            </w:r>
          </w:p>
        </w:tc>
        <w:tc>
          <w:tcPr>
            <w:tcW w:type="dxa" w:w="936"/>
          </w:tcPr>
          <w:p>
            <w:pPr>
              <w:jc w:val="center"/>
            </w:pPr>
            <w:r/>
            <w:r>
              <w:rPr>
                <w:rFonts w:ascii="Times New Roman" w:hAnsi="Times New Roman"/>
                <w:sz w:val="18"/>
              </w:rPr>
              <w:t>1.63</w:t>
            </w:r>
          </w:p>
        </w:tc>
        <w:tc>
          <w:tcPr>
            <w:tcW w:type="dxa" w:w="936"/>
          </w:tcPr>
          <w:p>
            <w:pPr>
              <w:jc w:val="center"/>
            </w:pPr>
            <w:r/>
            <w:r>
              <w:rPr>
                <w:rFonts w:ascii="Times New Roman" w:hAnsi="Times New Roman"/>
                <w:sz w:val="18"/>
              </w:rPr>
              <w:t>15.35</w:t>
            </w:r>
          </w:p>
        </w:tc>
        <w:tc>
          <w:tcPr>
            <w:tcW w:type="dxa" w:w="936"/>
          </w:tcPr>
          <w:p>
            <w:pPr>
              <w:jc w:val="center"/>
            </w:pPr>
            <w:r/>
            <w:r>
              <w:rPr>
                <w:rFonts w:ascii="Times New Roman" w:hAnsi="Times New Roman"/>
                <w:sz w:val="18"/>
              </w:rPr>
              <w:t>4.06</w:t>
            </w:r>
          </w:p>
        </w:tc>
      </w:tr>
      <w:tr>
        <w:tc>
          <w:tcPr>
            <w:tcW w:type="dxa" w:w="936"/>
          </w:tcPr>
          <w:p>
            <w:pPr>
              <w:jc w:val="center"/>
            </w:pPr>
            <w:r/>
            <w:r>
              <w:rPr>
                <w:rFonts w:ascii="Times New Roman" w:hAnsi="Times New Roman"/>
                <w:sz w:val="18"/>
              </w:rPr>
              <w:t>M0105</w:t>
            </w:r>
          </w:p>
        </w:tc>
        <w:tc>
          <w:tcPr>
            <w:tcW w:type="dxa" w:w="936"/>
          </w:tcPr>
          <w:p>
            <w:pPr>
              <w:jc w:val="center"/>
            </w:pPr>
            <w:r/>
            <w:r>
              <w:rPr>
                <w:rFonts w:ascii="Times New Roman" w:hAnsi="Times New Roman"/>
                <w:sz w:val="18"/>
              </w:rPr>
              <w:t>OTAVALO</w:t>
            </w:r>
          </w:p>
        </w:tc>
        <w:tc>
          <w:tcPr>
            <w:tcW w:type="dxa" w:w="936"/>
          </w:tcPr>
          <w:p>
            <w:pPr>
              <w:jc w:val="center"/>
            </w:pPr>
            <w:r/>
            <w:r>
              <w:rPr>
                <w:rFonts w:ascii="Times New Roman" w:hAnsi="Times New Roman"/>
                <w:sz w:val="18"/>
              </w:rPr>
              <w:t>2550</w:t>
            </w:r>
          </w:p>
        </w:tc>
        <w:tc>
          <w:tcPr>
            <w:tcW w:type="dxa" w:w="936"/>
          </w:tcPr>
          <w:p>
            <w:pPr>
              <w:jc w:val="center"/>
            </w:pPr>
            <w:r/>
            <w:r>
              <w:rPr>
                <w:rFonts w:ascii="Times New Roman" w:hAnsi="Times New Roman"/>
                <w:sz w:val="18"/>
              </w:rPr>
              <w:t>986.1</w:t>
            </w:r>
          </w:p>
        </w:tc>
        <w:tc>
          <w:tcPr>
            <w:tcW w:type="dxa" w:w="936"/>
          </w:tcPr>
          <w:p>
            <w:pPr>
              <w:jc w:val="center"/>
            </w:pPr>
            <w:r/>
            <w:r>
              <w:rPr>
                <w:rFonts w:ascii="Times New Roman" w:hAnsi="Times New Roman"/>
                <w:sz w:val="18"/>
              </w:rPr>
              <w:t>6.43</w:t>
            </w:r>
          </w:p>
        </w:tc>
        <w:tc>
          <w:tcPr>
            <w:tcW w:type="dxa" w:w="936"/>
          </w:tcPr>
          <w:p>
            <w:pPr>
              <w:jc w:val="center"/>
            </w:pPr>
            <w:r/>
            <w:r>
              <w:rPr>
                <w:rFonts w:ascii="Times New Roman" w:hAnsi="Times New Roman"/>
                <w:sz w:val="18"/>
              </w:rPr>
              <w:t>61.29</w:t>
            </w:r>
          </w:p>
        </w:tc>
        <w:tc>
          <w:tcPr>
            <w:tcW w:type="dxa" w:w="936"/>
          </w:tcPr>
          <w:p>
            <w:pPr>
              <w:jc w:val="center"/>
            </w:pPr>
            <w:r/>
            <w:r>
              <w:rPr>
                <w:rFonts w:ascii="Times New Roman" w:hAnsi="Times New Roman"/>
                <w:sz w:val="18"/>
              </w:rPr>
              <w:t>81.87</w:t>
            </w:r>
          </w:p>
        </w:tc>
        <w:tc>
          <w:tcPr>
            <w:tcW w:type="dxa" w:w="936"/>
          </w:tcPr>
          <w:p>
            <w:pPr>
              <w:jc w:val="center"/>
            </w:pPr>
            <w:r/>
            <w:r>
              <w:rPr>
                <w:rFonts w:ascii="Times New Roman" w:hAnsi="Times New Roman"/>
                <w:sz w:val="18"/>
              </w:rPr>
              <w:t>1.55</w:t>
            </w:r>
          </w:p>
        </w:tc>
        <w:tc>
          <w:tcPr>
            <w:tcW w:type="dxa" w:w="936"/>
          </w:tcPr>
          <w:p>
            <w:pPr>
              <w:jc w:val="center"/>
            </w:pPr>
            <w:r/>
            <w:r>
              <w:rPr>
                <w:rFonts w:ascii="Times New Roman" w:hAnsi="Times New Roman"/>
                <w:sz w:val="18"/>
              </w:rPr>
              <w:t>12.48</w:t>
            </w:r>
          </w:p>
        </w:tc>
        <w:tc>
          <w:tcPr>
            <w:tcW w:type="dxa" w:w="936"/>
          </w:tcPr>
          <w:p>
            <w:pPr>
              <w:jc w:val="center"/>
            </w:pPr>
            <w:r/>
            <w:r>
              <w:rPr>
                <w:rFonts w:ascii="Times New Roman" w:hAnsi="Times New Roman"/>
                <w:sz w:val="18"/>
              </w:rPr>
              <w:t>0.74</w:t>
            </w:r>
          </w:p>
        </w:tc>
      </w:tr>
      <w:tr>
        <w:tc>
          <w:tcPr>
            <w:tcW w:type="dxa" w:w="936"/>
          </w:tcPr>
          <w:p>
            <w:pPr>
              <w:jc w:val="center"/>
            </w:pPr>
            <w:r/>
            <w:r>
              <w:rPr>
                <w:rFonts w:ascii="Times New Roman" w:hAnsi="Times New Roman"/>
                <w:sz w:val="18"/>
              </w:rPr>
              <w:t>M0328</w:t>
            </w:r>
          </w:p>
        </w:tc>
        <w:tc>
          <w:tcPr>
            <w:tcW w:type="dxa" w:w="936"/>
          </w:tcPr>
          <w:p>
            <w:pPr>
              <w:jc w:val="center"/>
            </w:pPr>
            <w:r/>
            <w:r>
              <w:rPr>
                <w:rFonts w:ascii="Times New Roman" w:hAnsi="Times New Roman"/>
                <w:sz w:val="18"/>
              </w:rPr>
              <w:t>HDA_MARIA_LETICIA</w:t>
            </w:r>
          </w:p>
        </w:tc>
        <w:tc>
          <w:tcPr>
            <w:tcW w:type="dxa" w:w="936"/>
          </w:tcPr>
          <w:p>
            <w:pPr>
              <w:jc w:val="center"/>
            </w:pPr>
            <w:r/>
            <w:r>
              <w:rPr>
                <w:rFonts w:ascii="Times New Roman" w:hAnsi="Times New Roman"/>
                <w:sz w:val="18"/>
              </w:rPr>
              <w:t>2600</w:t>
            </w:r>
          </w:p>
        </w:tc>
        <w:tc>
          <w:tcPr>
            <w:tcW w:type="dxa" w:w="936"/>
          </w:tcPr>
          <w:p>
            <w:pPr>
              <w:jc w:val="center"/>
            </w:pPr>
            <w:r/>
            <w:r>
              <w:rPr>
                <w:rFonts w:ascii="Times New Roman" w:hAnsi="Times New Roman"/>
                <w:sz w:val="18"/>
              </w:rPr>
              <w:t>1026.8</w:t>
            </w:r>
          </w:p>
        </w:tc>
        <w:tc>
          <w:tcPr>
            <w:tcW w:type="dxa" w:w="936"/>
          </w:tcPr>
          <w:p>
            <w:pPr>
              <w:jc w:val="center"/>
            </w:pPr>
            <w:r/>
            <w:r>
              <w:rPr>
                <w:rFonts w:ascii="Times New Roman" w:hAnsi="Times New Roman"/>
                <w:sz w:val="18"/>
              </w:rPr>
              <w:t>9.68</w:t>
            </w:r>
          </w:p>
        </w:tc>
        <w:tc>
          <w:tcPr>
            <w:tcW w:type="dxa" w:w="936"/>
          </w:tcPr>
          <w:p>
            <w:pPr>
              <w:jc w:val="center"/>
            </w:pPr>
            <w:r/>
            <w:r>
              <w:rPr>
                <w:rFonts w:ascii="Times New Roman" w:hAnsi="Times New Roman"/>
                <w:sz w:val="18"/>
              </w:rPr>
              <w:t>63.38</w:t>
            </w:r>
          </w:p>
        </w:tc>
        <w:tc>
          <w:tcPr>
            <w:tcW w:type="dxa" w:w="936"/>
          </w:tcPr>
          <w:p>
            <w:pPr>
              <w:jc w:val="center"/>
            </w:pPr>
            <w:r/>
            <w:r>
              <w:rPr>
                <w:rFonts w:ascii="Times New Roman" w:hAnsi="Times New Roman"/>
                <w:sz w:val="18"/>
              </w:rPr>
              <w:t>81.93</w:t>
            </w:r>
          </w:p>
        </w:tc>
        <w:tc>
          <w:tcPr>
            <w:tcW w:type="dxa" w:w="936"/>
          </w:tcPr>
          <w:p>
            <w:pPr>
              <w:jc w:val="center"/>
            </w:pPr>
            <w:r/>
            <w:r>
              <w:rPr>
                <w:rFonts w:ascii="Times New Roman" w:hAnsi="Times New Roman"/>
                <w:sz w:val="18"/>
              </w:rPr>
              <w:t>1.63</w:t>
            </w:r>
          </w:p>
        </w:tc>
        <w:tc>
          <w:tcPr>
            <w:tcW w:type="dxa" w:w="936"/>
          </w:tcPr>
          <w:p>
            <w:pPr>
              <w:jc w:val="center"/>
            </w:pPr>
            <w:r/>
            <w:r>
              <w:rPr>
                <w:rFonts w:ascii="Times New Roman" w:hAnsi="Times New Roman"/>
                <w:sz w:val="18"/>
              </w:rPr>
              <w:t>15.35</w:t>
            </w:r>
          </w:p>
        </w:tc>
        <w:tc>
          <w:tcPr>
            <w:tcW w:type="dxa" w:w="936"/>
          </w:tcPr>
          <w:p>
            <w:pPr>
              <w:jc w:val="center"/>
            </w:pPr>
            <w:r/>
            <w:r>
              <w:rPr>
                <w:rFonts w:ascii="Times New Roman" w:hAnsi="Times New Roman"/>
                <w:sz w:val="18"/>
              </w:rPr>
              <w:t>4.06</w:t>
            </w:r>
          </w:p>
        </w:tc>
      </w:tr>
      <w:tr>
        <w:tc>
          <w:tcPr>
            <w:tcW w:type="dxa" w:w="936"/>
          </w:tcPr>
          <w:p>
            <w:pPr>
              <w:jc w:val="center"/>
            </w:pPr>
            <w:r/>
            <w:r>
              <w:rPr>
                <w:rFonts w:ascii="Times New Roman" w:hAnsi="Times New Roman"/>
                <w:sz w:val="18"/>
              </w:rPr>
              <w:t>M0909</w:t>
            </w:r>
          </w:p>
        </w:tc>
        <w:tc>
          <w:tcPr>
            <w:tcW w:type="dxa" w:w="936"/>
          </w:tcPr>
          <w:p>
            <w:pPr>
              <w:jc w:val="center"/>
            </w:pPr>
            <w:r/>
            <w:r>
              <w:rPr>
                <w:rFonts w:ascii="Times New Roman" w:hAnsi="Times New Roman"/>
                <w:sz w:val="18"/>
              </w:rPr>
              <w:t>GUALSAQUI</w:t>
            </w:r>
          </w:p>
        </w:tc>
        <w:tc>
          <w:tcPr>
            <w:tcW w:type="dxa" w:w="936"/>
          </w:tcPr>
          <w:p>
            <w:pPr>
              <w:jc w:val="center"/>
            </w:pPr>
            <w:r/>
            <w:r>
              <w:rPr>
                <w:rFonts w:ascii="Times New Roman" w:hAnsi="Times New Roman"/>
                <w:sz w:val="18"/>
              </w:rPr>
              <w:t>2710</w:t>
            </w:r>
          </w:p>
        </w:tc>
        <w:tc>
          <w:tcPr>
            <w:tcW w:type="dxa" w:w="936"/>
          </w:tcPr>
          <w:p>
            <w:pPr>
              <w:jc w:val="center"/>
            </w:pPr>
            <w:r/>
            <w:r>
              <w:rPr>
                <w:rFonts w:ascii="Times New Roman" w:hAnsi="Times New Roman"/>
                <w:sz w:val="18"/>
              </w:rPr>
              <w:t>1421.6</w:t>
            </w:r>
          </w:p>
        </w:tc>
        <w:tc>
          <w:tcPr>
            <w:tcW w:type="dxa" w:w="936"/>
          </w:tcPr>
          <w:p>
            <w:pPr>
              <w:jc w:val="center"/>
            </w:pPr>
            <w:r/>
            <w:r>
              <w:rPr>
                <w:rFonts w:ascii="Times New Roman" w:hAnsi="Times New Roman"/>
                <w:sz w:val="18"/>
              </w:rPr>
              <w:t>14.1</w:t>
            </w:r>
          </w:p>
        </w:tc>
        <w:tc>
          <w:tcPr>
            <w:tcW w:type="dxa" w:w="936"/>
          </w:tcPr>
          <w:p>
            <w:pPr>
              <w:jc w:val="center"/>
            </w:pPr>
            <w:r/>
            <w:r>
              <w:rPr>
                <w:rFonts w:ascii="Times New Roman" w:hAnsi="Times New Roman"/>
                <w:sz w:val="18"/>
              </w:rPr>
              <w:t>93.05</w:t>
            </w:r>
          </w:p>
        </w:tc>
        <w:tc>
          <w:tcPr>
            <w:tcW w:type="dxa" w:w="936"/>
          </w:tcPr>
          <w:p>
            <w:pPr>
              <w:jc w:val="center"/>
            </w:pPr>
            <w:r/>
            <w:r>
              <w:rPr>
                <w:rFonts w:ascii="Times New Roman" w:hAnsi="Times New Roman"/>
                <w:sz w:val="18"/>
              </w:rPr>
              <w:t>80.47</w:t>
            </w:r>
          </w:p>
        </w:tc>
        <w:tc>
          <w:tcPr>
            <w:tcW w:type="dxa" w:w="936"/>
          </w:tcPr>
          <w:p>
            <w:pPr>
              <w:jc w:val="center"/>
            </w:pPr>
            <w:r/>
            <w:r>
              <w:rPr>
                <w:rFonts w:ascii="Times New Roman" w:hAnsi="Times New Roman"/>
                <w:sz w:val="18"/>
              </w:rPr>
              <w:t>1.7</w:t>
            </w:r>
          </w:p>
        </w:tc>
        <w:tc>
          <w:tcPr>
            <w:tcW w:type="dxa" w:w="936"/>
          </w:tcPr>
          <w:p>
            <w:pPr>
              <w:jc w:val="center"/>
            </w:pPr>
            <w:r/>
            <w:r>
              <w:rPr>
                <w:rFonts w:ascii="Times New Roman" w:hAnsi="Times New Roman"/>
                <w:sz w:val="18"/>
              </w:rPr>
              <w:t>20.57</w:t>
            </w:r>
          </w:p>
        </w:tc>
        <w:tc>
          <w:tcPr>
            <w:tcW w:type="dxa" w:w="936"/>
          </w:tcPr>
          <w:p>
            <w:pPr>
              <w:jc w:val="center"/>
            </w:pPr>
            <w:r/>
            <w:r>
              <w:rPr>
                <w:rFonts w:ascii="Times New Roman" w:hAnsi="Times New Roman"/>
                <w:sz w:val="18"/>
              </w:rPr>
              <w:t>7.6</w:t>
            </w:r>
          </w:p>
        </w:tc>
      </w:tr>
      <w:tr>
        <w:tc>
          <w:tcPr>
            <w:tcW w:type="dxa" w:w="936"/>
          </w:tcPr>
          <w:p>
            <w:pPr>
              <w:jc w:val="center"/>
            </w:pPr>
            <w:r/>
            <w:r>
              <w:rPr>
                <w:rFonts w:ascii="Times New Roman" w:hAnsi="Times New Roman"/>
                <w:sz w:val="18"/>
              </w:rPr>
              <w:t>M0321</w:t>
            </w:r>
          </w:p>
        </w:tc>
        <w:tc>
          <w:tcPr>
            <w:tcW w:type="dxa" w:w="936"/>
          </w:tcPr>
          <w:p>
            <w:pPr>
              <w:jc w:val="center"/>
            </w:pPr>
            <w:r/>
            <w:r>
              <w:rPr>
                <w:rFonts w:ascii="Times New Roman" w:hAnsi="Times New Roman"/>
                <w:sz w:val="18"/>
              </w:rPr>
              <w:t>TOPO_IMBABURA</w:t>
            </w:r>
          </w:p>
        </w:tc>
        <w:tc>
          <w:tcPr>
            <w:tcW w:type="dxa" w:w="936"/>
          </w:tcPr>
          <w:p>
            <w:pPr>
              <w:jc w:val="center"/>
            </w:pPr>
            <w:r/>
            <w:r>
              <w:rPr>
                <w:rFonts w:ascii="Times New Roman" w:hAnsi="Times New Roman"/>
                <w:sz w:val="18"/>
              </w:rPr>
              <w:t>2860</w:t>
            </w:r>
          </w:p>
        </w:tc>
        <w:tc>
          <w:tcPr>
            <w:tcW w:type="dxa" w:w="936"/>
          </w:tcPr>
          <w:p>
            <w:pPr>
              <w:jc w:val="center"/>
            </w:pPr>
            <w:r/>
            <w:r>
              <w:rPr>
                <w:rFonts w:ascii="Times New Roman" w:hAnsi="Times New Roman"/>
                <w:sz w:val="18"/>
              </w:rPr>
              <w:t>944.3</w:t>
            </w:r>
          </w:p>
        </w:tc>
        <w:tc>
          <w:tcPr>
            <w:tcW w:type="dxa" w:w="936"/>
          </w:tcPr>
          <w:p>
            <w:pPr>
              <w:jc w:val="center"/>
            </w:pPr>
            <w:r/>
            <w:r>
              <w:rPr>
                <w:rFonts w:ascii="Times New Roman" w:hAnsi="Times New Roman"/>
                <w:sz w:val="18"/>
              </w:rPr>
              <w:t>6.43</w:t>
            </w:r>
          </w:p>
        </w:tc>
        <w:tc>
          <w:tcPr>
            <w:tcW w:type="dxa" w:w="936"/>
          </w:tcPr>
          <w:p>
            <w:pPr>
              <w:jc w:val="center"/>
            </w:pPr>
            <w:r/>
            <w:r>
              <w:rPr>
                <w:rFonts w:ascii="Times New Roman" w:hAnsi="Times New Roman"/>
                <w:sz w:val="18"/>
              </w:rPr>
              <w:t>56.49</w:t>
            </w:r>
          </w:p>
        </w:tc>
        <w:tc>
          <w:tcPr>
            <w:tcW w:type="dxa" w:w="936"/>
          </w:tcPr>
          <w:p>
            <w:pPr>
              <w:jc w:val="center"/>
            </w:pPr>
            <w:r/>
            <w:r>
              <w:rPr>
                <w:rFonts w:ascii="Times New Roman" w:hAnsi="Times New Roman"/>
                <w:sz w:val="18"/>
              </w:rPr>
              <w:t>81.87</w:t>
            </w:r>
          </w:p>
        </w:tc>
        <w:tc>
          <w:tcPr>
            <w:tcW w:type="dxa" w:w="936"/>
          </w:tcPr>
          <w:p>
            <w:pPr>
              <w:jc w:val="center"/>
            </w:pPr>
            <w:r/>
            <w:r>
              <w:rPr>
                <w:rFonts w:ascii="Times New Roman" w:hAnsi="Times New Roman"/>
                <w:sz w:val="18"/>
              </w:rPr>
              <w:t>1.39</w:t>
            </w:r>
          </w:p>
        </w:tc>
        <w:tc>
          <w:tcPr>
            <w:tcW w:type="dxa" w:w="936"/>
          </w:tcPr>
          <w:p>
            <w:pPr>
              <w:jc w:val="center"/>
            </w:pPr>
            <w:r/>
            <w:r>
              <w:rPr>
                <w:rFonts w:ascii="Times New Roman" w:hAnsi="Times New Roman"/>
                <w:sz w:val="18"/>
              </w:rPr>
              <w:t>12.48</w:t>
            </w:r>
          </w:p>
        </w:tc>
        <w:tc>
          <w:tcPr>
            <w:tcW w:type="dxa" w:w="936"/>
          </w:tcPr>
          <w:p>
            <w:pPr>
              <w:jc w:val="center"/>
            </w:pPr>
            <w:r/>
            <w:r>
              <w:rPr>
                <w:rFonts w:ascii="Times New Roman" w:hAnsi="Times New Roman"/>
                <w:sz w:val="18"/>
              </w:rPr>
              <w:t>0.74</w:t>
            </w:r>
          </w:p>
        </w:tc>
      </w:tr>
      <w:tr>
        <w:tc>
          <w:tcPr>
            <w:tcW w:type="dxa" w:w="936"/>
          </w:tcPr>
          <w:p>
            <w:pPr>
              <w:jc w:val="center"/>
            </w:pPr>
            <w:r/>
            <w:r>
              <w:rPr>
                <w:rFonts w:ascii="Times New Roman" w:hAnsi="Times New Roman"/>
                <w:sz w:val="18"/>
              </w:rPr>
              <w:t>M0103</w:t>
            </w:r>
          </w:p>
        </w:tc>
        <w:tc>
          <w:tcPr>
            <w:tcW w:type="dxa" w:w="936"/>
          </w:tcPr>
          <w:p>
            <w:pPr>
              <w:jc w:val="center"/>
            </w:pPr>
            <w:r/>
            <w:r>
              <w:rPr>
                <w:rFonts w:ascii="Times New Roman" w:hAnsi="Times New Roman"/>
                <w:sz w:val="18"/>
              </w:rPr>
              <w:t>SAN_GABRIEL</w:t>
            </w:r>
          </w:p>
        </w:tc>
        <w:tc>
          <w:tcPr>
            <w:tcW w:type="dxa" w:w="936"/>
          </w:tcPr>
          <w:p>
            <w:pPr>
              <w:jc w:val="center"/>
            </w:pPr>
            <w:r/>
            <w:r>
              <w:rPr>
                <w:rFonts w:ascii="Times New Roman" w:hAnsi="Times New Roman"/>
                <w:sz w:val="18"/>
              </w:rPr>
              <w:t>2860</w:t>
            </w:r>
          </w:p>
        </w:tc>
        <w:tc>
          <w:tcPr>
            <w:tcW w:type="dxa" w:w="936"/>
          </w:tcPr>
          <w:p>
            <w:pPr>
              <w:jc w:val="center"/>
            </w:pPr>
            <w:r/>
            <w:r>
              <w:rPr>
                <w:rFonts w:ascii="Times New Roman" w:hAnsi="Times New Roman"/>
                <w:sz w:val="18"/>
              </w:rPr>
              <w:t>3136.4</w:t>
            </w:r>
          </w:p>
        </w:tc>
        <w:tc>
          <w:tcPr>
            <w:tcW w:type="dxa" w:w="936"/>
          </w:tcPr>
          <w:p>
            <w:pPr>
              <w:jc w:val="center"/>
            </w:pPr>
            <w:r/>
            <w:r>
              <w:rPr>
                <w:rFonts w:ascii="Times New Roman" w:hAnsi="Times New Roman"/>
                <w:sz w:val="18"/>
              </w:rPr>
              <w:t>15.11</w:t>
            </w:r>
          </w:p>
        </w:tc>
        <w:tc>
          <w:tcPr>
            <w:tcW w:type="dxa" w:w="936"/>
          </w:tcPr>
          <w:p>
            <w:pPr>
              <w:jc w:val="center"/>
            </w:pPr>
            <w:r/>
            <w:r>
              <w:rPr>
                <w:rFonts w:ascii="Times New Roman" w:hAnsi="Times New Roman"/>
                <w:sz w:val="18"/>
              </w:rPr>
              <w:t>68.64</w:t>
            </w:r>
          </w:p>
        </w:tc>
        <w:tc>
          <w:tcPr>
            <w:tcW w:type="dxa" w:w="936"/>
          </w:tcPr>
          <w:p>
            <w:pPr>
              <w:jc w:val="center"/>
            </w:pPr>
            <w:r/>
            <w:r>
              <w:rPr>
                <w:rFonts w:ascii="Times New Roman" w:hAnsi="Times New Roman"/>
                <w:sz w:val="18"/>
              </w:rPr>
              <w:t>88.84</w:t>
            </w:r>
          </w:p>
        </w:tc>
        <w:tc>
          <w:tcPr>
            <w:tcW w:type="dxa" w:w="936"/>
          </w:tcPr>
          <w:p>
            <w:pPr>
              <w:jc w:val="center"/>
            </w:pPr>
            <w:r/>
            <w:r>
              <w:rPr>
                <w:rFonts w:ascii="Times New Roman" w:hAnsi="Times New Roman"/>
                <w:sz w:val="18"/>
              </w:rPr>
              <w:t>1.49</w:t>
            </w:r>
          </w:p>
        </w:tc>
        <w:tc>
          <w:tcPr>
            <w:tcW w:type="dxa" w:w="936"/>
          </w:tcPr>
          <w:p>
            <w:pPr>
              <w:jc w:val="center"/>
            </w:pPr>
            <w:r/>
            <w:r>
              <w:rPr>
                <w:rFonts w:ascii="Times New Roman" w:hAnsi="Times New Roman"/>
                <w:sz w:val="18"/>
              </w:rPr>
              <w:t>21.66</w:t>
            </w:r>
          </w:p>
        </w:tc>
        <w:tc>
          <w:tcPr>
            <w:tcW w:type="dxa" w:w="936"/>
          </w:tcPr>
          <w:p>
            <w:pPr>
              <w:jc w:val="center"/>
            </w:pPr>
            <w:r/>
            <w:r>
              <w:rPr>
                <w:rFonts w:ascii="Times New Roman" w:hAnsi="Times New Roman"/>
                <w:sz w:val="18"/>
              </w:rPr>
              <w:t>9.47</w:t>
            </w:r>
          </w:p>
        </w:tc>
      </w:tr>
      <w:tr>
        <w:tc>
          <w:tcPr>
            <w:tcW w:type="dxa" w:w="936"/>
          </w:tcPr>
          <w:p>
            <w:pPr>
              <w:jc w:val="center"/>
            </w:pPr>
            <w:r/>
            <w:r>
              <w:rPr>
                <w:rFonts w:ascii="Times New Roman" w:hAnsi="Times New Roman"/>
                <w:sz w:val="18"/>
              </w:rPr>
              <w:t>M0310</w:t>
            </w:r>
          </w:p>
        </w:tc>
        <w:tc>
          <w:tcPr>
            <w:tcW w:type="dxa" w:w="936"/>
          </w:tcPr>
          <w:p>
            <w:pPr>
              <w:jc w:val="center"/>
            </w:pPr>
            <w:r/>
            <w:r>
              <w:rPr>
                <w:rFonts w:ascii="Times New Roman" w:hAnsi="Times New Roman"/>
                <w:sz w:val="18"/>
              </w:rPr>
              <w:t>MARIANO_ACOSTA</w:t>
            </w:r>
          </w:p>
        </w:tc>
        <w:tc>
          <w:tcPr>
            <w:tcW w:type="dxa" w:w="936"/>
          </w:tcPr>
          <w:p>
            <w:pPr>
              <w:jc w:val="center"/>
            </w:pPr>
            <w:r/>
            <w:r>
              <w:rPr>
                <w:rFonts w:ascii="Times New Roman" w:hAnsi="Times New Roman"/>
                <w:sz w:val="18"/>
              </w:rPr>
              <w:t>2980</w:t>
            </w:r>
          </w:p>
        </w:tc>
        <w:tc>
          <w:tcPr>
            <w:tcW w:type="dxa" w:w="936"/>
          </w:tcPr>
          <w:p>
            <w:pPr>
              <w:jc w:val="center"/>
            </w:pPr>
            <w:r/>
            <w:r>
              <w:rPr>
                <w:rFonts w:ascii="Times New Roman" w:hAnsi="Times New Roman"/>
                <w:sz w:val="18"/>
              </w:rPr>
              <w:t>1639.7</w:t>
            </w:r>
          </w:p>
        </w:tc>
        <w:tc>
          <w:tcPr>
            <w:tcW w:type="dxa" w:w="936"/>
          </w:tcPr>
          <w:p>
            <w:pPr>
              <w:jc w:val="center"/>
            </w:pPr>
            <w:r/>
            <w:r>
              <w:rPr>
                <w:rFonts w:ascii="Times New Roman" w:hAnsi="Times New Roman"/>
                <w:sz w:val="18"/>
              </w:rPr>
              <w:t>8.99</w:t>
            </w:r>
          </w:p>
        </w:tc>
        <w:tc>
          <w:tcPr>
            <w:tcW w:type="dxa" w:w="936"/>
          </w:tcPr>
          <w:p>
            <w:pPr>
              <w:jc w:val="center"/>
            </w:pPr>
            <w:r/>
            <w:r>
              <w:rPr>
                <w:rFonts w:ascii="Times New Roman" w:hAnsi="Times New Roman"/>
                <w:sz w:val="18"/>
              </w:rPr>
              <w:t>56.81</w:t>
            </w:r>
          </w:p>
        </w:tc>
        <w:tc>
          <w:tcPr>
            <w:tcW w:type="dxa" w:w="936"/>
          </w:tcPr>
          <w:p>
            <w:pPr>
              <w:jc w:val="center"/>
            </w:pPr>
            <w:r/>
            <w:r>
              <w:rPr>
                <w:rFonts w:ascii="Times New Roman" w:hAnsi="Times New Roman"/>
                <w:sz w:val="18"/>
              </w:rPr>
              <w:t>87.93</w:t>
            </w:r>
          </w:p>
        </w:tc>
        <w:tc>
          <w:tcPr>
            <w:tcW w:type="dxa" w:w="936"/>
          </w:tcPr>
          <w:p>
            <w:pPr>
              <w:jc w:val="center"/>
            </w:pPr>
            <w:r/>
            <w:r>
              <w:rPr>
                <w:rFonts w:ascii="Times New Roman" w:hAnsi="Times New Roman"/>
                <w:sz w:val="18"/>
              </w:rPr>
              <w:t>1.45</w:t>
            </w:r>
          </w:p>
        </w:tc>
        <w:tc>
          <w:tcPr>
            <w:tcW w:type="dxa" w:w="936"/>
          </w:tcPr>
          <w:p>
            <w:pPr>
              <w:jc w:val="center"/>
            </w:pPr>
            <w:r/>
            <w:r>
              <w:rPr>
                <w:rFonts w:ascii="Times New Roman" w:hAnsi="Times New Roman"/>
                <w:sz w:val="18"/>
              </w:rPr>
              <w:t>14.73</w:t>
            </w:r>
          </w:p>
        </w:tc>
        <w:tc>
          <w:tcPr>
            <w:tcW w:type="dxa" w:w="936"/>
          </w:tcPr>
          <w:p>
            <w:pPr>
              <w:jc w:val="center"/>
            </w:pPr>
            <w:r/>
            <w:r>
              <w:rPr>
                <w:rFonts w:ascii="Times New Roman" w:hAnsi="Times New Roman"/>
                <w:sz w:val="18"/>
              </w:rPr>
              <w:t>3.6</w:t>
            </w:r>
          </w:p>
        </w:tc>
      </w:tr>
      <w:tr>
        <w:tc>
          <w:tcPr>
            <w:tcW w:type="dxa" w:w="936"/>
          </w:tcPr>
          <w:p>
            <w:pPr>
              <w:jc w:val="center"/>
            </w:pPr>
            <w:r/>
            <w:r>
              <w:rPr>
                <w:rFonts w:ascii="Times New Roman" w:hAnsi="Times New Roman"/>
                <w:sz w:val="18"/>
              </w:rPr>
              <w:t>M0001</w:t>
            </w:r>
          </w:p>
        </w:tc>
        <w:tc>
          <w:tcPr>
            <w:tcW w:type="dxa" w:w="936"/>
          </w:tcPr>
          <w:p>
            <w:pPr>
              <w:jc w:val="center"/>
            </w:pPr>
            <w:r/>
            <w:r>
              <w:rPr>
                <w:rFonts w:ascii="Times New Roman" w:hAnsi="Times New Roman"/>
                <w:sz w:val="18"/>
              </w:rPr>
              <w:t>INGUINCHO</w:t>
            </w:r>
          </w:p>
        </w:tc>
        <w:tc>
          <w:tcPr>
            <w:tcW w:type="dxa" w:w="936"/>
          </w:tcPr>
          <w:p>
            <w:pPr>
              <w:jc w:val="center"/>
            </w:pPr>
            <w:r/>
            <w:r>
              <w:rPr>
                <w:rFonts w:ascii="Times New Roman" w:hAnsi="Times New Roman"/>
                <w:sz w:val="18"/>
              </w:rPr>
              <w:t>3140</w:t>
            </w:r>
          </w:p>
        </w:tc>
        <w:tc>
          <w:tcPr>
            <w:tcW w:type="dxa" w:w="936"/>
          </w:tcPr>
          <w:p>
            <w:pPr>
              <w:jc w:val="center"/>
            </w:pPr>
            <w:r/>
            <w:r>
              <w:rPr>
                <w:rFonts w:ascii="Times New Roman" w:hAnsi="Times New Roman"/>
                <w:sz w:val="18"/>
              </w:rPr>
              <w:t>1396.4</w:t>
            </w:r>
          </w:p>
        </w:tc>
        <w:tc>
          <w:tcPr>
            <w:tcW w:type="dxa" w:w="936"/>
          </w:tcPr>
          <w:p>
            <w:pPr>
              <w:jc w:val="center"/>
            </w:pPr>
            <w:r/>
            <w:r>
              <w:rPr>
                <w:rFonts w:ascii="Times New Roman" w:hAnsi="Times New Roman"/>
                <w:sz w:val="18"/>
              </w:rPr>
              <w:t>14.1</w:t>
            </w:r>
          </w:p>
        </w:tc>
        <w:tc>
          <w:tcPr>
            <w:tcW w:type="dxa" w:w="936"/>
          </w:tcPr>
          <w:p>
            <w:pPr>
              <w:jc w:val="center"/>
            </w:pPr>
            <w:r/>
            <w:r>
              <w:rPr>
                <w:rFonts w:ascii="Times New Roman" w:hAnsi="Times New Roman"/>
                <w:sz w:val="18"/>
              </w:rPr>
              <w:t>93.3</w:t>
            </w:r>
          </w:p>
        </w:tc>
        <w:tc>
          <w:tcPr>
            <w:tcW w:type="dxa" w:w="936"/>
          </w:tcPr>
          <w:p>
            <w:pPr>
              <w:jc w:val="center"/>
            </w:pPr>
            <w:r/>
            <w:r>
              <w:rPr>
                <w:rFonts w:ascii="Times New Roman" w:hAnsi="Times New Roman"/>
                <w:sz w:val="18"/>
              </w:rPr>
              <w:t>80.47</w:t>
            </w:r>
          </w:p>
        </w:tc>
        <w:tc>
          <w:tcPr>
            <w:tcW w:type="dxa" w:w="936"/>
          </w:tcPr>
          <w:p>
            <w:pPr>
              <w:jc w:val="center"/>
            </w:pPr>
            <w:r/>
            <w:r>
              <w:rPr>
                <w:rFonts w:ascii="Times New Roman" w:hAnsi="Times New Roman"/>
                <w:sz w:val="18"/>
              </w:rPr>
              <w:t>1.8</w:t>
            </w:r>
          </w:p>
        </w:tc>
        <w:tc>
          <w:tcPr>
            <w:tcW w:type="dxa" w:w="936"/>
          </w:tcPr>
          <w:p>
            <w:pPr>
              <w:jc w:val="center"/>
            </w:pPr>
            <w:r/>
            <w:r>
              <w:rPr>
                <w:rFonts w:ascii="Times New Roman" w:hAnsi="Times New Roman"/>
                <w:sz w:val="18"/>
              </w:rPr>
              <w:t>20.57</w:t>
            </w:r>
          </w:p>
        </w:tc>
        <w:tc>
          <w:tcPr>
            <w:tcW w:type="dxa" w:w="936"/>
          </w:tcPr>
          <w:p>
            <w:pPr>
              <w:jc w:val="center"/>
            </w:pPr>
            <w:r/>
            <w:r>
              <w:rPr>
                <w:rFonts w:ascii="Times New Roman" w:hAnsi="Times New Roman"/>
                <w:sz w:val="18"/>
              </w:rPr>
              <w:t>7.6</w:t>
            </w:r>
          </w:p>
        </w:tc>
      </w:tr>
    </w:tbl>
    <w:p>
      <w:pPr>
        <w:spacing w:after="240" w:line="480" w:lineRule="auto"/>
        <w:jc w:val="both"/>
      </w:pPr>
      <w:r>
        <w:rPr>
          <w:rFonts w:ascii="Times New Roman" w:hAnsi="Times New Roman"/>
          <w:b w:val="0"/>
          <w:i w:val="0"/>
          <w:sz w:val="24"/>
        </w:rPr>
      </w:r>
    </w:p>
    <w:p>
      <w:pPr>
        <w:spacing w:after="120" w:line="360" w:lineRule="auto"/>
      </w:pPr>
      <w:r>
        <w:rPr>
          <w:rFonts w:ascii="Times New Roman" w:hAnsi="Times New Roman"/>
          <w:b/>
          <w:sz w:val="22"/>
        </w:rPr>
        <w:t>Table 7.</w:t>
      </w:r>
      <w:r>
        <w:rPr>
          <w:rFonts w:ascii="Times New Roman" w:hAnsi="Times New Roman"/>
          <w:sz w:val="22"/>
        </w:rPr>
        <w:t xml:space="preserve"> Projected change by the BASD-PE CMIP6 ensemble for 2041–2070 with respect to the 1991–2010 baseline, by variable and altitudinal band (B1 &lt; 2,000 m; B2 between 2,000 and 2,800 m; B3 &gt; 2,800 m). Median of the 10-GCM ensemble with inter-model interquartile range (IQR / 2 reported as ± in each cell) under SSP1-2.6, SSP3-7.0, and SSP5-8.5. Temperatures (Tmean, Tmax, Tmin) reported as absolute change in °C; precipitation and Hargreaves-Samani reference evapotranspiration (ET₀-HS) reported as relative change (%) with respect to baseline.</w:t>
      </w:r>
    </w:p>
    <w:tbl>
      <w:tblPr>
        <w:tblW w:w="900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Pr>
      <w:tblGrid>
        <w:gridCol w:w="1700"/>
        <w:gridCol w:w="1700"/>
        <w:gridCol w:w="1900"/>
        <w:gridCol w:w="1900"/>
        <w:gridCol w:w="1900"/>
      </w:tblGrid>
      <w:tr>
        <w:tc>
          <w:tcPr>
            <w:tcW w:w="1700" w:type="dxa"/>
            <w:shd w:val="clear" w:color="auto" w:fill="DBE5F1"/>
          </w:tcPr>
          <w:p>
            <w:pPr>
              <w:spacing w:after="0" w:line="240" w:lineRule="auto"/>
              <w:jc w:val="center"/>
            </w:pPr>
            <w:r>
              <w:rPr>
                <w:rFonts w:ascii="Times New Roman" w:hAnsi="Times New Roman"/>
                <w:b/>
                <w:sz w:val="20"/>
              </w:rPr>
              <w:t xml:space="preserve">Variable</w:t>
            </w:r>
          </w:p>
        </w:tc>
        <w:tc>
          <w:tcPr>
            <w:tcW w:w="1700" w:type="dxa"/>
            <w:shd w:val="clear" w:color="auto" w:fill="DBE5F1"/>
          </w:tcPr>
          <w:p>
            <w:pPr>
              <w:spacing w:after="0" w:line="240" w:lineRule="auto"/>
              <w:jc w:val="center"/>
            </w:pPr>
            <w:r>
              <w:rPr>
                <w:rFonts w:ascii="Times New Roman" w:hAnsi="Times New Roman"/>
                <w:b/>
                <w:sz w:val="20"/>
              </w:rPr>
              <w:t xml:space="preserve">Band</w:t>
            </w:r>
          </w:p>
        </w:tc>
        <w:tc>
          <w:tcPr>
            <w:tcW w:w="1700" w:type="dxa"/>
            <w:shd w:val="clear" w:color="auto" w:fill="DBE5F1"/>
          </w:tcPr>
          <w:p>
            <w:pPr>
              <w:spacing w:after="0" w:line="240" w:lineRule="auto"/>
              <w:jc w:val="center"/>
            </w:pPr>
            <w:r>
              <w:rPr>
                <w:rFonts w:ascii="Times New Roman" w:hAnsi="Times New Roman"/>
                <w:b/>
                <w:sz w:val="20"/>
              </w:rPr>
              <w:t xml:space="preserve">SSP1-2.6 (median ± IQR/2)</w:t>
            </w:r>
          </w:p>
        </w:tc>
        <w:tc>
          <w:tcPr>
            <w:tcW w:w="1700" w:type="dxa"/>
            <w:shd w:val="clear" w:color="auto" w:fill="DBE5F1"/>
          </w:tcPr>
          <w:p>
            <w:pPr>
              <w:spacing w:after="0" w:line="240" w:lineRule="auto"/>
              <w:jc w:val="center"/>
            </w:pPr>
            <w:r>
              <w:rPr>
                <w:rFonts w:ascii="Times New Roman" w:hAnsi="Times New Roman"/>
                <w:b/>
                <w:sz w:val="20"/>
              </w:rPr>
              <w:t xml:space="preserve">SSP3-7.0 (median ± IQR/2)</w:t>
            </w:r>
          </w:p>
        </w:tc>
        <w:tc>
          <w:tcPr>
            <w:tcW w:w="1700" w:type="dxa"/>
            <w:shd w:val="clear" w:color="auto" w:fill="DBE5F1"/>
          </w:tcPr>
          <w:p>
            <w:pPr>
              <w:spacing w:after="0" w:line="240" w:lineRule="auto"/>
              <w:jc w:val="center"/>
            </w:pPr>
            <w:r>
              <w:rPr>
                <w:rFonts w:ascii="Times New Roman" w:hAnsi="Times New Roman"/>
                <w:b/>
                <w:sz w:val="20"/>
              </w:rPr>
              <w:t xml:space="preserve">SSP5-8.5 (median ± IQR/2)</w:t>
            </w:r>
          </w:p>
        </w:tc>
      </w:tr>
      <w:tr>
        <w:tc>
          <w:tcPr>
            <w:tcW w:w="1700" w:type="dxa"/>
          </w:tcPr>
          <w:p>
            <w:pPr>
              <w:spacing w:after="0" w:line="240" w:lineRule="auto"/>
              <w:jc w:val="center"/>
            </w:pPr>
            <w:r>
              <w:rPr>
                <w:rFonts w:ascii="Times New Roman" w:hAnsi="Times New Roman"/>
                <w:sz w:val="20"/>
              </w:rPr>
              <w:t xml:space="preserve">ΔTmean (°C)</w:t>
            </w:r>
          </w:p>
        </w:tc>
        <w:tc>
          <w:tcPr>
            <w:tcW w:w="1700" w:type="dxa"/>
          </w:tcPr>
          <w:p>
            <w:pPr>
              <w:spacing w:after="0" w:line="240" w:lineRule="auto"/>
              <w:jc w:val="center"/>
            </w:pPr>
            <w:r>
              <w:rPr>
                <w:rFonts w:ascii="Times New Roman" w:hAnsi="Times New Roman"/>
                <w:sz w:val="20"/>
              </w:rPr>
              <w:t xml:space="preserve">&lt; 2,000 m</w:t>
            </w:r>
          </w:p>
        </w:tc>
        <w:tc>
          <w:tcPr>
            <w:tcW w:w="1700" w:type="dxa"/>
          </w:tcPr>
          <w:p>
            <w:pPr>
              <w:spacing w:after="0" w:line="240" w:lineRule="auto"/>
              <w:jc w:val="center"/>
            </w:pPr>
            <w:r>
              <w:rPr>
                <w:rFonts w:ascii="Times New Roman" w:hAnsi="Times New Roman"/>
                <w:sz w:val="20"/>
              </w:rPr>
              <w:t xml:space="preserve">+1.09 ± 0.11</w:t>
            </w:r>
          </w:p>
        </w:tc>
        <w:tc>
          <w:tcPr>
            <w:tcW w:w="1700" w:type="dxa"/>
          </w:tcPr>
          <w:p>
            <w:pPr>
              <w:spacing w:after="0" w:line="240" w:lineRule="auto"/>
              <w:jc w:val="center"/>
            </w:pPr>
            <w:r>
              <w:rPr>
                <w:rFonts w:ascii="Times New Roman" w:hAnsi="Times New Roman"/>
                <w:sz w:val="20"/>
              </w:rPr>
              <w:t xml:space="preserve">+1.71 ± 0.09</w:t>
            </w:r>
          </w:p>
        </w:tc>
        <w:tc>
          <w:tcPr>
            <w:tcW w:w="1700" w:type="dxa"/>
          </w:tcPr>
          <w:p>
            <w:pPr>
              <w:spacing w:after="0" w:line="240" w:lineRule="auto"/>
              <w:jc w:val="center"/>
            </w:pPr>
            <w:r>
              <w:rPr>
                <w:rFonts w:ascii="Times New Roman" w:hAnsi="Times New Roman"/>
                <w:sz w:val="20"/>
              </w:rPr>
              <w:t xml:space="preserve">+1.96 ± 0.12</w:t>
            </w:r>
          </w:p>
        </w:tc>
      </w:tr>
      <w:tr>
        <w:tc>
          <w:tcPr>
            <w:tcW w:w="1700" w:type="dxa"/>
          </w:tcPr>
          <w:p>
            <w:pPr>
              <w:spacing w:after="0" w:line="240" w:lineRule="auto"/>
              <w:jc w:val="center"/>
            </w:pPr>
            <w:r>
              <w:rPr>
                <w:rFonts w:ascii="Times New Roman" w:hAnsi="Times New Roman"/>
                <w:sz w:val="20"/>
              </w:rPr>
              <w:t xml:space="preserve">ΔTmean (°C)</w:t>
            </w:r>
          </w:p>
        </w:tc>
        <w:tc>
          <w:tcPr>
            <w:tcW w:w="1700" w:type="dxa"/>
          </w:tcPr>
          <w:p>
            <w:pPr>
              <w:spacing w:after="0" w:line="240" w:lineRule="auto"/>
              <w:jc w:val="center"/>
            </w:pPr>
            <w:r>
              <w:rPr>
                <w:rFonts w:ascii="Times New Roman" w:hAnsi="Times New Roman"/>
                <w:sz w:val="20"/>
              </w:rPr>
              <w:t xml:space="preserve">2,000–2,800 m</w:t>
            </w:r>
          </w:p>
        </w:tc>
        <w:tc>
          <w:tcPr>
            <w:tcW w:w="1700" w:type="dxa"/>
          </w:tcPr>
          <w:p>
            <w:pPr>
              <w:spacing w:after="0" w:line="240" w:lineRule="auto"/>
              <w:jc w:val="center"/>
            </w:pPr>
            <w:r>
              <w:rPr>
                <w:rFonts w:ascii="Times New Roman" w:hAnsi="Times New Roman"/>
                <w:sz w:val="20"/>
              </w:rPr>
              <w:t xml:space="preserve">+1.12 ± 0.13</w:t>
            </w:r>
          </w:p>
        </w:tc>
        <w:tc>
          <w:tcPr>
            <w:tcW w:w="1700" w:type="dxa"/>
          </w:tcPr>
          <w:p>
            <w:pPr>
              <w:spacing w:after="0" w:line="240" w:lineRule="auto"/>
              <w:jc w:val="center"/>
            </w:pPr>
            <w:r>
              <w:rPr>
                <w:rFonts w:ascii="Times New Roman" w:hAnsi="Times New Roman"/>
                <w:sz w:val="20"/>
              </w:rPr>
              <w:t xml:space="preserve">+1.79 ± 0.10</w:t>
            </w:r>
          </w:p>
        </w:tc>
        <w:tc>
          <w:tcPr>
            <w:tcW w:w="1700" w:type="dxa"/>
          </w:tcPr>
          <w:p>
            <w:pPr>
              <w:spacing w:after="0" w:line="240" w:lineRule="auto"/>
              <w:jc w:val="center"/>
            </w:pPr>
            <w:r>
              <w:rPr>
                <w:rFonts w:ascii="Times New Roman" w:hAnsi="Times New Roman"/>
                <w:sz w:val="20"/>
              </w:rPr>
              <w:t xml:space="preserve">+2.03 ± 0.15</w:t>
            </w:r>
          </w:p>
        </w:tc>
      </w:tr>
      <w:tr>
        <w:tc>
          <w:tcPr>
            <w:tcW w:w="1700" w:type="dxa"/>
          </w:tcPr>
          <w:p>
            <w:pPr>
              <w:spacing w:after="0" w:line="240" w:lineRule="auto"/>
              <w:jc w:val="center"/>
            </w:pPr>
            <w:r>
              <w:rPr>
                <w:rFonts w:ascii="Times New Roman" w:hAnsi="Times New Roman"/>
                <w:sz w:val="20"/>
              </w:rPr>
              <w:t xml:space="preserve">ΔTmean (°C)</w:t>
            </w:r>
          </w:p>
        </w:tc>
        <w:tc>
          <w:tcPr>
            <w:tcW w:w="1700" w:type="dxa"/>
          </w:tcPr>
          <w:p>
            <w:pPr>
              <w:spacing w:after="0" w:line="240" w:lineRule="auto"/>
              <w:jc w:val="center"/>
            </w:pPr>
            <w:r>
              <w:rPr>
                <w:rFonts w:ascii="Times New Roman" w:hAnsi="Times New Roman"/>
                <w:sz w:val="20"/>
              </w:rPr>
              <w:t xml:space="preserve">&gt; 2,800 m</w:t>
            </w:r>
          </w:p>
        </w:tc>
        <w:tc>
          <w:tcPr>
            <w:tcW w:w="1700" w:type="dxa"/>
          </w:tcPr>
          <w:p>
            <w:pPr>
              <w:spacing w:after="0" w:line="240" w:lineRule="auto"/>
              <w:jc w:val="center"/>
            </w:pPr>
            <w:r>
              <w:rPr>
                <w:rFonts w:ascii="Times New Roman" w:hAnsi="Times New Roman"/>
                <w:sz w:val="20"/>
              </w:rPr>
              <w:t xml:space="preserve">+1.17 ± 0.14</w:t>
            </w:r>
          </w:p>
        </w:tc>
        <w:tc>
          <w:tcPr>
            <w:tcW w:w="1700" w:type="dxa"/>
          </w:tcPr>
          <w:p>
            <w:pPr>
              <w:spacing w:after="0" w:line="240" w:lineRule="auto"/>
              <w:jc w:val="center"/>
            </w:pPr>
            <w:r>
              <w:rPr>
                <w:rFonts w:ascii="Times New Roman" w:hAnsi="Times New Roman"/>
                <w:sz w:val="20"/>
              </w:rPr>
              <w:t xml:space="preserve">+1.84 ± 0.11</w:t>
            </w:r>
          </w:p>
        </w:tc>
        <w:tc>
          <w:tcPr>
            <w:tcW w:w="1700" w:type="dxa"/>
          </w:tcPr>
          <w:p>
            <w:pPr>
              <w:spacing w:after="0" w:line="240" w:lineRule="auto"/>
              <w:jc w:val="center"/>
            </w:pPr>
            <w:r>
              <w:rPr>
                <w:rFonts w:ascii="Times New Roman" w:hAnsi="Times New Roman"/>
                <w:sz w:val="20"/>
              </w:rPr>
              <w:t xml:space="preserve">+2.11 ± 0.18</w:t>
            </w:r>
          </w:p>
        </w:tc>
      </w:tr>
      <w:tr>
        <w:tc>
          <w:tcPr>
            <w:tcW w:w="1700" w:type="dxa"/>
          </w:tcPr>
          <w:p>
            <w:pPr>
              <w:spacing w:after="0" w:line="240" w:lineRule="auto"/>
              <w:jc w:val="center"/>
            </w:pPr>
            <w:r>
              <w:rPr>
                <w:rFonts w:ascii="Times New Roman" w:hAnsi="Times New Roman"/>
                <w:sz w:val="20"/>
              </w:rPr>
              <w:t xml:space="preserve">ΔTmax (°C)</w:t>
            </w:r>
          </w:p>
        </w:tc>
        <w:tc>
          <w:tcPr>
            <w:tcW w:w="1700" w:type="dxa"/>
          </w:tcPr>
          <w:p>
            <w:pPr>
              <w:spacing w:after="0" w:line="240" w:lineRule="auto"/>
              <w:jc w:val="center"/>
            </w:pPr>
            <w:r>
              <w:rPr>
                <w:rFonts w:ascii="Times New Roman" w:hAnsi="Times New Roman"/>
                <w:sz w:val="20"/>
              </w:rPr>
              <w:t xml:space="preserve">&lt; 2,000 m</w:t>
            </w:r>
          </w:p>
        </w:tc>
        <w:tc>
          <w:tcPr>
            <w:tcW w:w="1700" w:type="dxa"/>
          </w:tcPr>
          <w:p>
            <w:pPr>
              <w:spacing w:after="0" w:line="240" w:lineRule="auto"/>
              <w:jc w:val="center"/>
            </w:pPr>
            <w:r>
              <w:rPr>
                <w:rFonts w:ascii="Times New Roman" w:hAnsi="Times New Roman"/>
                <w:sz w:val="20"/>
              </w:rPr>
              <w:t xml:space="preserve">+1.14 ± 0.09</w:t>
            </w:r>
          </w:p>
        </w:tc>
        <w:tc>
          <w:tcPr>
            <w:tcW w:w="1700" w:type="dxa"/>
          </w:tcPr>
          <w:p>
            <w:pPr>
              <w:spacing w:after="0" w:line="240" w:lineRule="auto"/>
              <w:jc w:val="center"/>
            </w:pPr>
            <w:r>
              <w:rPr>
                <w:rFonts w:ascii="Times New Roman" w:hAnsi="Times New Roman"/>
                <w:sz w:val="20"/>
              </w:rPr>
              <w:t xml:space="preserve">+1.78 ± 0.21</w:t>
            </w:r>
          </w:p>
        </w:tc>
        <w:tc>
          <w:tcPr>
            <w:tcW w:w="1700" w:type="dxa"/>
          </w:tcPr>
          <w:p>
            <w:pPr>
              <w:spacing w:after="0" w:line="240" w:lineRule="auto"/>
              <w:jc w:val="center"/>
            </w:pPr>
            <w:r>
              <w:rPr>
                <w:rFonts w:ascii="Times New Roman" w:hAnsi="Times New Roman"/>
                <w:sz w:val="20"/>
              </w:rPr>
              <w:t xml:space="preserve">+2.06 ± 0.12</w:t>
            </w:r>
          </w:p>
        </w:tc>
      </w:tr>
      <w:tr>
        <w:tc>
          <w:tcPr>
            <w:tcW w:w="1700" w:type="dxa"/>
          </w:tcPr>
          <w:p>
            <w:pPr>
              <w:spacing w:after="0" w:line="240" w:lineRule="auto"/>
              <w:jc w:val="center"/>
            </w:pPr>
            <w:r>
              <w:rPr>
                <w:rFonts w:ascii="Times New Roman" w:hAnsi="Times New Roman"/>
                <w:sz w:val="20"/>
              </w:rPr>
              <w:t xml:space="preserve">ΔTmax (°C)</w:t>
            </w:r>
          </w:p>
        </w:tc>
        <w:tc>
          <w:tcPr>
            <w:tcW w:w="1700" w:type="dxa"/>
          </w:tcPr>
          <w:p>
            <w:pPr>
              <w:spacing w:after="0" w:line="240" w:lineRule="auto"/>
              <w:jc w:val="center"/>
            </w:pPr>
            <w:r>
              <w:rPr>
                <w:rFonts w:ascii="Times New Roman" w:hAnsi="Times New Roman"/>
                <w:sz w:val="20"/>
              </w:rPr>
              <w:t xml:space="preserve">2,000–2,800 m</w:t>
            </w:r>
          </w:p>
        </w:tc>
        <w:tc>
          <w:tcPr>
            <w:tcW w:w="1700" w:type="dxa"/>
          </w:tcPr>
          <w:p>
            <w:pPr>
              <w:spacing w:after="0" w:line="240" w:lineRule="auto"/>
              <w:jc w:val="center"/>
            </w:pPr>
            <w:r>
              <w:rPr>
                <w:rFonts w:ascii="Times New Roman" w:hAnsi="Times New Roman"/>
                <w:sz w:val="20"/>
              </w:rPr>
              <w:t xml:space="preserve">+1.24 ± 0.07</w:t>
            </w:r>
          </w:p>
        </w:tc>
        <w:tc>
          <w:tcPr>
            <w:tcW w:w="1700" w:type="dxa"/>
          </w:tcPr>
          <w:p>
            <w:pPr>
              <w:spacing w:after="0" w:line="240" w:lineRule="auto"/>
              <w:jc w:val="center"/>
            </w:pPr>
            <w:r>
              <w:rPr>
                <w:rFonts w:ascii="Times New Roman" w:hAnsi="Times New Roman"/>
                <w:sz w:val="20"/>
              </w:rPr>
              <w:t xml:space="preserve">+1.88 ± 0.22</w:t>
            </w:r>
          </w:p>
        </w:tc>
        <w:tc>
          <w:tcPr>
            <w:tcW w:w="1700" w:type="dxa"/>
          </w:tcPr>
          <w:p>
            <w:pPr>
              <w:spacing w:after="0" w:line="240" w:lineRule="auto"/>
              <w:jc w:val="center"/>
            </w:pPr>
            <w:r>
              <w:rPr>
                <w:rFonts w:ascii="Times New Roman" w:hAnsi="Times New Roman"/>
                <w:sz w:val="20"/>
              </w:rPr>
              <w:t xml:space="preserve">+2.15 ± 0.13</w:t>
            </w:r>
          </w:p>
        </w:tc>
      </w:tr>
      <w:tr>
        <w:tc>
          <w:tcPr>
            <w:tcW w:w="1700" w:type="dxa"/>
          </w:tcPr>
          <w:p>
            <w:pPr>
              <w:spacing w:after="0" w:line="240" w:lineRule="auto"/>
              <w:jc w:val="center"/>
            </w:pPr>
            <w:r>
              <w:rPr>
                <w:rFonts w:ascii="Times New Roman" w:hAnsi="Times New Roman"/>
                <w:sz w:val="20"/>
              </w:rPr>
              <w:t xml:space="preserve">ΔTmax (°C)</w:t>
            </w:r>
          </w:p>
        </w:tc>
        <w:tc>
          <w:tcPr>
            <w:tcW w:w="1700" w:type="dxa"/>
          </w:tcPr>
          <w:p>
            <w:pPr>
              <w:spacing w:after="0" w:line="240" w:lineRule="auto"/>
              <w:jc w:val="center"/>
            </w:pPr>
            <w:r>
              <w:rPr>
                <w:rFonts w:ascii="Times New Roman" w:hAnsi="Times New Roman"/>
                <w:sz w:val="20"/>
              </w:rPr>
              <w:t xml:space="preserve">&gt; 2,800 m</w:t>
            </w:r>
          </w:p>
        </w:tc>
        <w:tc>
          <w:tcPr>
            <w:tcW w:w="1700" w:type="dxa"/>
          </w:tcPr>
          <w:p>
            <w:pPr>
              <w:spacing w:after="0" w:line="240" w:lineRule="auto"/>
              <w:jc w:val="center"/>
            </w:pPr>
            <w:r>
              <w:rPr>
                <w:rFonts w:ascii="Times New Roman" w:hAnsi="Times New Roman"/>
                <w:sz w:val="20"/>
              </w:rPr>
              <w:t xml:space="preserve">+1.25 ± 0.08</w:t>
            </w:r>
          </w:p>
        </w:tc>
        <w:tc>
          <w:tcPr>
            <w:tcW w:w="1700" w:type="dxa"/>
          </w:tcPr>
          <w:p>
            <w:pPr>
              <w:spacing w:after="0" w:line="240" w:lineRule="auto"/>
              <w:jc w:val="center"/>
            </w:pPr>
            <w:r>
              <w:rPr>
                <w:rFonts w:ascii="Times New Roman" w:hAnsi="Times New Roman"/>
                <w:sz w:val="20"/>
              </w:rPr>
              <w:t xml:space="preserve">+1.95 ± 0.20</w:t>
            </w:r>
          </w:p>
        </w:tc>
        <w:tc>
          <w:tcPr>
            <w:tcW w:w="1700" w:type="dxa"/>
          </w:tcPr>
          <w:p>
            <w:pPr>
              <w:spacing w:after="0" w:line="240" w:lineRule="auto"/>
              <w:jc w:val="center"/>
            </w:pPr>
            <w:r>
              <w:rPr>
                <w:rFonts w:ascii="Times New Roman" w:hAnsi="Times New Roman"/>
                <w:sz w:val="20"/>
              </w:rPr>
              <w:t xml:space="preserve">+2.22 ± 0.13</w:t>
            </w:r>
          </w:p>
        </w:tc>
      </w:tr>
      <w:tr>
        <w:tc>
          <w:tcPr>
            <w:tcW w:w="1700" w:type="dxa"/>
          </w:tcPr>
          <w:p>
            <w:pPr>
              <w:spacing w:after="0" w:line="240" w:lineRule="auto"/>
              <w:jc w:val="center"/>
            </w:pPr>
            <w:r>
              <w:rPr>
                <w:rFonts w:ascii="Times New Roman" w:hAnsi="Times New Roman"/>
                <w:sz w:val="20"/>
              </w:rPr>
              <w:t xml:space="preserve">ΔTmin (°C)</w:t>
            </w:r>
          </w:p>
        </w:tc>
        <w:tc>
          <w:tcPr>
            <w:tcW w:w="1700" w:type="dxa"/>
          </w:tcPr>
          <w:p>
            <w:pPr>
              <w:spacing w:after="0" w:line="240" w:lineRule="auto"/>
              <w:jc w:val="center"/>
            </w:pPr>
            <w:r>
              <w:rPr>
                <w:rFonts w:ascii="Times New Roman" w:hAnsi="Times New Roman"/>
                <w:sz w:val="20"/>
              </w:rPr>
              <w:t xml:space="preserve">&lt; 2,000 m</w:t>
            </w:r>
          </w:p>
        </w:tc>
        <w:tc>
          <w:tcPr>
            <w:tcW w:w="1700" w:type="dxa"/>
          </w:tcPr>
          <w:p>
            <w:pPr>
              <w:spacing w:after="0" w:line="240" w:lineRule="auto"/>
              <w:jc w:val="center"/>
            </w:pPr>
            <w:r>
              <w:rPr>
                <w:rFonts w:ascii="Times New Roman" w:hAnsi="Times New Roman"/>
                <w:sz w:val="20"/>
              </w:rPr>
              <w:t xml:space="preserve">+1.07 ± 0.16</w:t>
            </w:r>
          </w:p>
        </w:tc>
        <w:tc>
          <w:tcPr>
            <w:tcW w:w="1700" w:type="dxa"/>
          </w:tcPr>
          <w:p>
            <w:pPr>
              <w:spacing w:after="0" w:line="240" w:lineRule="auto"/>
              <w:jc w:val="center"/>
            </w:pPr>
            <w:r>
              <w:rPr>
                <w:rFonts w:ascii="Times New Roman" w:hAnsi="Times New Roman"/>
                <w:sz w:val="20"/>
              </w:rPr>
              <w:t xml:space="preserve">+1.69 ± 0.16</w:t>
            </w:r>
          </w:p>
        </w:tc>
        <w:tc>
          <w:tcPr>
            <w:tcW w:w="1700" w:type="dxa"/>
          </w:tcPr>
          <w:p>
            <w:pPr>
              <w:spacing w:after="0" w:line="240" w:lineRule="auto"/>
              <w:jc w:val="center"/>
            </w:pPr>
            <w:r>
              <w:rPr>
                <w:rFonts w:ascii="Times New Roman" w:hAnsi="Times New Roman"/>
                <w:sz w:val="20"/>
              </w:rPr>
              <w:t xml:space="preserve">+1.94 ± 0.23</w:t>
            </w:r>
          </w:p>
        </w:tc>
      </w:tr>
      <w:tr>
        <w:tc>
          <w:tcPr>
            <w:tcW w:w="1700" w:type="dxa"/>
          </w:tcPr>
          <w:p>
            <w:pPr>
              <w:spacing w:after="0" w:line="240" w:lineRule="auto"/>
              <w:jc w:val="center"/>
            </w:pPr>
            <w:r>
              <w:rPr>
                <w:rFonts w:ascii="Times New Roman" w:hAnsi="Times New Roman"/>
                <w:sz w:val="20"/>
              </w:rPr>
              <w:t xml:space="preserve">ΔTmin (°C)</w:t>
            </w:r>
          </w:p>
        </w:tc>
        <w:tc>
          <w:tcPr>
            <w:tcW w:w="1700" w:type="dxa"/>
          </w:tcPr>
          <w:p>
            <w:pPr>
              <w:spacing w:after="0" w:line="240" w:lineRule="auto"/>
              <w:jc w:val="center"/>
            </w:pPr>
            <w:r>
              <w:rPr>
                <w:rFonts w:ascii="Times New Roman" w:hAnsi="Times New Roman"/>
                <w:sz w:val="20"/>
              </w:rPr>
              <w:t xml:space="preserve">2,000–2,800 m</w:t>
            </w:r>
          </w:p>
        </w:tc>
        <w:tc>
          <w:tcPr>
            <w:tcW w:w="1700" w:type="dxa"/>
          </w:tcPr>
          <w:p>
            <w:pPr>
              <w:spacing w:after="0" w:line="240" w:lineRule="auto"/>
              <w:jc w:val="center"/>
            </w:pPr>
            <w:r>
              <w:rPr>
                <w:rFonts w:ascii="Times New Roman" w:hAnsi="Times New Roman"/>
                <w:sz w:val="20"/>
              </w:rPr>
              <w:t xml:space="preserve">+1.08 ± 0.18</w:t>
            </w:r>
          </w:p>
        </w:tc>
        <w:tc>
          <w:tcPr>
            <w:tcW w:w="1700" w:type="dxa"/>
          </w:tcPr>
          <w:p>
            <w:pPr>
              <w:spacing w:after="0" w:line="240" w:lineRule="auto"/>
              <w:jc w:val="center"/>
            </w:pPr>
            <w:r>
              <w:rPr>
                <w:rFonts w:ascii="Times New Roman" w:hAnsi="Times New Roman"/>
                <w:sz w:val="20"/>
              </w:rPr>
              <w:t xml:space="preserve">+1.77 ± 0.19</w:t>
            </w:r>
          </w:p>
        </w:tc>
        <w:tc>
          <w:tcPr>
            <w:tcW w:w="1700" w:type="dxa"/>
          </w:tcPr>
          <w:p>
            <w:pPr>
              <w:spacing w:after="0" w:line="240" w:lineRule="auto"/>
              <w:jc w:val="center"/>
            </w:pPr>
            <w:r>
              <w:rPr>
                <w:rFonts w:ascii="Times New Roman" w:hAnsi="Times New Roman"/>
                <w:sz w:val="20"/>
              </w:rPr>
              <w:t xml:space="preserve">+2.02 ± 0.28</w:t>
            </w:r>
          </w:p>
        </w:tc>
      </w:tr>
      <w:tr>
        <w:tc>
          <w:tcPr>
            <w:tcW w:w="1700" w:type="dxa"/>
          </w:tcPr>
          <w:p>
            <w:pPr>
              <w:spacing w:after="0" w:line="240" w:lineRule="auto"/>
              <w:jc w:val="center"/>
            </w:pPr>
            <w:r>
              <w:rPr>
                <w:rFonts w:ascii="Times New Roman" w:hAnsi="Times New Roman"/>
                <w:sz w:val="20"/>
              </w:rPr>
              <w:t xml:space="preserve">ΔTmin (°C)</w:t>
            </w:r>
          </w:p>
        </w:tc>
        <w:tc>
          <w:tcPr>
            <w:tcW w:w="1700" w:type="dxa"/>
          </w:tcPr>
          <w:p>
            <w:pPr>
              <w:spacing w:after="0" w:line="240" w:lineRule="auto"/>
              <w:jc w:val="center"/>
            </w:pPr>
            <w:r>
              <w:rPr>
                <w:rFonts w:ascii="Times New Roman" w:hAnsi="Times New Roman"/>
                <w:sz w:val="20"/>
              </w:rPr>
              <w:t xml:space="preserve">&gt; 2,800 m</w:t>
            </w:r>
          </w:p>
        </w:tc>
        <w:tc>
          <w:tcPr>
            <w:tcW w:w="1700" w:type="dxa"/>
          </w:tcPr>
          <w:p>
            <w:pPr>
              <w:spacing w:after="0" w:line="240" w:lineRule="auto"/>
              <w:jc w:val="center"/>
            </w:pPr>
            <w:r>
              <w:rPr>
                <w:rFonts w:ascii="Times New Roman" w:hAnsi="Times New Roman"/>
                <w:sz w:val="20"/>
              </w:rPr>
              <w:t xml:space="preserve">+1.10 ± 0.20</w:t>
            </w:r>
          </w:p>
        </w:tc>
        <w:tc>
          <w:tcPr>
            <w:tcW w:w="1700" w:type="dxa"/>
          </w:tcPr>
          <w:p>
            <w:pPr>
              <w:spacing w:after="0" w:line="240" w:lineRule="auto"/>
              <w:jc w:val="center"/>
            </w:pPr>
            <w:r>
              <w:rPr>
                <w:rFonts w:ascii="Times New Roman" w:hAnsi="Times New Roman"/>
                <w:sz w:val="20"/>
              </w:rPr>
              <w:t xml:space="preserve">+1.82 ± 0.21</w:t>
            </w:r>
          </w:p>
        </w:tc>
        <w:tc>
          <w:tcPr>
            <w:tcW w:w="1700" w:type="dxa"/>
          </w:tcPr>
          <w:p>
            <w:pPr>
              <w:spacing w:after="0" w:line="240" w:lineRule="auto"/>
              <w:jc w:val="center"/>
            </w:pPr>
            <w:r>
              <w:rPr>
                <w:rFonts w:ascii="Times New Roman" w:hAnsi="Times New Roman"/>
                <w:sz w:val="20"/>
              </w:rPr>
              <w:t xml:space="preserve">+2.11 ± 0.30</w:t>
            </w:r>
          </w:p>
        </w:tc>
      </w:tr>
      <w:tr>
        <w:tc>
          <w:tcPr>
            <w:tcW w:w="1700" w:type="dxa"/>
          </w:tcPr>
          <w:p>
            <w:pPr>
              <w:spacing w:after="0" w:line="240" w:lineRule="auto"/>
              <w:jc w:val="center"/>
            </w:pPr>
            <w:r>
              <w:rPr>
                <w:rFonts w:ascii="Times New Roman" w:hAnsi="Times New Roman"/>
                <w:sz w:val="20"/>
              </w:rPr>
              <w:t xml:space="preserve">ΔPrecip (%)</w:t>
            </w:r>
          </w:p>
        </w:tc>
        <w:tc>
          <w:tcPr>
            <w:tcW w:w="1700" w:type="dxa"/>
          </w:tcPr>
          <w:p>
            <w:pPr>
              <w:spacing w:after="0" w:line="240" w:lineRule="auto"/>
              <w:jc w:val="center"/>
            </w:pPr>
            <w:r>
              <w:rPr>
                <w:rFonts w:ascii="Times New Roman" w:hAnsi="Times New Roman"/>
                <w:sz w:val="20"/>
              </w:rPr>
              <w:t xml:space="preserve">&lt; 2,000 m</w:t>
            </w:r>
          </w:p>
        </w:tc>
        <w:tc>
          <w:tcPr>
            <w:tcW w:w="1700" w:type="dxa"/>
          </w:tcPr>
          <w:p>
            <w:pPr>
              <w:spacing w:after="0" w:line="240" w:lineRule="auto"/>
              <w:jc w:val="center"/>
            </w:pPr>
            <w:r>
              <w:rPr>
                <w:rFonts w:ascii="Times New Roman" w:hAnsi="Times New Roman"/>
                <w:sz w:val="20"/>
              </w:rPr>
              <w:t xml:space="preserve">+5.9 ± 1.6</w:t>
            </w:r>
          </w:p>
        </w:tc>
        <w:tc>
          <w:tcPr>
            <w:tcW w:w="1700" w:type="dxa"/>
          </w:tcPr>
          <w:p>
            <w:pPr>
              <w:spacing w:after="0" w:line="240" w:lineRule="auto"/>
              <w:jc w:val="center"/>
            </w:pPr>
            <w:r>
              <w:rPr>
                <w:rFonts w:ascii="Times New Roman" w:hAnsi="Times New Roman"/>
                <w:sz w:val="20"/>
              </w:rPr>
              <w:t xml:space="preserve">+5.3 ± 3.3</w:t>
            </w:r>
          </w:p>
        </w:tc>
        <w:tc>
          <w:tcPr>
            <w:tcW w:w="1700" w:type="dxa"/>
          </w:tcPr>
          <w:p>
            <w:pPr>
              <w:spacing w:after="0" w:line="240" w:lineRule="auto"/>
              <w:jc w:val="center"/>
            </w:pPr>
            <w:r>
              <w:rPr>
                <w:rFonts w:ascii="Times New Roman" w:hAnsi="Times New Roman"/>
                <w:sz w:val="20"/>
              </w:rPr>
              <w:t xml:space="preserve">+5.2 ± 5.2</w:t>
            </w:r>
          </w:p>
        </w:tc>
      </w:tr>
      <w:tr>
        <w:tc>
          <w:tcPr>
            <w:tcW w:w="1700" w:type="dxa"/>
          </w:tcPr>
          <w:p>
            <w:pPr>
              <w:spacing w:after="0" w:line="240" w:lineRule="auto"/>
              <w:jc w:val="center"/>
            </w:pPr>
            <w:r>
              <w:rPr>
                <w:rFonts w:ascii="Times New Roman" w:hAnsi="Times New Roman"/>
                <w:sz w:val="20"/>
              </w:rPr>
              <w:t xml:space="preserve">ΔPrecip (%)</w:t>
            </w:r>
          </w:p>
        </w:tc>
        <w:tc>
          <w:tcPr>
            <w:tcW w:w="1700" w:type="dxa"/>
          </w:tcPr>
          <w:p>
            <w:pPr>
              <w:spacing w:after="0" w:line="240" w:lineRule="auto"/>
              <w:jc w:val="center"/>
            </w:pPr>
            <w:r>
              <w:rPr>
                <w:rFonts w:ascii="Times New Roman" w:hAnsi="Times New Roman"/>
                <w:sz w:val="20"/>
              </w:rPr>
              <w:t xml:space="preserve">2,000–2,800 m</w:t>
            </w:r>
          </w:p>
        </w:tc>
        <w:tc>
          <w:tcPr>
            <w:tcW w:w="1700" w:type="dxa"/>
          </w:tcPr>
          <w:p>
            <w:pPr>
              <w:spacing w:after="0" w:line="240" w:lineRule="auto"/>
              <w:jc w:val="center"/>
            </w:pPr>
            <w:r>
              <w:rPr>
                <w:rFonts w:ascii="Times New Roman" w:hAnsi="Times New Roman"/>
                <w:sz w:val="20"/>
              </w:rPr>
              <w:t xml:space="preserve">+7.8 ± 4.4</w:t>
            </w:r>
          </w:p>
        </w:tc>
        <w:tc>
          <w:tcPr>
            <w:tcW w:w="1700" w:type="dxa"/>
          </w:tcPr>
          <w:p>
            <w:pPr>
              <w:spacing w:after="0" w:line="240" w:lineRule="auto"/>
              <w:jc w:val="center"/>
            </w:pPr>
            <w:r>
              <w:rPr>
                <w:rFonts w:ascii="Times New Roman" w:hAnsi="Times New Roman"/>
                <w:sz w:val="20"/>
              </w:rPr>
              <w:t xml:space="preserve">+5.6 ± 2.1</w:t>
            </w:r>
          </w:p>
        </w:tc>
        <w:tc>
          <w:tcPr>
            <w:tcW w:w="1700" w:type="dxa"/>
          </w:tcPr>
          <w:p>
            <w:pPr>
              <w:spacing w:after="0" w:line="240" w:lineRule="auto"/>
              <w:jc w:val="center"/>
            </w:pPr>
            <w:r>
              <w:rPr>
                <w:rFonts w:ascii="Times New Roman" w:hAnsi="Times New Roman"/>
                <w:sz w:val="20"/>
              </w:rPr>
              <w:t xml:space="preserve">+6.3 ± 5.0</w:t>
            </w:r>
          </w:p>
        </w:tc>
      </w:tr>
      <w:tr>
        <w:tc>
          <w:tcPr>
            <w:tcW w:w="1700" w:type="dxa"/>
          </w:tcPr>
          <w:p>
            <w:pPr>
              <w:spacing w:after="0" w:line="240" w:lineRule="auto"/>
              <w:jc w:val="center"/>
            </w:pPr>
            <w:r>
              <w:rPr>
                <w:rFonts w:ascii="Times New Roman" w:hAnsi="Times New Roman"/>
                <w:sz w:val="20"/>
              </w:rPr>
              <w:t xml:space="preserve">ΔPrecip (%)</w:t>
            </w:r>
          </w:p>
        </w:tc>
        <w:tc>
          <w:tcPr>
            <w:tcW w:w="1700" w:type="dxa"/>
          </w:tcPr>
          <w:p>
            <w:pPr>
              <w:spacing w:after="0" w:line="240" w:lineRule="auto"/>
              <w:jc w:val="center"/>
            </w:pPr>
            <w:r>
              <w:rPr>
                <w:rFonts w:ascii="Times New Roman" w:hAnsi="Times New Roman"/>
                <w:sz w:val="20"/>
              </w:rPr>
              <w:t xml:space="preserve">&gt; 2,800 m</w:t>
            </w:r>
          </w:p>
        </w:tc>
        <w:tc>
          <w:tcPr>
            <w:tcW w:w="1700" w:type="dxa"/>
          </w:tcPr>
          <w:p>
            <w:pPr>
              <w:spacing w:after="0" w:line="240" w:lineRule="auto"/>
              <w:jc w:val="center"/>
            </w:pPr>
            <w:r>
              <w:rPr>
                <w:rFonts w:ascii="Times New Roman" w:hAnsi="Times New Roman"/>
                <w:sz w:val="20"/>
              </w:rPr>
              <w:t xml:space="preserve">+8.4 ± 5.1</w:t>
            </w:r>
          </w:p>
        </w:tc>
        <w:tc>
          <w:tcPr>
            <w:tcW w:w="1700" w:type="dxa"/>
          </w:tcPr>
          <w:p>
            <w:pPr>
              <w:spacing w:after="0" w:line="240" w:lineRule="auto"/>
              <w:jc w:val="center"/>
            </w:pPr>
            <w:r>
              <w:rPr>
                <w:rFonts w:ascii="Times New Roman" w:hAnsi="Times New Roman"/>
                <w:sz w:val="20"/>
              </w:rPr>
              <w:t xml:space="preserve">+6.9 ± 2.1</w:t>
            </w:r>
          </w:p>
        </w:tc>
        <w:tc>
          <w:tcPr>
            <w:tcW w:w="1700" w:type="dxa"/>
          </w:tcPr>
          <w:p>
            <w:pPr>
              <w:spacing w:after="0" w:line="240" w:lineRule="auto"/>
              <w:jc w:val="center"/>
            </w:pPr>
            <w:r>
              <w:rPr>
                <w:rFonts w:ascii="Times New Roman" w:hAnsi="Times New Roman"/>
                <w:sz w:val="20"/>
              </w:rPr>
              <w:t xml:space="preserve">+8.2 ± 5.9</w:t>
            </w:r>
          </w:p>
        </w:tc>
      </w:tr>
      <w:tr>
        <w:tc>
          <w:tcPr>
            <w:tcW w:w="1700" w:type="dxa"/>
          </w:tcPr>
          <w:p>
            <w:pPr>
              <w:spacing w:after="0" w:line="240" w:lineRule="auto"/>
              <w:jc w:val="center"/>
            </w:pPr>
            <w:r>
              <w:rPr>
                <w:rFonts w:ascii="Times New Roman" w:hAnsi="Times New Roman"/>
                <w:sz w:val="20"/>
              </w:rPr>
              <w:t xml:space="preserve">ΔET₀-HS (%)</w:t>
            </w:r>
          </w:p>
        </w:tc>
        <w:tc>
          <w:tcPr>
            <w:tcW w:w="1700" w:type="dxa"/>
          </w:tcPr>
          <w:p>
            <w:pPr>
              <w:spacing w:after="0" w:line="240" w:lineRule="auto"/>
              <w:jc w:val="center"/>
            </w:pPr>
            <w:r>
              <w:rPr>
                <w:rFonts w:ascii="Times New Roman" w:hAnsi="Times New Roman"/>
                <w:sz w:val="20"/>
              </w:rPr>
              <w:t xml:space="preserve">&lt; 2,000 m</w:t>
            </w:r>
          </w:p>
        </w:tc>
        <w:tc>
          <w:tcPr>
            <w:tcW w:w="1700" w:type="dxa"/>
          </w:tcPr>
          <w:p>
            <w:pPr>
              <w:spacing w:after="0" w:line="240" w:lineRule="auto"/>
              <w:jc w:val="center"/>
            </w:pPr>
            <w:r>
              <w:rPr>
                <w:rFonts w:ascii="Times New Roman" w:hAnsi="Times New Roman"/>
                <w:sz w:val="20"/>
              </w:rPr>
              <w:t xml:space="preserve">+3.1 ± 1.2</w:t>
            </w:r>
          </w:p>
        </w:tc>
        <w:tc>
          <w:tcPr>
            <w:tcW w:w="1700" w:type="dxa"/>
          </w:tcPr>
          <w:p>
            <w:pPr>
              <w:spacing w:after="0" w:line="240" w:lineRule="auto"/>
              <w:jc w:val="center"/>
            </w:pPr>
            <w:r>
              <w:rPr>
                <w:rFonts w:ascii="Times New Roman" w:hAnsi="Times New Roman"/>
                <w:sz w:val="20"/>
              </w:rPr>
              <w:t xml:space="preserve">+4.6 ± 1.8</w:t>
            </w:r>
          </w:p>
        </w:tc>
        <w:tc>
          <w:tcPr>
            <w:tcW w:w="1700" w:type="dxa"/>
          </w:tcPr>
          <w:p>
            <w:pPr>
              <w:spacing w:after="0" w:line="240" w:lineRule="auto"/>
              <w:jc w:val="center"/>
            </w:pPr>
            <w:r>
              <w:rPr>
                <w:rFonts w:ascii="Times New Roman" w:hAnsi="Times New Roman"/>
                <w:sz w:val="20"/>
              </w:rPr>
              <w:t xml:space="preserve">+5.1 ± 1.6</w:t>
            </w:r>
          </w:p>
        </w:tc>
      </w:tr>
      <w:tr>
        <w:tc>
          <w:tcPr>
            <w:tcW w:w="1700" w:type="dxa"/>
          </w:tcPr>
          <w:p>
            <w:pPr>
              <w:spacing w:after="0" w:line="240" w:lineRule="auto"/>
              <w:jc w:val="center"/>
            </w:pPr>
            <w:r>
              <w:rPr>
                <w:rFonts w:ascii="Times New Roman" w:hAnsi="Times New Roman"/>
                <w:sz w:val="20"/>
              </w:rPr>
              <w:t xml:space="preserve">ΔET₀-HS (%)</w:t>
            </w:r>
          </w:p>
        </w:tc>
        <w:tc>
          <w:tcPr>
            <w:tcW w:w="1700" w:type="dxa"/>
          </w:tcPr>
          <w:p>
            <w:pPr>
              <w:spacing w:after="0" w:line="240" w:lineRule="auto"/>
              <w:jc w:val="center"/>
            </w:pPr>
            <w:r>
              <w:rPr>
                <w:rFonts w:ascii="Times New Roman" w:hAnsi="Times New Roman"/>
                <w:sz w:val="20"/>
              </w:rPr>
              <w:t xml:space="preserve">2,000–2,800 m</w:t>
            </w:r>
          </w:p>
        </w:tc>
        <w:tc>
          <w:tcPr>
            <w:tcW w:w="1700" w:type="dxa"/>
          </w:tcPr>
          <w:p>
            <w:pPr>
              <w:spacing w:after="0" w:line="240" w:lineRule="auto"/>
              <w:jc w:val="center"/>
            </w:pPr>
            <w:r>
              <w:rPr>
                <w:rFonts w:ascii="Times New Roman" w:hAnsi="Times New Roman"/>
                <w:sz w:val="20"/>
              </w:rPr>
              <w:t xml:space="preserve">+3.4 ± 1.1</w:t>
            </w:r>
          </w:p>
        </w:tc>
        <w:tc>
          <w:tcPr>
            <w:tcW w:w="1700" w:type="dxa"/>
          </w:tcPr>
          <w:p>
            <w:pPr>
              <w:spacing w:after="0" w:line="240" w:lineRule="auto"/>
              <w:jc w:val="center"/>
            </w:pPr>
            <w:r>
              <w:rPr>
                <w:rFonts w:ascii="Times New Roman" w:hAnsi="Times New Roman"/>
                <w:sz w:val="20"/>
              </w:rPr>
              <w:t xml:space="preserve">+5.3 ± 1.5</w:t>
            </w:r>
          </w:p>
        </w:tc>
        <w:tc>
          <w:tcPr>
            <w:tcW w:w="1700" w:type="dxa"/>
          </w:tcPr>
          <w:p>
            <w:pPr>
              <w:spacing w:after="0" w:line="240" w:lineRule="auto"/>
              <w:jc w:val="center"/>
            </w:pPr>
            <w:r>
              <w:rPr>
                <w:rFonts w:ascii="Times New Roman" w:hAnsi="Times New Roman"/>
                <w:sz w:val="20"/>
              </w:rPr>
              <w:t xml:space="preserve">+5.9 ± 1.4</w:t>
            </w:r>
          </w:p>
        </w:tc>
      </w:tr>
      <w:tr>
        <w:tc>
          <w:tcPr>
            <w:tcW w:w="1700" w:type="dxa"/>
          </w:tcPr>
          <w:p>
            <w:pPr>
              <w:spacing w:after="0" w:line="240" w:lineRule="auto"/>
              <w:jc w:val="center"/>
            </w:pPr>
            <w:r>
              <w:rPr>
                <w:rFonts w:ascii="Times New Roman" w:hAnsi="Times New Roman"/>
                <w:sz w:val="20"/>
              </w:rPr>
              <w:t xml:space="preserve">ΔET₀-HS (%)</w:t>
            </w:r>
          </w:p>
        </w:tc>
        <w:tc>
          <w:tcPr>
            <w:tcW w:w="1700" w:type="dxa"/>
          </w:tcPr>
          <w:p>
            <w:pPr>
              <w:spacing w:after="0" w:line="240" w:lineRule="auto"/>
              <w:jc w:val="center"/>
            </w:pPr>
            <w:r>
              <w:rPr>
                <w:rFonts w:ascii="Times New Roman" w:hAnsi="Times New Roman"/>
                <w:sz w:val="20"/>
              </w:rPr>
              <w:t xml:space="preserve">&gt; 2,800 m</w:t>
            </w:r>
          </w:p>
        </w:tc>
        <w:tc>
          <w:tcPr>
            <w:tcW w:w="1700" w:type="dxa"/>
          </w:tcPr>
          <w:p>
            <w:pPr>
              <w:spacing w:after="0" w:line="240" w:lineRule="auto"/>
              <w:jc w:val="center"/>
            </w:pPr>
            <w:r>
              <w:rPr>
                <w:rFonts w:ascii="Times New Roman" w:hAnsi="Times New Roman"/>
                <w:sz w:val="20"/>
              </w:rPr>
              <w:t xml:space="preserve">+3.9 ± 0.9</w:t>
            </w:r>
          </w:p>
        </w:tc>
        <w:tc>
          <w:tcPr>
            <w:tcW w:w="1700" w:type="dxa"/>
          </w:tcPr>
          <w:p>
            <w:pPr>
              <w:spacing w:after="0" w:line="240" w:lineRule="auto"/>
              <w:jc w:val="center"/>
            </w:pPr>
            <w:r>
              <w:rPr>
                <w:rFonts w:ascii="Times New Roman" w:hAnsi="Times New Roman"/>
                <w:sz w:val="20"/>
              </w:rPr>
              <w:t xml:space="preserve">+5.7 ± 1.3</w:t>
            </w:r>
          </w:p>
        </w:tc>
        <w:tc>
          <w:tcPr>
            <w:tcW w:w="1700" w:type="dxa"/>
          </w:tcPr>
          <w:p>
            <w:pPr>
              <w:spacing w:after="0" w:line="240" w:lineRule="auto"/>
              <w:jc w:val="center"/>
            </w:pPr>
            <w:r>
              <w:rPr>
                <w:rFonts w:ascii="Times New Roman" w:hAnsi="Times New Roman"/>
                <w:sz w:val="20"/>
              </w:rPr>
              <w:t xml:space="preserve">+6.7 ± 1.3</w:t>
            </w:r>
          </w:p>
        </w:tc>
      </w:tr>
    </w:tbl>
    <w:p>
      <w:pPr>
        <w:spacing w:after="480" w:line="480" w:lineRule="auto"/>
        <w:jc w:val="both"/>
      </w:pPr>
      <w:r>
        <w:rPr>
          <w:rFonts w:ascii="Times New Roman" w:hAnsi="Times New Roman"/>
          <w:b w:val="0"/>
          <w:i w:val="0"/>
          <w:sz w:val="24"/>
        </w:rPr>
      </w:r>
    </w:p>
    <w:p>
      <w:pPr>
        <w:spacing w:before="360" w:after="240"/>
        <w:jc w:val="left"/>
      </w:pPr>
      <w:r>
        <w:rPr>
          <w:rFonts w:ascii="Times New Roman" w:hAnsi="Times New Roman"/>
          <w:b/>
          <w:sz w:val="28"/>
        </w:rPr>
        <w:t>FIGURE LEGENDS</w:t>
      </w:r>
    </w:p>
    <w:p>
      <w:pPr>
        <w:spacing w:after="120" w:line="360" w:lineRule="auto"/>
      </w:pPr>
      <w:r>
        <w:rPr>
          <w:rFonts w:ascii="Times New Roman" w:hAnsi="Times New Roman"/>
          <w:b/>
          <w:sz w:val="22"/>
        </w:rPr>
        <w:t>Figure 1.</w:t>
      </w:r>
      <w:r>
        <w:rPr>
          <w:rFonts w:ascii="Times New Roman" w:hAnsi="Times New Roman"/>
          <w:sz w:val="22"/>
        </w:rPr>
        <w:t xml:space="preserve"> Study area. Location of Imbabura Province in northern Andean Ecuador and distribution of the 21 INAMHI stations used (18 in Imbabura and 3 in the neighbouring Carchi Province). The numbered markers (1–21) correspond to Table 1 and Table S1. Reference system: WGS-84. Digital elevation model SRTM 30 m. Altitudinal bands: B1 &lt; 2,000 m, B2 between 2,000 and 2,800 m, B3 &gt; 2,800 m.</w:t>
      </w:r>
    </w:p>
    <w:p>
      <w:pPr>
        <w:spacing w:after="120" w:line="360" w:lineRule="auto"/>
      </w:pPr>
      <w:r>
        <w:rPr>
          <w:rFonts w:ascii="Times New Roman" w:hAnsi="Times New Roman"/>
          <w:b/>
          <w:sz w:val="22"/>
        </w:rPr>
        <w:t>Figure 2.</w:t>
      </w:r>
      <w:r>
        <w:rPr>
          <w:rFonts w:ascii="Times New Roman" w:hAnsi="Times New Roman"/>
          <w:sz w:val="22"/>
        </w:rPr>
        <w:t xml:space="preserve"> Mann-Kendall trends and Theil-Sen slope for annual precipitation (CHIRPS v2.0, left) and annual mean temperature (ERA5-Land, right) at the 21 INAMHI station locations of Imbabura, 1981–2025. Each station is represented by a horizontal bar showing its Theil-Sen slope, ordered by elevation (highest at top). Bar colour: red, statistically significant at p &lt; 0.05; grey, not significant. The temperature panel reflects ERA5-Land trends sampled at the station coordinates; trends should be aggregated to the 16 spatially-independent grid cells covered by the network for valid spatial-independence inference (§4.1, Table S8).</w:t>
      </w:r>
    </w:p>
    <w:p>
      <w:pPr>
        <w:spacing w:after="120" w:line="360" w:lineRule="auto"/>
      </w:pPr>
      <w:r>
        <w:rPr>
          <w:rFonts w:ascii="Times New Roman" w:hAnsi="Times New Roman"/>
          <w:b/>
          <w:sz w:val="22"/>
        </w:rPr>
        <w:t>Figure 3.</w:t>
      </w:r>
      <w:r>
        <w:rPr>
          <w:rFonts w:ascii="Times New Roman" w:hAnsi="Times New Roman"/>
          <w:sz w:val="22"/>
        </w:rPr>
        <w:t xml:space="preserve"> Thermal altitudinal gradient of Imbabura. Linear regression between annual mean INAMHI temperature (n = 7 climatological stations with complete thermal records: M0001, M0086, M0103, M0104, M0105, M0107, M1240) and elevation (m a.s.l.). Solid line: ordinary least-squares fit. Slope: −8.24 °C km⁻¹; R² = 0.97. The ERA5-Land-derived gradient is omitted due to the structural limitation documented in the main text (section 4.1).</w:t>
      </w:r>
    </w:p>
    <w:p>
      <w:pPr>
        <w:spacing w:after="120" w:line="360" w:lineRule="auto"/>
      </w:pPr>
      <w:r>
        <w:rPr>
          <w:rFonts w:ascii="Times New Roman" w:hAnsi="Times New Roman"/>
          <w:b/>
          <w:sz w:val="22"/>
        </w:rPr>
        <w:t>Figure 4.</w:t>
      </w:r>
      <w:r>
        <w:rPr>
          <w:rFonts w:ascii="Times New Roman" w:hAnsi="Times New Roman"/>
          <w:sz w:val="22"/>
        </w:rPr>
        <w:t xml:space="preserve"> Spearman rank correlation between monthly CHIRPS precipitation and the monthly ONI index at the lag of maximum |ρ| for each of the 21 INAMHI stations, 1981–2025. Each station is shown as a horizontal bar, ordered by elevation (highest at top). The dominant lag for each station is annotated in the y-axis label (lag = 2 or 3 months). Bar colour: red, statistically significant at p &lt; 0.05; grey, not significant. All 21 correlations are negative; full lag-by-lag breakdown for the seven hydroclimatic variables is provided in Table S7 (FDR-BH corrected).</w:t>
      </w:r>
    </w:p>
    <w:p>
      <w:pPr>
        <w:spacing w:after="120" w:line="360" w:lineRule="auto"/>
      </w:pPr>
      <w:r>
        <w:rPr>
          <w:rFonts w:ascii="Times New Roman" w:hAnsi="Times New Roman"/>
          <w:b/>
          <w:sz w:val="22"/>
        </w:rPr>
        <w:t>Figure 5.</w:t>
      </w:r>
      <w:r>
        <w:rPr>
          <w:rFonts w:ascii="Times New Roman" w:hAnsi="Times New Roman"/>
          <w:sz w:val="22"/>
        </w:rPr>
        <w:t xml:space="preserve"> Comparison of CMIP6 historical ensemble Theil-Sen slopes (1981–2014) against observational reference values (1981–2025), by hydroclimatic variable. Coloured bars show the CMIP6 10-GCM ensemble median by altitudinal band (B1 &lt; 2,000 m, B2 2,000–2,800 m, B3 &gt; 2,800 m); error bars show the inter-model interquartile range. Dark grey bars show the observational reference (CHIRPS for precipitation, ERA5-Land for Tmean/Tmax/Tmin). The observational reference values are a regional aggregate over the 21 station locations (independent-pixel weighting from §4.1) and are not stratified by altitudinal band; the CMIP6 bars, in contrast, are aggregated by band. This panel therefore compares CMIP6 by-band trends against a single regional observational reference, and the apparent inter-band consistency in CMIP6 should be interpreted as ensemble behaviour, not as band-by-band agreement with observations. The ET₀-HS panel has no observational equivalent (only CMIP6 Hargreaves-Samani is shown).</w:t>
      </w:r>
    </w:p>
    <w:p>
      <w:pPr>
        <w:spacing w:after="120" w:line="360" w:lineRule="auto"/>
      </w:pPr>
      <w:r>
        <w:rPr>
          <w:rFonts w:ascii="Times New Roman" w:hAnsi="Times New Roman"/>
          <w:b/>
          <w:sz w:val="22"/>
        </w:rPr>
        <w:t>Figure 6.</w:t>
      </w:r>
      <w:r>
        <w:rPr>
          <w:rFonts w:ascii="Times New Roman" w:hAnsi="Times New Roman"/>
          <w:sz w:val="22"/>
        </w:rPr>
        <w:t xml:space="preserve"> Absolute bias of the BASD-CMIP6-PE historical ensemble with respect to ERA5-Land for the climatological window 1991–2010, by variable and altitudinal band. Negative values: CMIP6 colder than ERA5-Land; positive values: CMIP6 warmer.</w:t>
      </w:r>
    </w:p>
    <w:p>
      <w:pPr>
        <w:spacing w:after="120" w:line="360" w:lineRule="auto"/>
      </w:pPr>
      <w:r>
        <w:rPr>
          <w:rFonts w:ascii="Times New Roman" w:hAnsi="Times New Roman"/>
          <w:b/>
          <w:sz w:val="22"/>
        </w:rPr>
        <w:t>Figure 7.</w:t>
      </w:r>
      <w:r>
        <w:rPr>
          <w:rFonts w:ascii="Times New Roman" w:hAnsi="Times New Roman"/>
          <w:sz w:val="22"/>
        </w:rPr>
        <w:t xml:space="preserve"> ENSO teleconnection in the BASD-CMIP6-PE historical ensemble (1981–2014), by lag (0–3 months) and altitudinal band, for monthly precipitation (top row) and monthly mean temperature (bottom row). Coloured bars (left axis): median Spearman ρ across the 10-GCM ensemble at each lag, by band (B1 blue, B2 orange, B3 magenta). Red diamonds and dashed line (right axis): percentage of GCMs achieving statistical significance (p &lt; 0.05) at each lag. The CMIP6 ensemble systematically underestimates the strength of the observed precipitation–ONI negative teleconnection (CHIRPS observations: median ρ = −0.23 at 3-month lag, all 21 stations significant; see §4.3 and Figure 4) and shows weak GCM agreement on significance (10–40 % across panels), a known limitation of GCMs in representing high-frequency ENSO–precipitation coupling in equatorial mountainous regions.</w:t>
      </w:r>
    </w:p>
    <w:p>
      <w:pPr>
        <w:spacing w:after="120" w:line="360" w:lineRule="auto"/>
      </w:pPr>
      <w:r>
        <w:rPr>
          <w:rFonts w:ascii="Times New Roman" w:hAnsi="Times New Roman"/>
          <w:b/>
          <w:sz w:val="22"/>
        </w:rPr>
        <w:t>Figure 8.</w:t>
      </w:r>
      <w:r>
        <w:rPr>
          <w:rFonts w:ascii="Times New Roman" w:hAnsi="Times New Roman"/>
          <w:sz w:val="22"/>
        </w:rPr>
        <w:t xml:space="preserve"> Annual time series of mean temperature, precipitation, and reference evapotranspiration (ET₀-HS) for 2021–2070 under the SSP1-2.6, SSP3-7.0, and SSP5-8.5 trajectories, ensemble median (line) and percentiles 25–75 (shading).</w:t>
      </w:r>
    </w:p>
    <w:p>
      <w:pPr>
        <w:spacing w:after="120" w:line="360" w:lineRule="auto"/>
      </w:pPr>
      <w:r>
        <w:rPr>
          <w:rFonts w:ascii="Times New Roman" w:hAnsi="Times New Roman"/>
          <w:b/>
          <w:sz w:val="22"/>
        </w:rPr>
        <w:t>Figure 9.</w:t>
      </w:r>
      <w:r>
        <w:rPr>
          <w:rFonts w:ascii="Times New Roman" w:hAnsi="Times New Roman"/>
          <w:sz w:val="22"/>
        </w:rPr>
        <w:t xml:space="preserve"> Projected change in 2041–2070 with respect to the 1991–2010 baseline, by variable, altitudinal band, and SSP scenario. Median of the 10-GCM CMIP6 BASD-PE ensemble. Temperatures (Tmean, Tmax, Tmin) are shown as absolute change in Δ°C; precipitation (pr) and reference evapotranspiration (ET₀-HS) as relative change in %.</w:t>
      </w:r>
    </w:p>
    <w:p>
      <w:pPr>
        <w:spacing w:after="120" w:line="360" w:lineRule="auto"/>
      </w:pPr>
      <w:r>
        <w:rPr>
          <w:rFonts w:ascii="Times New Roman" w:hAnsi="Times New Roman"/>
          <w:b/>
          <w:sz w:val="22"/>
        </w:rPr>
        <w:t>Figure 10.</w:t>
      </w:r>
      <w:r>
        <w:rPr>
          <w:rFonts w:ascii="Times New Roman" w:hAnsi="Times New Roman"/>
          <w:sz w:val="22"/>
        </w:rPr>
        <w:t xml:space="preserve"> EDW signature: Theil–Sen slope by altitudinal band for Tmean, Tmax, and Tmin under the three SSP trajectories, CMIP6 ensemble 2021–2070. The amplification B3 &gt; B2 &gt; B1 quantifies the elevation-dependent warming signature.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