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B532" w14:textId="721EDDD3" w:rsidR="005B4491" w:rsidRPr="00887B95" w:rsidRDefault="005B4491" w:rsidP="005B4491">
      <w:pPr>
        <w:keepNext/>
        <w:outlineLvl w:val="0"/>
        <w:rPr>
          <w:b/>
          <w:iCs/>
          <w:u w:val="single"/>
        </w:rPr>
      </w:pPr>
      <w:r>
        <w:rPr>
          <w:b/>
          <w:iCs/>
          <w:u w:val="single"/>
        </w:rPr>
        <w:t>Background/</w:t>
      </w:r>
      <w:r w:rsidRPr="00887B95">
        <w:rPr>
          <w:b/>
          <w:iCs/>
          <w:u w:val="single"/>
        </w:rPr>
        <w:t>Methods</w:t>
      </w:r>
    </w:p>
    <w:p w14:paraId="40058CB9" w14:textId="77777777" w:rsidR="005B4491" w:rsidRDefault="005B4491" w:rsidP="00AD7EE9">
      <w:pPr>
        <w:keepNext/>
        <w:outlineLvl w:val="0"/>
        <w:rPr>
          <w:bCs/>
          <w:iCs/>
        </w:rPr>
      </w:pPr>
    </w:p>
    <w:p w14:paraId="12D49571" w14:textId="082907D4" w:rsidR="00AD7EE9" w:rsidRDefault="00887B95" w:rsidP="00AD7EE9">
      <w:pPr>
        <w:keepNext/>
        <w:outlineLvl w:val="0"/>
        <w:rPr>
          <w:bCs/>
          <w:iCs/>
        </w:rPr>
      </w:pPr>
      <w:r>
        <w:rPr>
          <w:bCs/>
          <w:iCs/>
        </w:rPr>
        <w:t>T</w:t>
      </w:r>
      <w:r>
        <w:rPr>
          <w:bCs/>
          <w:iCs/>
        </w:rPr>
        <w:t>raditionally</w:t>
      </w:r>
      <w:r>
        <w:rPr>
          <w:bCs/>
          <w:iCs/>
        </w:rPr>
        <w:t xml:space="preserve">, </w:t>
      </w:r>
      <w:r w:rsidR="00DE33A2">
        <w:rPr>
          <w:bCs/>
          <w:iCs/>
        </w:rPr>
        <w:t>CVD risk equations have</w:t>
      </w:r>
      <w:r>
        <w:rPr>
          <w:bCs/>
          <w:iCs/>
        </w:rPr>
        <w:t xml:space="preserve"> </w:t>
      </w:r>
      <w:r w:rsidR="00DE33A2">
        <w:rPr>
          <w:bCs/>
          <w:iCs/>
        </w:rPr>
        <w:t>been developed using Cox proportional-hazards model</w:t>
      </w:r>
      <w:r>
        <w:rPr>
          <w:bCs/>
          <w:iCs/>
        </w:rPr>
        <w:t xml:space="preserve">s. The Cox model is highly interpretable and </w:t>
      </w:r>
      <w:r w:rsidR="00DE33A2">
        <w:rPr>
          <w:bCs/>
          <w:iCs/>
        </w:rPr>
        <w:t xml:space="preserve">can be used to investigate how the hazard changes in response to explanatory covariates. </w:t>
      </w:r>
      <w:r>
        <w:rPr>
          <w:bCs/>
          <w:iCs/>
        </w:rPr>
        <w:t xml:space="preserve">However, the Cox model is limited in its ability to account for large numbers of explanatory covariates (such as individual diagnostic codes or medications), complex event sequences and interactions. </w:t>
      </w:r>
      <w:r w:rsidR="00AD7EE9">
        <w:rPr>
          <w:bCs/>
          <w:iCs/>
        </w:rPr>
        <w:t>Recent work showed that the linear predictor of the Cox proportional</w:t>
      </w:r>
      <w:r w:rsidR="001C1B31">
        <w:rPr>
          <w:bCs/>
          <w:iCs/>
        </w:rPr>
        <w:t>-</w:t>
      </w:r>
      <w:r w:rsidR="00AD7EE9">
        <w:rPr>
          <w:bCs/>
          <w:iCs/>
        </w:rPr>
        <w:t>hazards model can be replaced by a deep neural network, leading to improved predictive accuracy in terms of concordance index</w:t>
      </w:r>
      <w:r w:rsidR="005F6A82" w:rsidRPr="005F6A82">
        <w:t xml:space="preserve"> </w:t>
      </w:r>
      <w:r w:rsidR="001C1B31">
        <w:rPr>
          <w:bCs/>
          <w:iCs/>
        </w:rPr>
        <w:fldChar w:fldCharType="begin"/>
      </w:r>
      <w:r w:rsidR="001C1B31">
        <w:rPr>
          <w:bCs/>
          <w:iCs/>
        </w:rPr>
        <w:instrText xml:space="preserve"> ADDIN EN.CITE &lt;EndNote&gt;&lt;Cite&gt;&lt;Author&gt;Katzman&lt;/Author&gt;&lt;Year&gt;2018&lt;/Year&gt;&lt;RecNum&gt;1&lt;/RecNum&gt;&lt;DisplayText&gt;[1]&lt;/DisplayText&gt;&lt;record&gt;&lt;rec-number&gt;1&lt;/rec-number&gt;&lt;foreign-keys&gt;&lt;key app="EN" db-id="5exvwtpdt22xzhewve75tsz950x50sww00dv" timestamp="1580299644"&gt;1&lt;/key&gt;&lt;/foreign-keys&gt;&lt;ref-type name="Journal Article"&gt;17&lt;/ref-type&gt;&lt;contributors&gt;&lt;authors&gt;&lt;author&gt;Katzman, Jared L&lt;/author&gt;&lt;author&gt;Shaham, Uri&lt;/author&gt;&lt;author&gt;Cloninger, Alexander&lt;/author&gt;&lt;author&gt;Bates, Jonathan&lt;/author&gt;&lt;author&gt;Jiang, Tingting&lt;/author&gt;&lt;author&gt;Kluger, Yuval %J BMC medical research methodology&lt;/author&gt;&lt;/authors&gt;&lt;/contributors&gt;&lt;titles&gt;&lt;title&gt;DeepSurv: personalized treatment recommender system using a Cox proportional hazards deep neural network&lt;/title&gt;&lt;/titles&gt;&lt;pages&gt;24&lt;/pages&gt;&lt;volume&gt;18&lt;/volume&gt;&lt;number&gt;1&lt;/number&gt;&lt;dates&gt;&lt;year&gt;2018&lt;/year&gt;&lt;/dates&gt;&lt;isbn&gt;1471-2288&lt;/isbn&gt;&lt;urls&gt;&lt;/urls&gt;&lt;/record&gt;&lt;/Cite&gt;&lt;/EndNote&gt;</w:instrText>
      </w:r>
      <w:r w:rsidR="001C1B31">
        <w:rPr>
          <w:bCs/>
          <w:iCs/>
        </w:rPr>
        <w:fldChar w:fldCharType="separate"/>
      </w:r>
      <w:r w:rsidR="001C1B31">
        <w:rPr>
          <w:bCs/>
          <w:iCs/>
          <w:noProof/>
        </w:rPr>
        <w:t>[1]</w:t>
      </w:r>
      <w:r w:rsidR="001C1B31">
        <w:rPr>
          <w:bCs/>
          <w:iCs/>
        </w:rPr>
        <w:fldChar w:fldCharType="end"/>
      </w:r>
      <w:r w:rsidR="00AD7EE9">
        <w:rPr>
          <w:bCs/>
          <w:iCs/>
        </w:rPr>
        <w:t xml:space="preserve">. </w:t>
      </w:r>
      <w:r w:rsidR="00C36531">
        <w:rPr>
          <w:bCs/>
          <w:iCs/>
        </w:rPr>
        <w:t xml:space="preserve">A popular component of many contemporary neural network architectures are attention mechanisms, which allow </w:t>
      </w:r>
      <w:r w:rsidR="005B4491">
        <w:rPr>
          <w:bCs/>
          <w:iCs/>
        </w:rPr>
        <w:t>the</w:t>
      </w:r>
      <w:r w:rsidR="00C36531">
        <w:rPr>
          <w:bCs/>
          <w:iCs/>
        </w:rPr>
        <w:t xml:space="preserve"> network to focus on specific subsets of relevant inputs and </w:t>
      </w:r>
      <w:r w:rsidR="00384F09">
        <w:rPr>
          <w:bCs/>
          <w:iCs/>
        </w:rPr>
        <w:t>can be used to formulate</w:t>
      </w:r>
      <w:r w:rsidR="00C36531">
        <w:rPr>
          <w:bCs/>
          <w:iCs/>
        </w:rPr>
        <w:t xml:space="preserve"> interpretable machine learning models </w:t>
      </w:r>
      <w:r w:rsidR="00C36531">
        <w:rPr>
          <w:bCs/>
          <w:iCs/>
        </w:rPr>
        <w:fldChar w:fldCharType="begin"/>
      </w:r>
      <w:r w:rsidR="00C36531">
        <w:rPr>
          <w:bCs/>
          <w:iCs/>
        </w:rPr>
        <w:instrText xml:space="preserve"> ADDIN EN.CITE &lt;EndNote&gt;&lt;Cite&gt;&lt;Author&gt;Vaswani&lt;/Author&gt;&lt;Year&gt;2017&lt;/Year&gt;&lt;RecNum&gt;3&lt;/RecNum&gt;&lt;DisplayText&gt;[2]&lt;/DisplayText&gt;&lt;record&gt;&lt;rec-number&gt;3&lt;/rec-number&gt;&lt;foreign-keys&gt;&lt;key app="EN" db-id="5exvwtpdt22xzhewve75tsz950x50sww00dv" timestamp="1580300793"&gt;3&lt;/key&gt;&lt;/foreign-keys&gt;&lt;ref-type name="Conference Proceedings"&gt;10&lt;/ref-type&gt;&lt;contributors&gt;&lt;authors&gt;&lt;author&gt;Vaswani, Ashish&lt;/author&gt;&lt;author&gt;Shazeer, Noam&lt;/author&gt;&lt;author&gt;Parmar, Niki&lt;/author&gt;&lt;author&gt;Uszkoreit, Jakob&lt;/author&gt;&lt;author&gt;Jones, Llion&lt;/author&gt;&lt;author&gt;Gomez, Aidan N&lt;/author&gt;&lt;author&gt;Kaiser, Łukasz&lt;/author&gt;&lt;author&gt;Polosukhin, Illia&lt;/author&gt;&lt;/authors&gt;&lt;/contributors&gt;&lt;titles&gt;&lt;title&gt;Attention is all you need&lt;/title&gt;&lt;secondary-title&gt;Advances in neural information processing systems&lt;/secondary-title&gt;&lt;/titles&gt;&lt;pages&gt;5998-6008&lt;/pages&gt;&lt;dates&gt;&lt;year&gt;2017&lt;/year&gt;&lt;/dates&gt;&lt;urls&gt;&lt;/urls&gt;&lt;/record&gt;&lt;/Cite&gt;&lt;/EndNote&gt;</w:instrText>
      </w:r>
      <w:r w:rsidR="00C36531">
        <w:rPr>
          <w:bCs/>
          <w:iCs/>
        </w:rPr>
        <w:fldChar w:fldCharType="separate"/>
      </w:r>
      <w:r w:rsidR="00C36531">
        <w:rPr>
          <w:bCs/>
          <w:iCs/>
          <w:noProof/>
        </w:rPr>
        <w:t>[2]</w:t>
      </w:r>
      <w:r w:rsidR="00C36531">
        <w:rPr>
          <w:bCs/>
          <w:iCs/>
        </w:rPr>
        <w:fldChar w:fldCharType="end"/>
      </w:r>
      <w:r w:rsidR="00C36531">
        <w:rPr>
          <w:bCs/>
          <w:iCs/>
        </w:rPr>
        <w:t xml:space="preserve">. By </w:t>
      </w:r>
      <w:r w:rsidR="005B4491">
        <w:rPr>
          <w:bCs/>
          <w:iCs/>
        </w:rPr>
        <w:t xml:space="preserve">applying a Cox model combined with an attention-based neural network to very large-linked administrative datasets we are going to compute hazard ratios associated with individual codes (e.g. diagnoses, medications), thereby identifying novel risk predictors </w:t>
      </w:r>
      <w:r w:rsidR="007D2129">
        <w:rPr>
          <w:bCs/>
          <w:iCs/>
        </w:rPr>
        <w:t>that will inform future risk prediction equations.</w:t>
      </w:r>
      <w:r w:rsidR="00FC4F9D">
        <w:rPr>
          <w:bCs/>
          <w:iCs/>
        </w:rPr>
        <w:t xml:space="preserve"> Models will be trained using a recently proposed cost function which</w:t>
      </w:r>
      <w:r w:rsidR="00AF0CD9">
        <w:rPr>
          <w:bCs/>
          <w:iCs/>
        </w:rPr>
        <w:t xml:space="preserve"> compares individuals experiencing an event to randomly sampled individuals at risk</w:t>
      </w:r>
      <w:r w:rsidR="00FC4F9D">
        <w:rPr>
          <w:bCs/>
          <w:iCs/>
        </w:rPr>
        <w:t xml:space="preserve">, </w:t>
      </w:r>
      <w:proofErr w:type="spellStart"/>
      <w:r w:rsidR="00AF0CD9">
        <w:rPr>
          <w:bCs/>
          <w:iCs/>
        </w:rPr>
        <w:t>an</w:t>
      </w:r>
      <w:proofErr w:type="spellEnd"/>
      <w:r w:rsidR="00AF0CD9">
        <w:rPr>
          <w:bCs/>
          <w:iCs/>
        </w:rPr>
        <w:t xml:space="preserve"> approach which </w:t>
      </w:r>
      <w:r w:rsidR="00AF0CD9">
        <w:rPr>
          <w:bCs/>
          <w:iCs/>
        </w:rPr>
        <w:t>has been shown to scale to large datasets and can readily be applied to non-proportional extensions of the Cox model</w:t>
      </w:r>
      <w:r w:rsidR="00AF0CD9">
        <w:rPr>
          <w:bCs/>
          <w:iCs/>
        </w:rPr>
        <w:t xml:space="preserve"> </w:t>
      </w:r>
      <w:r w:rsidR="00AF0CD9">
        <w:rPr>
          <w:bCs/>
          <w:iCs/>
        </w:rPr>
        <w:fldChar w:fldCharType="begin"/>
      </w:r>
      <w:r w:rsidR="00AF0CD9">
        <w:rPr>
          <w:bCs/>
          <w:iCs/>
        </w:rPr>
        <w:instrText xml:space="preserve"> ADDIN EN.CITE &lt;EndNote&gt;&lt;Cite&gt;&lt;Author&gt;Kvamme&lt;/Author&gt;&lt;Year&gt;2019&lt;/Year&gt;&lt;RecNum&gt;5&lt;/RecNum&gt;&lt;DisplayText&gt;[3]&lt;/DisplayText&gt;&lt;record&gt;&lt;rec-number&gt;5&lt;/rec-number&gt;&lt;foreign-keys&gt;&lt;key app="EN" db-id="5exvwtpdt22xzhewve75tsz950x50sww00dv" timestamp="1580303512"&gt;5&lt;/key&gt;&lt;/foreign-keys&gt;&lt;ref-type name="Journal Article"&gt;17&lt;/ref-type&gt;&lt;contributors&gt;&lt;authors&gt;&lt;author&gt;Kvamme, Håvard&lt;/author&gt;&lt;author&gt;Borgan, Ørnulf&lt;/author&gt;&lt;author&gt;Scheel, Ida %J Journal of Machine Learning Research&lt;/author&gt;&lt;/authors&gt;&lt;/contributors&gt;&lt;titles&gt;&lt;title&gt;Time-to-event prediction with neural networks and Cox regression&lt;/title&gt;&lt;/titles&gt;&lt;pages&gt;1-30&lt;/pages&gt;&lt;volume&gt;20&lt;/volume&gt;&lt;number&gt;129&lt;/number&gt;&lt;dates&gt;&lt;year&gt;2019&lt;/year&gt;&lt;/dates&gt;&lt;isbn&gt;1533-7928&lt;/isbn&gt;&lt;urls&gt;&lt;/urls&gt;&lt;/record&gt;&lt;/Cite&gt;&lt;/EndNote&gt;</w:instrText>
      </w:r>
      <w:r w:rsidR="00AF0CD9">
        <w:rPr>
          <w:bCs/>
          <w:iCs/>
        </w:rPr>
        <w:fldChar w:fldCharType="separate"/>
      </w:r>
      <w:r w:rsidR="00AF0CD9">
        <w:rPr>
          <w:bCs/>
          <w:iCs/>
          <w:noProof/>
        </w:rPr>
        <w:t>[3]</w:t>
      </w:r>
      <w:r w:rsidR="00AF0CD9">
        <w:rPr>
          <w:bCs/>
          <w:iCs/>
        </w:rPr>
        <w:fldChar w:fldCharType="end"/>
      </w:r>
      <w:r w:rsidR="00AF0CD9">
        <w:rPr>
          <w:bCs/>
          <w:iCs/>
        </w:rPr>
        <w:t>.</w:t>
      </w:r>
      <w:r w:rsidR="003C3C93">
        <w:rPr>
          <w:bCs/>
          <w:iCs/>
        </w:rPr>
        <w:t xml:space="preserve"> The feasibility of this</w:t>
      </w:r>
      <w:r w:rsidR="00FC4F9D">
        <w:rPr>
          <w:bCs/>
          <w:iCs/>
        </w:rPr>
        <w:t xml:space="preserve"> novel</w:t>
      </w:r>
      <w:r w:rsidR="003C3C93">
        <w:rPr>
          <w:bCs/>
          <w:iCs/>
        </w:rPr>
        <w:t xml:space="preserve"> approach has already been demonstrated by preliminary work </w:t>
      </w:r>
      <w:r w:rsidR="00FC4F9D">
        <w:rPr>
          <w:bCs/>
          <w:iCs/>
        </w:rPr>
        <w:t>using</w:t>
      </w:r>
      <w:r w:rsidR="003C3C93">
        <w:rPr>
          <w:bCs/>
          <w:iCs/>
        </w:rPr>
        <w:t xml:space="preserve"> the New Zealand VARIANZ data</w:t>
      </w:r>
      <w:r w:rsidR="00FC4F9D" w:rsidRPr="00FC4F9D">
        <w:t xml:space="preserve"> </w:t>
      </w:r>
      <w:r w:rsidR="00FC4F9D">
        <w:rPr>
          <w:bCs/>
          <w:iCs/>
        </w:rPr>
        <w:fldChar w:fldCharType="begin"/>
      </w:r>
      <w:r w:rsidR="00AF0CD9">
        <w:rPr>
          <w:bCs/>
          <w:iCs/>
        </w:rPr>
        <w:instrText xml:space="preserve"> ADDIN EN.CITE &lt;EndNote&gt;&lt;Cite&gt;&lt;Author&gt;Mehta&lt;/Author&gt;&lt;Year&gt;2018&lt;/Year&gt;&lt;RecNum&gt;4&lt;/RecNum&gt;&lt;DisplayText&gt;[4]&lt;/DisplayText&gt;&lt;record&gt;&lt;rec-number&gt;4&lt;/rec-number&gt;&lt;foreign-keys&gt;&lt;key app="EN" db-id="5exvwtpdt22xzhewve75tsz950x50sww00dv" timestamp="1580302991"&gt;4&lt;/key&gt;&lt;/foreign-keys&gt;&lt;ref-type name="Journal Article"&gt;17&lt;/ref-type&gt;&lt;contributors&gt;&lt;authors&gt;&lt;author&gt;Mehta, Suneela&lt;/author&gt;&lt;author&gt;Jackson, Rod&lt;/author&gt;&lt;author&gt;Pylypchuk, Romana&lt;/author&gt;&lt;author&gt;Poppe, Katrina&lt;/author&gt;&lt;author&gt;Wells, Sue&lt;/author&gt;&lt;author&gt;Kerr, Andrew J %J International journal of epidemiology&lt;/author&gt;&lt;/authors&gt;&lt;/contributors&gt;&lt;titles&gt;&lt;title&gt;Development and validation of alternative cardiovascular risk prediction equations for population health planning: a routine health data linkage study of 1.7 million New Zealanders&lt;/title&gt;&lt;/titles&gt;&lt;pages&gt;1571-1584&lt;/pages&gt;&lt;volume&gt;47&lt;/volume&gt;&lt;number&gt;5&lt;/number&gt;&lt;dates&gt;&lt;year&gt;2018&lt;/year&gt;&lt;/dates&gt;&lt;isbn&gt;0300-5771&lt;/isbn&gt;&lt;urls&gt;&lt;/urls&gt;&lt;/record&gt;&lt;/Cite&gt;&lt;/EndNote&gt;</w:instrText>
      </w:r>
      <w:r w:rsidR="00FC4F9D">
        <w:rPr>
          <w:bCs/>
          <w:iCs/>
        </w:rPr>
        <w:fldChar w:fldCharType="separate"/>
      </w:r>
      <w:r w:rsidR="00AF0CD9">
        <w:rPr>
          <w:bCs/>
          <w:iCs/>
          <w:noProof/>
        </w:rPr>
        <w:t>[4]</w:t>
      </w:r>
      <w:r w:rsidR="00FC4F9D">
        <w:rPr>
          <w:bCs/>
          <w:iCs/>
        </w:rPr>
        <w:fldChar w:fldCharType="end"/>
      </w:r>
      <w:r w:rsidR="003C3C93">
        <w:rPr>
          <w:bCs/>
          <w:iCs/>
        </w:rPr>
        <w:t xml:space="preserve">; in the Australian context these methods will be applied to </w:t>
      </w:r>
      <w:r w:rsidR="003C3C93" w:rsidRPr="003C3C93">
        <w:rPr>
          <w:bCs/>
          <w:iCs/>
        </w:rPr>
        <w:t>the National Integrated Health Services Information dataset, which captures whole-of-population longitudinal person-level information on hospitalisations, outpatient visits, Medicare claims, pharmaceutical dispensing and mortality.</w:t>
      </w:r>
    </w:p>
    <w:p w14:paraId="76382587" w14:textId="77777777" w:rsidR="005B4491" w:rsidRDefault="005B4491" w:rsidP="00AD7EE9">
      <w:pPr>
        <w:keepNext/>
        <w:outlineLvl w:val="0"/>
        <w:rPr>
          <w:bCs/>
          <w:iCs/>
        </w:rPr>
      </w:pPr>
    </w:p>
    <w:p w14:paraId="340C6B05" w14:textId="15419789" w:rsidR="00AD7EE9" w:rsidRPr="00AF0CD9" w:rsidRDefault="00AF0CD9" w:rsidP="00AD7EE9">
      <w:pPr>
        <w:widowControl w:val="0"/>
        <w:spacing w:after="120"/>
        <w:outlineLvl w:val="0"/>
        <w:rPr>
          <w:b/>
          <w:u w:val="single"/>
        </w:rPr>
      </w:pPr>
      <w:r w:rsidRPr="00AF0CD9">
        <w:rPr>
          <w:b/>
          <w:iCs/>
          <w:u w:val="single"/>
        </w:rPr>
        <w:t>Feasibility</w:t>
      </w:r>
    </w:p>
    <w:p w14:paraId="44507B30" w14:textId="58768790" w:rsidR="00855F82" w:rsidRDefault="001C04F5">
      <w:r>
        <w:t>We applied a Cox model combined with an attention-based neural network to estimate the risk of CVD death or hospitalization within 5 years for 1.7 million New Zealanders</w:t>
      </w:r>
      <w:r w:rsidR="001F00B7">
        <w:t>,</w:t>
      </w:r>
      <w:r>
        <w:t xml:space="preserve"> aged 30-74 </w:t>
      </w:r>
      <w:r w:rsidR="001F00B7">
        <w:t xml:space="preserve">years and without previous hospitalizations for CVD or heart failure </w:t>
      </w:r>
      <w:r w:rsidR="001F00B7">
        <w:fldChar w:fldCharType="begin"/>
      </w:r>
      <w:r w:rsidR="001F00B7">
        <w:instrText xml:space="preserve"> ADDIN EN.CITE &lt;EndNote&gt;&lt;Cite&gt;&lt;Author&gt;Mehta&lt;/Author&gt;&lt;Year&gt;2018&lt;/Year&gt;&lt;RecNum&gt;4&lt;/RecNum&gt;&lt;DisplayText&gt;[4]&lt;/DisplayText&gt;&lt;record&gt;&lt;rec-number&gt;4&lt;/rec-number&gt;&lt;foreign-keys&gt;&lt;key app="EN" db-id="5exvwtpdt22xzhewve75tsz950x50sww00dv" timestamp="1580302991"&gt;4&lt;/key&gt;&lt;/foreign-keys&gt;&lt;ref-type name="Journal Article"&gt;17&lt;/ref-type&gt;&lt;contributors&gt;&lt;authors&gt;&lt;author&gt;Mehta, Suneela&lt;/author&gt;&lt;author&gt;Jackson, Rod&lt;/author&gt;&lt;author&gt;Pylypchuk, Romana&lt;/author&gt;&lt;author&gt;Poppe, Katrina&lt;/author&gt;&lt;author&gt;Wells, Sue&lt;/author&gt;&lt;author&gt;Kerr, Andrew J %J International journal of epidemiology&lt;/author&gt;&lt;/authors&gt;&lt;/contributors&gt;&lt;titles&gt;&lt;title&gt;Development and validation of alternative cardiovascular risk prediction equations for population health planning: a routine health data linkage study of 1.7 million New Zealanders&lt;/title&gt;&lt;/titles&gt;&lt;pages&gt;1571-1584&lt;/pages&gt;&lt;volume&gt;47&lt;/volume&gt;&lt;number&gt;5&lt;/number&gt;&lt;dates&gt;&lt;year&gt;2018&lt;/year&gt;&lt;/dates&gt;&lt;isbn&gt;0300-5771&lt;/isbn&gt;&lt;urls&gt;&lt;/urls&gt;&lt;/record&gt;&lt;/Cite&gt;&lt;/EndNote&gt;</w:instrText>
      </w:r>
      <w:r w:rsidR="001F00B7">
        <w:fldChar w:fldCharType="separate"/>
      </w:r>
      <w:r w:rsidR="001F00B7">
        <w:rPr>
          <w:noProof/>
        </w:rPr>
        <w:t>[4]</w:t>
      </w:r>
      <w:r w:rsidR="001F00B7">
        <w:fldChar w:fldCharType="end"/>
      </w:r>
      <w:r>
        <w:t xml:space="preserve">. The </w:t>
      </w:r>
      <w:r w:rsidR="001F00B7">
        <w:t xml:space="preserve">employed VARIANZ </w:t>
      </w:r>
      <w:r>
        <w:t xml:space="preserve">dataset comprises demographic variables, hospitalizations, pharmaceutical dispensings and mortality. Table 1 </w:t>
      </w:r>
      <w:r w:rsidR="00ED784F">
        <w:t>shows</w:t>
      </w:r>
      <w:r>
        <w:t xml:space="preserve"> the hazard ratios between an individual with </w:t>
      </w:r>
      <w:r w:rsidR="00384F09">
        <w:t xml:space="preserve">a </w:t>
      </w:r>
      <w:bookmarkStart w:id="0" w:name="_GoBack"/>
      <w:bookmarkEnd w:id="0"/>
      <w:r w:rsidR="00384F09">
        <w:t>specific</w:t>
      </w:r>
      <w:r>
        <w:t xml:space="preserve"> </w:t>
      </w:r>
      <w:r w:rsidR="00384F09">
        <w:t xml:space="preserve">primary diagnostic </w:t>
      </w:r>
      <w:r>
        <w:t xml:space="preserve">code and </w:t>
      </w:r>
      <w:r w:rsidR="001F00B7">
        <w:t>a</w:t>
      </w:r>
      <w:r w:rsidR="00384F09">
        <w:t xml:space="preserve"> (perfectly healthy)</w:t>
      </w:r>
      <w:r w:rsidR="001F00B7">
        <w:t xml:space="preserve"> individual with the same demographic variables but no recorded diagnostic codes or pharmaceutical dispensings in the 5 years prior to risk assessment.</w:t>
      </w:r>
      <w:r w:rsidR="00ED784F">
        <w:t xml:space="preserve"> Confidence intervals for the estimated hazard ratios were computed using an ensemble of 100 deep neural networks </w:t>
      </w:r>
      <w:r w:rsidR="00ED784F">
        <w:fldChar w:fldCharType="begin"/>
      </w:r>
      <w:r w:rsidR="00ED784F">
        <w:instrText xml:space="preserve"> ADDIN EN.CITE &lt;EndNote&gt;&lt;Cite&gt;&lt;Author&gt;Lakshminarayanan&lt;/Author&gt;&lt;Year&gt;2017&lt;/Year&gt;&lt;RecNum&gt;6&lt;/RecNum&gt;&lt;DisplayText&gt;[5]&lt;/DisplayText&gt;&lt;record&gt;&lt;rec-number&gt;6&lt;/rec-number&gt;&lt;foreign-keys&gt;&lt;key app="EN" db-id="5exvwtpdt22xzhewve75tsz950x50sww00dv" timestamp="1580304878"&gt;6&lt;/key&gt;&lt;/foreign-keys&gt;&lt;ref-type name="Conference Proceedings"&gt;10&lt;/ref-type&gt;&lt;contributors&gt;&lt;authors&gt;&lt;author&gt;Lakshminarayanan, Balaji&lt;/author&gt;&lt;author&gt;Pritzel, Alexander&lt;/author&gt;&lt;author&gt;Blundell, Charles&lt;/author&gt;&lt;/authors&gt;&lt;/contributors&gt;&lt;titles&gt;&lt;title&gt;Simple and scalable predictive uncertainty estimation using deep ensembles&lt;/title&gt;&lt;secondary-title&gt;Advances in neural information processing systems&lt;/secondary-title&gt;&lt;/titles&gt;&lt;pages&gt;6402-6413&lt;/pages&gt;&lt;dates&gt;&lt;year&gt;2017&lt;/year&gt;&lt;/dates&gt;&lt;urls&gt;&lt;/urls&gt;&lt;/record&gt;&lt;/Cite&gt;&lt;/EndNote&gt;</w:instrText>
      </w:r>
      <w:r w:rsidR="00ED784F">
        <w:fldChar w:fldCharType="separate"/>
      </w:r>
      <w:r w:rsidR="00ED784F">
        <w:rPr>
          <w:noProof/>
        </w:rPr>
        <w:t>[5]</w:t>
      </w:r>
      <w:r w:rsidR="00ED784F">
        <w:fldChar w:fldCharType="end"/>
      </w:r>
      <w:r w:rsidR="00ED784F">
        <w:t>.</w:t>
      </w:r>
    </w:p>
    <w:p w14:paraId="3AEB8C55" w14:textId="79736022" w:rsidR="00ED784F" w:rsidRDefault="00ED784F"/>
    <w:p w14:paraId="5A3BEE96" w14:textId="4690A6B0" w:rsidR="00ED784F" w:rsidRDefault="00ED784F">
      <w:r>
        <w:t xml:space="preserve">Table 1. </w:t>
      </w:r>
      <w:r w:rsidR="00384F09">
        <w:t>L</w:t>
      </w:r>
      <w:r>
        <w:t>argest hazard ratios</w:t>
      </w:r>
      <w:r w:rsidR="00D00A6E">
        <w:t xml:space="preserve"> </w:t>
      </w:r>
      <w:r w:rsidR="00384F09">
        <w:t xml:space="preserve">for primary diagnostic codes </w:t>
      </w:r>
      <w:r w:rsidR="00D00A6E">
        <w:t>(mean, [95% confidence interval])</w:t>
      </w:r>
      <w: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6237"/>
        <w:gridCol w:w="1842"/>
      </w:tblGrid>
      <w:tr w:rsidR="00D00A6E" w:rsidRPr="00D00A6E" w14:paraId="4CC394DD" w14:textId="77777777" w:rsidTr="007B7184">
        <w:trPr>
          <w:trHeight w:val="300"/>
        </w:trPr>
        <w:tc>
          <w:tcPr>
            <w:tcW w:w="988" w:type="dxa"/>
            <w:noWrap/>
            <w:hideMark/>
          </w:tcPr>
          <w:p w14:paraId="1C0AF2EA" w14:textId="58D6C530" w:rsidR="00D00A6E" w:rsidRPr="00D00A6E" w:rsidRDefault="007B7184">
            <w:r>
              <w:t>ICD-10</w:t>
            </w:r>
          </w:p>
        </w:tc>
        <w:tc>
          <w:tcPr>
            <w:tcW w:w="6237" w:type="dxa"/>
            <w:noWrap/>
            <w:hideMark/>
          </w:tcPr>
          <w:p w14:paraId="29650A64" w14:textId="77777777" w:rsidR="00D00A6E" w:rsidRPr="00D00A6E" w:rsidRDefault="00D00A6E">
            <w:r w:rsidRPr="00D00A6E">
              <w:t>DESCRIPTION</w:t>
            </w:r>
          </w:p>
        </w:tc>
        <w:tc>
          <w:tcPr>
            <w:tcW w:w="1842" w:type="dxa"/>
            <w:noWrap/>
            <w:hideMark/>
          </w:tcPr>
          <w:p w14:paraId="3A93A23B" w14:textId="577A6898" w:rsidR="00D00A6E" w:rsidRPr="00D00A6E" w:rsidRDefault="00D00A6E">
            <w:r w:rsidRPr="00D00A6E">
              <w:t>H</w:t>
            </w:r>
            <w:r>
              <w:t xml:space="preserve">azard </w:t>
            </w:r>
            <w:r w:rsidRPr="00D00A6E">
              <w:t>R</w:t>
            </w:r>
            <w:r>
              <w:t>atio</w:t>
            </w:r>
          </w:p>
        </w:tc>
      </w:tr>
      <w:tr w:rsidR="00D00A6E" w:rsidRPr="00D00A6E" w14:paraId="46515192" w14:textId="77777777" w:rsidTr="007B7184">
        <w:trPr>
          <w:trHeight w:val="300"/>
        </w:trPr>
        <w:tc>
          <w:tcPr>
            <w:tcW w:w="988" w:type="dxa"/>
            <w:noWrap/>
            <w:hideMark/>
          </w:tcPr>
          <w:p w14:paraId="0632BD8D" w14:textId="77777777" w:rsidR="00D00A6E" w:rsidRPr="00D00A6E" w:rsidRDefault="00D00A6E">
            <w:r w:rsidRPr="00D00A6E">
              <w:t>I10</w:t>
            </w:r>
          </w:p>
        </w:tc>
        <w:tc>
          <w:tcPr>
            <w:tcW w:w="6237" w:type="dxa"/>
            <w:noWrap/>
            <w:hideMark/>
          </w:tcPr>
          <w:p w14:paraId="652DDC13" w14:textId="77777777" w:rsidR="00D00A6E" w:rsidRPr="00D00A6E" w:rsidRDefault="00D00A6E">
            <w:r w:rsidRPr="00D00A6E">
              <w:t>Essential (primary) hypertension</w:t>
            </w:r>
          </w:p>
        </w:tc>
        <w:tc>
          <w:tcPr>
            <w:tcW w:w="1842" w:type="dxa"/>
            <w:noWrap/>
            <w:hideMark/>
          </w:tcPr>
          <w:p w14:paraId="5ECBAA4E" w14:textId="7B2947C8" w:rsidR="00D00A6E" w:rsidRPr="00D00A6E" w:rsidRDefault="00D00A6E" w:rsidP="007B7184">
            <w:r w:rsidRPr="00D00A6E">
              <w:t>22.</w:t>
            </w:r>
            <w:r>
              <w:t>1 [</w:t>
            </w:r>
            <w:r w:rsidRPr="00D00A6E">
              <w:t>16.</w:t>
            </w:r>
            <w:r>
              <w:t>5,</w:t>
            </w:r>
            <w:r w:rsidR="007B7184">
              <w:t xml:space="preserve"> </w:t>
            </w:r>
            <w:r w:rsidRPr="00D00A6E">
              <w:t>29.5</w:t>
            </w:r>
            <w:r>
              <w:t>]</w:t>
            </w:r>
          </w:p>
        </w:tc>
      </w:tr>
      <w:tr w:rsidR="00D00A6E" w:rsidRPr="00D00A6E" w14:paraId="64C419F3" w14:textId="77777777" w:rsidTr="007B7184">
        <w:trPr>
          <w:trHeight w:val="300"/>
        </w:trPr>
        <w:tc>
          <w:tcPr>
            <w:tcW w:w="988" w:type="dxa"/>
            <w:noWrap/>
            <w:hideMark/>
          </w:tcPr>
          <w:p w14:paraId="38B322B5" w14:textId="77777777" w:rsidR="00D00A6E" w:rsidRPr="00D00A6E" w:rsidRDefault="00D00A6E">
            <w:r w:rsidRPr="00D00A6E">
              <w:t>Z490</w:t>
            </w:r>
          </w:p>
        </w:tc>
        <w:tc>
          <w:tcPr>
            <w:tcW w:w="6237" w:type="dxa"/>
            <w:noWrap/>
            <w:hideMark/>
          </w:tcPr>
          <w:p w14:paraId="6FB62D00" w14:textId="77777777" w:rsidR="00D00A6E" w:rsidRPr="00D00A6E" w:rsidRDefault="00D00A6E">
            <w:r w:rsidRPr="00D00A6E">
              <w:t>Preparatory care for dialysis</w:t>
            </w:r>
          </w:p>
        </w:tc>
        <w:tc>
          <w:tcPr>
            <w:tcW w:w="1842" w:type="dxa"/>
            <w:noWrap/>
            <w:hideMark/>
          </w:tcPr>
          <w:p w14:paraId="1D0BB24E" w14:textId="56CDAD92" w:rsidR="00D00A6E" w:rsidRPr="00D00A6E" w:rsidRDefault="00D00A6E" w:rsidP="007B7184">
            <w:r w:rsidRPr="00D00A6E">
              <w:t>14.</w:t>
            </w:r>
            <w:r>
              <w:t>1</w:t>
            </w:r>
            <w:r w:rsidR="007B7184">
              <w:t xml:space="preserve"> </w:t>
            </w:r>
            <w:r>
              <w:t>[</w:t>
            </w:r>
            <w:r w:rsidRPr="00D00A6E">
              <w:t>8.9</w:t>
            </w:r>
            <w:r>
              <w:t>,</w:t>
            </w:r>
            <w:r w:rsidR="007B7184">
              <w:t xml:space="preserve"> </w:t>
            </w:r>
            <w:r w:rsidRPr="00D00A6E">
              <w:t>22.</w:t>
            </w:r>
            <w:r>
              <w:t>3]</w:t>
            </w:r>
          </w:p>
        </w:tc>
      </w:tr>
      <w:tr w:rsidR="00D00A6E" w:rsidRPr="00D00A6E" w14:paraId="21185F7D" w14:textId="77777777" w:rsidTr="007B7184">
        <w:trPr>
          <w:trHeight w:val="300"/>
        </w:trPr>
        <w:tc>
          <w:tcPr>
            <w:tcW w:w="988" w:type="dxa"/>
            <w:noWrap/>
            <w:hideMark/>
          </w:tcPr>
          <w:p w14:paraId="52246148" w14:textId="77777777" w:rsidR="00D00A6E" w:rsidRPr="00D00A6E" w:rsidRDefault="00D00A6E">
            <w:r w:rsidRPr="00D00A6E">
              <w:t>M8697</w:t>
            </w:r>
          </w:p>
        </w:tc>
        <w:tc>
          <w:tcPr>
            <w:tcW w:w="6237" w:type="dxa"/>
            <w:noWrap/>
            <w:hideMark/>
          </w:tcPr>
          <w:p w14:paraId="19BA8F4A" w14:textId="77777777" w:rsidR="00D00A6E" w:rsidRPr="00D00A6E" w:rsidRDefault="00D00A6E">
            <w:r w:rsidRPr="00D00A6E">
              <w:t>Unspecified osteomyelitis, ankle and foot</w:t>
            </w:r>
          </w:p>
        </w:tc>
        <w:tc>
          <w:tcPr>
            <w:tcW w:w="1842" w:type="dxa"/>
            <w:noWrap/>
            <w:hideMark/>
          </w:tcPr>
          <w:p w14:paraId="5633ED03" w14:textId="24E6F3F9" w:rsidR="00D00A6E" w:rsidRPr="00D00A6E" w:rsidRDefault="00D00A6E" w:rsidP="007B7184">
            <w:r w:rsidRPr="00D00A6E">
              <w:t>10.8</w:t>
            </w:r>
            <w:r w:rsidR="007B7184">
              <w:t xml:space="preserve"> </w:t>
            </w:r>
            <w:r>
              <w:t>[</w:t>
            </w:r>
            <w:r w:rsidRPr="00D00A6E">
              <w:t>8.0</w:t>
            </w:r>
            <w:r>
              <w:t>,</w:t>
            </w:r>
            <w:r w:rsidR="007B7184">
              <w:t xml:space="preserve"> </w:t>
            </w:r>
            <w:r w:rsidRPr="00D00A6E">
              <w:t>14.</w:t>
            </w:r>
            <w:r>
              <w:t>5]</w:t>
            </w:r>
          </w:p>
        </w:tc>
      </w:tr>
      <w:tr w:rsidR="00D00A6E" w:rsidRPr="00D00A6E" w14:paraId="742E2B3A" w14:textId="77777777" w:rsidTr="007B7184">
        <w:trPr>
          <w:trHeight w:val="300"/>
        </w:trPr>
        <w:tc>
          <w:tcPr>
            <w:tcW w:w="988" w:type="dxa"/>
            <w:noWrap/>
            <w:hideMark/>
          </w:tcPr>
          <w:p w14:paraId="3F13F841" w14:textId="77777777" w:rsidR="00D00A6E" w:rsidRPr="00D00A6E" w:rsidRDefault="00D00A6E">
            <w:r w:rsidRPr="00D00A6E">
              <w:t>M329</w:t>
            </w:r>
          </w:p>
        </w:tc>
        <w:tc>
          <w:tcPr>
            <w:tcW w:w="6237" w:type="dxa"/>
            <w:noWrap/>
            <w:hideMark/>
          </w:tcPr>
          <w:p w14:paraId="40F9EE6B" w14:textId="77777777" w:rsidR="00D00A6E" w:rsidRPr="00D00A6E" w:rsidRDefault="00D00A6E">
            <w:r w:rsidRPr="00D00A6E">
              <w:t>Systemic lupus erythematosus, unspecified</w:t>
            </w:r>
          </w:p>
        </w:tc>
        <w:tc>
          <w:tcPr>
            <w:tcW w:w="1842" w:type="dxa"/>
            <w:noWrap/>
            <w:hideMark/>
          </w:tcPr>
          <w:p w14:paraId="7CB984F2" w14:textId="4F31F8F1" w:rsidR="00D00A6E" w:rsidRPr="00D00A6E" w:rsidRDefault="00D00A6E" w:rsidP="007B7184">
            <w:r w:rsidRPr="00D00A6E">
              <w:t>10.7</w:t>
            </w:r>
            <w:r w:rsidR="007B7184">
              <w:t xml:space="preserve"> </w:t>
            </w:r>
            <w:r>
              <w:t>[</w:t>
            </w:r>
            <w:r w:rsidRPr="00D00A6E">
              <w:t>7.8</w:t>
            </w:r>
            <w:r>
              <w:t>,</w:t>
            </w:r>
            <w:r w:rsidR="007B7184">
              <w:t xml:space="preserve"> </w:t>
            </w:r>
            <w:r w:rsidRPr="00D00A6E">
              <w:t>14.</w:t>
            </w:r>
            <w:r>
              <w:t>8]</w:t>
            </w:r>
          </w:p>
        </w:tc>
      </w:tr>
      <w:tr w:rsidR="00D00A6E" w:rsidRPr="00D00A6E" w14:paraId="0A9D6725" w14:textId="77777777" w:rsidTr="007B7184">
        <w:trPr>
          <w:trHeight w:val="300"/>
        </w:trPr>
        <w:tc>
          <w:tcPr>
            <w:tcW w:w="988" w:type="dxa"/>
            <w:noWrap/>
            <w:hideMark/>
          </w:tcPr>
          <w:p w14:paraId="2A3D3EE4" w14:textId="77777777" w:rsidR="00D00A6E" w:rsidRPr="00D00A6E" w:rsidRDefault="00D00A6E">
            <w:r w:rsidRPr="00D00A6E">
              <w:t>E1173</w:t>
            </w:r>
          </w:p>
        </w:tc>
        <w:tc>
          <w:tcPr>
            <w:tcW w:w="6237" w:type="dxa"/>
            <w:noWrap/>
            <w:hideMark/>
          </w:tcPr>
          <w:p w14:paraId="72E637D0" w14:textId="77777777" w:rsidR="00D00A6E" w:rsidRPr="00D00A6E" w:rsidRDefault="00D00A6E">
            <w:r w:rsidRPr="00D00A6E">
              <w:t>Type 2 diabetes mellitus with foot ulcer due to multiple causes</w:t>
            </w:r>
          </w:p>
        </w:tc>
        <w:tc>
          <w:tcPr>
            <w:tcW w:w="1842" w:type="dxa"/>
            <w:noWrap/>
            <w:hideMark/>
          </w:tcPr>
          <w:p w14:paraId="56FEDE27" w14:textId="13CA2A2E" w:rsidR="00D00A6E" w:rsidRPr="00D00A6E" w:rsidRDefault="00D00A6E" w:rsidP="007B7184">
            <w:r w:rsidRPr="00D00A6E">
              <w:t>9.</w:t>
            </w:r>
            <w:r>
              <w:t>3</w:t>
            </w:r>
            <w:r w:rsidR="007B7184">
              <w:t xml:space="preserve"> </w:t>
            </w:r>
            <w:r>
              <w:t>[</w:t>
            </w:r>
            <w:r w:rsidRPr="00D00A6E">
              <w:t>5.4</w:t>
            </w:r>
            <w:r>
              <w:t>,</w:t>
            </w:r>
            <w:r w:rsidR="007B7184">
              <w:t xml:space="preserve"> </w:t>
            </w:r>
            <w:r w:rsidRPr="00D00A6E">
              <w:t>15.7</w:t>
            </w:r>
            <w:r>
              <w:t>]</w:t>
            </w:r>
          </w:p>
        </w:tc>
      </w:tr>
      <w:tr w:rsidR="00D00A6E" w:rsidRPr="00D00A6E" w14:paraId="6D4020FE" w14:textId="77777777" w:rsidTr="007B7184">
        <w:trPr>
          <w:trHeight w:val="300"/>
        </w:trPr>
        <w:tc>
          <w:tcPr>
            <w:tcW w:w="988" w:type="dxa"/>
            <w:noWrap/>
            <w:hideMark/>
          </w:tcPr>
          <w:p w14:paraId="538ABC46" w14:textId="77777777" w:rsidR="00D00A6E" w:rsidRPr="00D00A6E" w:rsidRDefault="00D00A6E">
            <w:r w:rsidRPr="00D00A6E">
              <w:t>J440</w:t>
            </w:r>
          </w:p>
        </w:tc>
        <w:tc>
          <w:tcPr>
            <w:tcW w:w="6237" w:type="dxa"/>
            <w:noWrap/>
            <w:hideMark/>
          </w:tcPr>
          <w:p w14:paraId="055BE6DF" w14:textId="77777777" w:rsidR="00D00A6E" w:rsidRPr="00D00A6E" w:rsidRDefault="00D00A6E">
            <w:r w:rsidRPr="00D00A6E">
              <w:t>Chronic obstructive pulmonary disease with acute lower respiratory infection</w:t>
            </w:r>
          </w:p>
        </w:tc>
        <w:tc>
          <w:tcPr>
            <w:tcW w:w="1842" w:type="dxa"/>
            <w:noWrap/>
            <w:hideMark/>
          </w:tcPr>
          <w:p w14:paraId="545F7609" w14:textId="4D889AB6" w:rsidR="00D00A6E" w:rsidRPr="00D00A6E" w:rsidRDefault="00D00A6E" w:rsidP="007B7184">
            <w:r w:rsidRPr="00D00A6E">
              <w:t>8.</w:t>
            </w:r>
            <w:r>
              <w:t>6</w:t>
            </w:r>
            <w:r w:rsidR="007B7184">
              <w:t xml:space="preserve"> </w:t>
            </w:r>
            <w:r>
              <w:t>[</w:t>
            </w:r>
            <w:r w:rsidRPr="00D00A6E">
              <w:t>6.3</w:t>
            </w:r>
            <w:r>
              <w:t>,</w:t>
            </w:r>
            <w:r w:rsidR="007B7184">
              <w:t xml:space="preserve"> </w:t>
            </w:r>
            <w:r w:rsidRPr="00D00A6E">
              <w:t>11.</w:t>
            </w:r>
            <w:r>
              <w:t>6]</w:t>
            </w:r>
          </w:p>
        </w:tc>
      </w:tr>
      <w:tr w:rsidR="00D00A6E" w:rsidRPr="00D00A6E" w14:paraId="2B98F47C" w14:textId="77777777" w:rsidTr="007B7184">
        <w:trPr>
          <w:trHeight w:val="300"/>
        </w:trPr>
        <w:tc>
          <w:tcPr>
            <w:tcW w:w="988" w:type="dxa"/>
            <w:noWrap/>
            <w:hideMark/>
          </w:tcPr>
          <w:p w14:paraId="503E956D" w14:textId="77777777" w:rsidR="00D00A6E" w:rsidRPr="00D00A6E" w:rsidRDefault="00D00A6E">
            <w:r w:rsidRPr="00D00A6E">
              <w:t>O100</w:t>
            </w:r>
          </w:p>
        </w:tc>
        <w:tc>
          <w:tcPr>
            <w:tcW w:w="6237" w:type="dxa"/>
            <w:noWrap/>
            <w:hideMark/>
          </w:tcPr>
          <w:p w14:paraId="43C3B891" w14:textId="77777777" w:rsidR="00D00A6E" w:rsidRPr="00D00A6E" w:rsidRDefault="00D00A6E">
            <w:r w:rsidRPr="00D00A6E">
              <w:t>Pre-existing essential hypertension complicating pregnancy, childbirth and the puerperium</w:t>
            </w:r>
          </w:p>
        </w:tc>
        <w:tc>
          <w:tcPr>
            <w:tcW w:w="1842" w:type="dxa"/>
            <w:noWrap/>
            <w:hideMark/>
          </w:tcPr>
          <w:p w14:paraId="5940F236" w14:textId="5F0DD016" w:rsidR="00D00A6E" w:rsidRPr="00D00A6E" w:rsidRDefault="00D00A6E" w:rsidP="007B7184">
            <w:r w:rsidRPr="00D00A6E">
              <w:t>8.</w:t>
            </w:r>
            <w:r>
              <w:t>5</w:t>
            </w:r>
            <w:r w:rsidR="007B7184">
              <w:t xml:space="preserve"> </w:t>
            </w:r>
            <w:r>
              <w:t>[7.0,</w:t>
            </w:r>
            <w:r w:rsidR="007B7184">
              <w:t xml:space="preserve"> </w:t>
            </w:r>
            <w:r w:rsidRPr="00D00A6E">
              <w:t>10.3</w:t>
            </w:r>
            <w:r>
              <w:t>]</w:t>
            </w:r>
          </w:p>
        </w:tc>
      </w:tr>
      <w:tr w:rsidR="00D00A6E" w:rsidRPr="00D00A6E" w14:paraId="123851A2" w14:textId="77777777" w:rsidTr="007B7184">
        <w:trPr>
          <w:trHeight w:val="300"/>
        </w:trPr>
        <w:tc>
          <w:tcPr>
            <w:tcW w:w="988" w:type="dxa"/>
            <w:noWrap/>
            <w:hideMark/>
          </w:tcPr>
          <w:p w14:paraId="25E7FDFC" w14:textId="77777777" w:rsidR="00D00A6E" w:rsidRPr="00D00A6E" w:rsidRDefault="00D00A6E">
            <w:r w:rsidRPr="00D00A6E">
              <w:lastRenderedPageBreak/>
              <w:t>L97</w:t>
            </w:r>
          </w:p>
        </w:tc>
        <w:tc>
          <w:tcPr>
            <w:tcW w:w="6237" w:type="dxa"/>
            <w:noWrap/>
            <w:hideMark/>
          </w:tcPr>
          <w:p w14:paraId="7F648975" w14:textId="77777777" w:rsidR="00D00A6E" w:rsidRPr="00D00A6E" w:rsidRDefault="00D00A6E">
            <w:r w:rsidRPr="00D00A6E">
              <w:t>Ulcer of lower limb, not elsewhere classified</w:t>
            </w:r>
          </w:p>
        </w:tc>
        <w:tc>
          <w:tcPr>
            <w:tcW w:w="1842" w:type="dxa"/>
            <w:noWrap/>
            <w:hideMark/>
          </w:tcPr>
          <w:p w14:paraId="7F26E551" w14:textId="16F5DC90" w:rsidR="00D00A6E" w:rsidRPr="00D00A6E" w:rsidRDefault="00D00A6E" w:rsidP="007B7184">
            <w:r w:rsidRPr="00D00A6E">
              <w:t>7.</w:t>
            </w:r>
            <w:r>
              <w:t>9</w:t>
            </w:r>
            <w:r w:rsidR="007B7184">
              <w:t xml:space="preserve"> </w:t>
            </w:r>
            <w:r>
              <w:t>[</w:t>
            </w:r>
            <w:r w:rsidRPr="00D00A6E">
              <w:t>6.2</w:t>
            </w:r>
            <w:r>
              <w:t>,</w:t>
            </w:r>
            <w:r w:rsidR="007B7184">
              <w:t xml:space="preserve"> </w:t>
            </w:r>
            <w:r>
              <w:t>10.0]</w:t>
            </w:r>
          </w:p>
        </w:tc>
      </w:tr>
      <w:tr w:rsidR="00D00A6E" w:rsidRPr="00D00A6E" w14:paraId="52649AB0" w14:textId="77777777" w:rsidTr="007B7184">
        <w:trPr>
          <w:trHeight w:val="300"/>
        </w:trPr>
        <w:tc>
          <w:tcPr>
            <w:tcW w:w="988" w:type="dxa"/>
            <w:noWrap/>
            <w:hideMark/>
          </w:tcPr>
          <w:p w14:paraId="15A07B69" w14:textId="77777777" w:rsidR="00D00A6E" w:rsidRPr="00D00A6E" w:rsidRDefault="00D00A6E">
            <w:r w:rsidRPr="00D00A6E">
              <w:t>C343</w:t>
            </w:r>
          </w:p>
        </w:tc>
        <w:tc>
          <w:tcPr>
            <w:tcW w:w="6237" w:type="dxa"/>
            <w:noWrap/>
            <w:hideMark/>
          </w:tcPr>
          <w:p w14:paraId="2128D696" w14:textId="77777777" w:rsidR="00D00A6E" w:rsidRPr="00D00A6E" w:rsidRDefault="00D00A6E">
            <w:r w:rsidRPr="00D00A6E">
              <w:t>Malignant neoplasm of lower lobe, bronchus or lung</w:t>
            </w:r>
          </w:p>
        </w:tc>
        <w:tc>
          <w:tcPr>
            <w:tcW w:w="1842" w:type="dxa"/>
            <w:noWrap/>
            <w:hideMark/>
          </w:tcPr>
          <w:p w14:paraId="14CE88D9" w14:textId="29DF7A03" w:rsidR="00D00A6E" w:rsidRPr="00D00A6E" w:rsidRDefault="00D00A6E" w:rsidP="007B7184">
            <w:r w:rsidRPr="00D00A6E">
              <w:t>7.</w:t>
            </w:r>
            <w:r>
              <w:t>8</w:t>
            </w:r>
            <w:r w:rsidR="007B7184">
              <w:t xml:space="preserve"> </w:t>
            </w:r>
            <w:r>
              <w:t>[</w:t>
            </w:r>
            <w:r w:rsidRPr="00D00A6E">
              <w:t>6.1</w:t>
            </w:r>
            <w:r>
              <w:t>,</w:t>
            </w:r>
            <w:r w:rsidR="007B7184">
              <w:t xml:space="preserve"> </w:t>
            </w:r>
            <w:r w:rsidRPr="00D00A6E">
              <w:t>9.8</w:t>
            </w:r>
            <w:r>
              <w:t>]</w:t>
            </w:r>
          </w:p>
        </w:tc>
      </w:tr>
      <w:tr w:rsidR="00D00A6E" w:rsidRPr="00D00A6E" w14:paraId="673B117D" w14:textId="77777777" w:rsidTr="007B7184">
        <w:trPr>
          <w:trHeight w:val="300"/>
        </w:trPr>
        <w:tc>
          <w:tcPr>
            <w:tcW w:w="988" w:type="dxa"/>
            <w:noWrap/>
            <w:hideMark/>
          </w:tcPr>
          <w:p w14:paraId="788F3211" w14:textId="77777777" w:rsidR="00D00A6E" w:rsidRPr="00D00A6E" w:rsidRDefault="00D00A6E">
            <w:r w:rsidRPr="00D00A6E">
              <w:t>I671</w:t>
            </w:r>
          </w:p>
        </w:tc>
        <w:tc>
          <w:tcPr>
            <w:tcW w:w="6237" w:type="dxa"/>
            <w:noWrap/>
            <w:hideMark/>
          </w:tcPr>
          <w:p w14:paraId="09419F44" w14:textId="77777777" w:rsidR="00D00A6E" w:rsidRPr="00D00A6E" w:rsidRDefault="00D00A6E">
            <w:r w:rsidRPr="00D00A6E">
              <w:t xml:space="preserve">Cerebral aneurysm, </w:t>
            </w:r>
            <w:proofErr w:type="spellStart"/>
            <w:r w:rsidRPr="00D00A6E">
              <w:t>nonruptured</w:t>
            </w:r>
            <w:proofErr w:type="spellEnd"/>
          </w:p>
        </w:tc>
        <w:tc>
          <w:tcPr>
            <w:tcW w:w="1842" w:type="dxa"/>
            <w:noWrap/>
            <w:hideMark/>
          </w:tcPr>
          <w:p w14:paraId="64608E2C" w14:textId="03D3BC7C" w:rsidR="00D00A6E" w:rsidRPr="00D00A6E" w:rsidRDefault="00D00A6E" w:rsidP="007B7184">
            <w:r w:rsidRPr="00D00A6E">
              <w:t>6.</w:t>
            </w:r>
            <w:r>
              <w:t>9</w:t>
            </w:r>
            <w:r w:rsidR="007B7184">
              <w:t xml:space="preserve"> </w:t>
            </w:r>
            <w:r>
              <w:t>[</w:t>
            </w:r>
            <w:r w:rsidRPr="00D00A6E">
              <w:t>5.3</w:t>
            </w:r>
            <w:r>
              <w:t>,</w:t>
            </w:r>
            <w:r w:rsidR="007B7184">
              <w:t xml:space="preserve"> </w:t>
            </w:r>
            <w:r w:rsidRPr="00D00A6E">
              <w:t>8.8</w:t>
            </w:r>
            <w:r>
              <w:t>]</w:t>
            </w:r>
          </w:p>
        </w:tc>
      </w:tr>
    </w:tbl>
    <w:p w14:paraId="1CE725D9" w14:textId="77777777" w:rsidR="00ED784F" w:rsidRDefault="00ED784F"/>
    <w:p w14:paraId="3E18157D" w14:textId="77777777" w:rsidR="001C1B31" w:rsidRDefault="001C1B31"/>
    <w:p w14:paraId="59CC1EC6" w14:textId="142D2FE8" w:rsidR="001C1B31" w:rsidRPr="00EA4815" w:rsidRDefault="00EA4815">
      <w:pPr>
        <w:rPr>
          <w:b/>
          <w:bCs/>
          <w:u w:val="single"/>
        </w:rPr>
      </w:pPr>
      <w:r w:rsidRPr="00EA4815">
        <w:rPr>
          <w:b/>
          <w:bCs/>
          <w:u w:val="single"/>
        </w:rPr>
        <w:t>References</w:t>
      </w:r>
    </w:p>
    <w:p w14:paraId="698FF23A" w14:textId="77777777" w:rsidR="00ED784F" w:rsidRPr="00ED784F" w:rsidRDefault="001C1B31" w:rsidP="00ED784F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D784F" w:rsidRPr="00ED784F">
        <w:t>1.</w:t>
      </w:r>
      <w:r w:rsidR="00ED784F" w:rsidRPr="00ED784F">
        <w:tab/>
        <w:t xml:space="preserve">Katzman, J.L., et al., </w:t>
      </w:r>
      <w:r w:rsidR="00ED784F" w:rsidRPr="00ED784F">
        <w:rPr>
          <w:i/>
        </w:rPr>
        <w:t>DeepSurv: personalized treatment recommender system using a Cox proportional hazards deep neural network.</w:t>
      </w:r>
      <w:r w:rsidR="00ED784F" w:rsidRPr="00ED784F">
        <w:t xml:space="preserve"> 2018. </w:t>
      </w:r>
      <w:r w:rsidR="00ED784F" w:rsidRPr="00ED784F">
        <w:rPr>
          <w:b/>
        </w:rPr>
        <w:t>18</w:t>
      </w:r>
      <w:r w:rsidR="00ED784F" w:rsidRPr="00ED784F">
        <w:t>(1): p. 24.</w:t>
      </w:r>
    </w:p>
    <w:p w14:paraId="6B93765A" w14:textId="77777777" w:rsidR="00ED784F" w:rsidRPr="00ED784F" w:rsidRDefault="00ED784F" w:rsidP="00ED784F">
      <w:pPr>
        <w:pStyle w:val="EndNoteBibliography"/>
        <w:ind w:left="720" w:hanging="720"/>
      </w:pPr>
      <w:r w:rsidRPr="00ED784F">
        <w:t>2.</w:t>
      </w:r>
      <w:r w:rsidRPr="00ED784F">
        <w:tab/>
        <w:t xml:space="preserve">Vaswani, A., et al. </w:t>
      </w:r>
      <w:r w:rsidRPr="00ED784F">
        <w:rPr>
          <w:i/>
        </w:rPr>
        <w:t>Attention is all you need</w:t>
      </w:r>
      <w:r w:rsidRPr="00ED784F">
        <w:t xml:space="preserve">. in </w:t>
      </w:r>
      <w:r w:rsidRPr="00ED784F">
        <w:rPr>
          <w:i/>
        </w:rPr>
        <w:t>Advances in neural information processing systems</w:t>
      </w:r>
      <w:r w:rsidRPr="00ED784F">
        <w:t>. 2017.</w:t>
      </w:r>
    </w:p>
    <w:p w14:paraId="4175175E" w14:textId="77777777" w:rsidR="00ED784F" w:rsidRPr="00ED784F" w:rsidRDefault="00ED784F" w:rsidP="00ED784F">
      <w:pPr>
        <w:pStyle w:val="EndNoteBibliography"/>
        <w:ind w:left="720" w:hanging="720"/>
      </w:pPr>
      <w:r w:rsidRPr="00ED784F">
        <w:t>3.</w:t>
      </w:r>
      <w:r w:rsidRPr="00ED784F">
        <w:tab/>
        <w:t xml:space="preserve">Kvamme, H., Ø. Borgan, and I.J.J.o.M.L.R. Scheel, </w:t>
      </w:r>
      <w:r w:rsidRPr="00ED784F">
        <w:rPr>
          <w:i/>
        </w:rPr>
        <w:t>Time-to-event prediction with neural networks and Cox regression.</w:t>
      </w:r>
      <w:r w:rsidRPr="00ED784F">
        <w:t xml:space="preserve"> 2019. </w:t>
      </w:r>
      <w:r w:rsidRPr="00ED784F">
        <w:rPr>
          <w:b/>
        </w:rPr>
        <w:t>20</w:t>
      </w:r>
      <w:r w:rsidRPr="00ED784F">
        <w:t>(129): p. 1-30.</w:t>
      </w:r>
    </w:p>
    <w:p w14:paraId="7333C350" w14:textId="77777777" w:rsidR="00ED784F" w:rsidRPr="00ED784F" w:rsidRDefault="00ED784F" w:rsidP="00ED784F">
      <w:pPr>
        <w:pStyle w:val="EndNoteBibliography"/>
        <w:ind w:left="720" w:hanging="720"/>
      </w:pPr>
      <w:r w:rsidRPr="00ED784F">
        <w:t>4.</w:t>
      </w:r>
      <w:r w:rsidRPr="00ED784F">
        <w:tab/>
        <w:t xml:space="preserve">Mehta, S., et al., </w:t>
      </w:r>
      <w:r w:rsidRPr="00ED784F">
        <w:rPr>
          <w:i/>
        </w:rPr>
        <w:t>Development and validation of alternative cardiovascular risk prediction equations for population health planning: a routine health data linkage study of 1.7 million New Zealanders.</w:t>
      </w:r>
      <w:r w:rsidRPr="00ED784F">
        <w:t xml:space="preserve"> 2018. </w:t>
      </w:r>
      <w:r w:rsidRPr="00ED784F">
        <w:rPr>
          <w:b/>
        </w:rPr>
        <w:t>47</w:t>
      </w:r>
      <w:r w:rsidRPr="00ED784F">
        <w:t>(5): p. 1571-1584.</w:t>
      </w:r>
    </w:p>
    <w:p w14:paraId="2F06ED12" w14:textId="77777777" w:rsidR="00ED784F" w:rsidRPr="00ED784F" w:rsidRDefault="00ED784F" w:rsidP="00ED784F">
      <w:pPr>
        <w:pStyle w:val="EndNoteBibliography"/>
        <w:ind w:left="720" w:hanging="720"/>
      </w:pPr>
      <w:r w:rsidRPr="00ED784F">
        <w:t>5.</w:t>
      </w:r>
      <w:r w:rsidRPr="00ED784F">
        <w:tab/>
        <w:t xml:space="preserve">Lakshminarayanan, B., A. Pritzel, and C. Blundell. </w:t>
      </w:r>
      <w:r w:rsidRPr="00ED784F">
        <w:rPr>
          <w:i/>
        </w:rPr>
        <w:t>Simple and scalable predictive uncertainty estimation using deep ensembles</w:t>
      </w:r>
      <w:r w:rsidRPr="00ED784F">
        <w:t xml:space="preserve">. in </w:t>
      </w:r>
      <w:r w:rsidRPr="00ED784F">
        <w:rPr>
          <w:i/>
        </w:rPr>
        <w:t>Advances in neural information processing systems</w:t>
      </w:r>
      <w:r w:rsidRPr="00ED784F">
        <w:t>. 2017.</w:t>
      </w:r>
    </w:p>
    <w:p w14:paraId="3CA8A310" w14:textId="4F349362" w:rsidR="00AD7EE9" w:rsidRDefault="001C1B31">
      <w:r>
        <w:fldChar w:fldCharType="end"/>
      </w:r>
    </w:p>
    <w:sectPr w:rsidR="00AD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xvwtpdt22xzhewve75tsz950x50sww00dv&quot;&gt;MRFF_CVM&lt;record-ids&gt;&lt;item&gt;1&lt;/item&gt;&lt;item&gt;3&lt;/item&gt;&lt;item&gt;4&lt;/item&gt;&lt;item&gt;5&lt;/item&gt;&lt;item&gt;6&lt;/item&gt;&lt;/record-ids&gt;&lt;/item&gt;&lt;/Libraries&gt;"/>
  </w:docVars>
  <w:rsids>
    <w:rsidRoot w:val="00913DD8"/>
    <w:rsid w:val="001623CC"/>
    <w:rsid w:val="001C04F5"/>
    <w:rsid w:val="001C1B31"/>
    <w:rsid w:val="001F00B7"/>
    <w:rsid w:val="002E32DD"/>
    <w:rsid w:val="00384F09"/>
    <w:rsid w:val="003C3C93"/>
    <w:rsid w:val="00562695"/>
    <w:rsid w:val="005B4491"/>
    <w:rsid w:val="005F6A82"/>
    <w:rsid w:val="007B7184"/>
    <w:rsid w:val="007D2129"/>
    <w:rsid w:val="00855F82"/>
    <w:rsid w:val="00887B95"/>
    <w:rsid w:val="00913DD8"/>
    <w:rsid w:val="00AD7EE9"/>
    <w:rsid w:val="00AF0CD9"/>
    <w:rsid w:val="00C36531"/>
    <w:rsid w:val="00D00A6E"/>
    <w:rsid w:val="00DE33A2"/>
    <w:rsid w:val="00EA4815"/>
    <w:rsid w:val="00ED784F"/>
    <w:rsid w:val="00EF5EBF"/>
    <w:rsid w:val="00F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F721"/>
  <w15:chartTrackingRefBased/>
  <w15:docId w15:val="{33ADFC3C-4353-44F6-AF9F-660E65C5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C1B31"/>
    <w:pPr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1B31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rsid w:val="001C1B31"/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1C1B31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93"/>
    <w:rPr>
      <w:rFonts w:ascii="Segoe UI" w:eastAsia="Times New Roman" w:hAnsi="Segoe UI" w:cs="Segoe UI"/>
      <w:sz w:val="18"/>
      <w:szCs w:val="18"/>
      <w:lang w:eastAsia="en-GB"/>
    </w:rPr>
  </w:style>
  <w:style w:type="table" w:styleId="TableGrid">
    <w:name w:val="Table Grid"/>
    <w:basedOn w:val="TableNormal"/>
    <w:uiPriority w:val="39"/>
    <w:rsid w:val="00D0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Barbieri</dc:creator>
  <cp:keywords/>
  <dc:description/>
  <cp:lastModifiedBy>Sebastiano Barbieri</cp:lastModifiedBy>
  <cp:revision>9</cp:revision>
  <dcterms:created xsi:type="dcterms:W3CDTF">2020-01-29T11:33:00Z</dcterms:created>
  <dcterms:modified xsi:type="dcterms:W3CDTF">2020-01-29T14:12:00Z</dcterms:modified>
</cp:coreProperties>
</file>