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MATTX — Borrador del Brief Maestro v1.4</w:t>
      </w:r>
    </w:p>
    <w:p>
      <w:r>
        <w:rPr>
          <w:b/>
          <w:i w:val="0"/>
        </w:rPr>
        <w:t>Capítulo 3: Alcance, releases y áreas complementarias · revisión de trabajo r1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8"/>
            <w:shd w:val="clear" w:color="auto" w:fill="FFF2CC"/>
          </w:tcPr>
          <w:p>
            <w:r/>
            <w:r>
              <w:rPr>
                <w:b/>
                <w:i w:val="0"/>
                <w:sz w:val="18"/>
              </w:rPr>
              <w:t>Cómo responder.</w:t>
            </w:r>
            <w:r>
              <w:rPr>
                <w:b w:val="0"/>
                <w:i w:val="0"/>
                <w:sz w:val="18"/>
              </w:rPr>
              <w:t xml:space="preserve"> Escriba en las celdas amarillas (observaciones por release y respuestas a las preguntas). También puede usar Revisar → Control de cambios o comentarios sobre cualquier parte del texto. Guarde el archivo como _r1_respuestas.docx; con sus respuestas se prepara la revisión r2.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Revisión de trabajo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r1 · 13-oct-2026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Base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Brief Maestro v1.3 §3 + observaciones del autor sobre la tabla 3.1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Borrador en iteración. Cuando se apruebe, reemplazará el capítulo 3 en el Brief Maestro v1.4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Redacción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Asistida por IA</w:t>
            </w:r>
          </w:p>
        </w:tc>
      </w:tr>
    </w:tbl>
    <w:p/>
    <w:p>
      <w:pPr>
        <w:pStyle w:val="Heading2"/>
      </w:pPr>
      <w:r>
        <w:t>Observaciones del autor que este borrador atiende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Observación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Cómo se atiende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R0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Sandbox </w:t>
            </w:r>
            <w:r>
              <w:rPr>
                <w:b/>
                <w:i w:val="0"/>
                <w:sz w:val="18"/>
              </w:rPr>
              <w:t>con red y sin red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Se agrega un perfil de red </w:t>
            </w:r>
            <w:r>
              <w:rPr>
                <w:b/>
                <w:i w:val="0"/>
                <w:sz w:val="18"/>
              </w:rPr>
              <w:t>controlada</w:t>
            </w:r>
            <w:r>
              <w:rPr>
                <w:b w:val="0"/>
                <w:i w:val="0"/>
                <w:sz w:val="18"/>
              </w:rPr>
              <w:t xml:space="preserve"> (lista permitida, registro de conexiones y aprobación humana). La red abierta sigue prohibida (Constitución, Arts. 29 y 32)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El drenaje pluvial es </w:t>
            </w:r>
            <w:r>
              <w:rPr>
                <w:b/>
                <w:i w:val="0"/>
                <w:sz w:val="18"/>
              </w:rPr>
              <w:t>un ejemplo</w:t>
            </w:r>
            <w:r>
              <w:rPr>
                <w:b w:val="0"/>
                <w:i w:val="0"/>
                <w:sz w:val="18"/>
              </w:rPr>
              <w:t>; el alcance del flujo científico es ilimitado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R1 entrega el </w:t>
            </w:r>
            <w:r>
              <w:rPr>
                <w:b/>
                <w:i w:val="0"/>
                <w:sz w:val="18"/>
              </w:rPr>
              <w:t>ciclo científico completo para cualquier dominio</w:t>
            </w:r>
            <w:r>
              <w:rPr>
                <w:b w:val="0"/>
                <w:i w:val="0"/>
                <w:sz w:val="18"/>
              </w:rPr>
              <w:t>. El drenaje es el caso demostrador, y un segundo caso de otro dominio prueba que no está atado a él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El alcance científico es ilimitado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R2 entrega el </w:t>
            </w:r>
            <w:r>
              <w:rPr>
                <w:b/>
                <w:i w:val="0"/>
                <w:sz w:val="18"/>
              </w:rPr>
              <w:t>mecanismo para incorporar cualquier dominio o área complementaria</w:t>
            </w:r>
            <w:r>
              <w:rPr>
                <w:b w:val="0"/>
                <w:i w:val="0"/>
                <w:sz w:val="18"/>
              </w:rPr>
              <w:t>, y flujos acoplados entre disciplinas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R3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Generar aplicaciones y software </w:t>
            </w:r>
            <w:r>
              <w:rPr>
                <w:b/>
                <w:i w:val="0"/>
                <w:sz w:val="18"/>
              </w:rPr>
              <w:t>propios</w:t>
            </w:r>
            <w:r>
              <w:rPr>
                <w:b w:val="0"/>
                <w:i w:val="0"/>
                <w:sz w:val="18"/>
              </w:rPr>
              <w:t>, sin fiarse de terceros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Se agrega la línea de </w:t>
            </w:r>
            <w:r>
              <w:rPr>
                <w:b/>
                <w:i w:val="0"/>
                <w:sz w:val="18"/>
              </w:rPr>
              <w:t>motores propios</w:t>
            </w:r>
            <w:r>
              <w:rPr>
                <w:b w:val="0"/>
                <w:i w:val="0"/>
                <w:sz w:val="18"/>
              </w:rPr>
              <w:t xml:space="preserve"> y la regla de que el software de terceros es "no confiable hasta verificar"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R4+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Más extensiones; el ámbito es ilimitado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Las extensiones pasan a un </w:t>
            </w:r>
            <w:r>
              <w:rPr>
                <w:b/>
                <w:i w:val="0"/>
                <w:sz w:val="18"/>
              </w:rPr>
              <w:t>registro abierto</w:t>
            </w:r>
            <w:r>
              <w:rPr>
                <w:b w:val="0"/>
                <w:i w:val="0"/>
                <w:sz w:val="18"/>
              </w:rPr>
              <w:t>; las de la tabla son ejemplos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General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Relacionarse con áreas complementarias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Nueva sección 3.2 de </w:t>
            </w:r>
            <w:r>
              <w:rPr>
                <w:b/>
                <w:i w:val="0"/>
                <w:sz w:val="18"/>
              </w:rPr>
              <w:t>áreas complementarias</w:t>
            </w:r>
          </w:p>
        </w:tc>
      </w:tr>
    </w:tbl>
    <w:p/>
    <w:p>
      <w:pPr>
        <w:pStyle w:val="Heading2"/>
      </w:pPr>
      <w:r>
        <w:t>3.0 Principio: alcance científico abierto, liberaciones verificables</w:t>
      </w:r>
    </w:p>
    <w:p>
      <w:r>
        <w:rPr>
          <w:b w:val="0"/>
          <w:i w:val="0"/>
        </w:rPr>
        <w:t xml:space="preserve">MATTX no limita </w:t>
      </w:r>
      <w:r>
        <w:rPr>
          <w:b/>
          <w:i w:val="0"/>
        </w:rPr>
        <w:t>qué</w:t>
      </w:r>
      <w:r>
        <w:rPr>
          <w:b w:val="0"/>
          <w:i w:val="0"/>
        </w:rPr>
        <w:t xml:space="preserve"> ciencia se puede hacer: cualquier pregunta de ingeniería civil o de un área complementaria puede entrar a la plataforma. Lo que sí se cierra en cada release es </w:t>
      </w:r>
      <w:r>
        <w:rPr>
          <w:b/>
          <w:i w:val="0"/>
        </w:rPr>
        <w:t>la prueba de que una capacidad funciona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Concepto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Abierto o cerrado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Ámbito científico</w:t>
            </w:r>
          </w:p>
        </w:tc>
        <w:tc>
          <w:tcPr>
            <w:tcW w:type="dxa" w:w="4933"/>
          </w:tcPr>
          <w:p>
            <w:r/>
            <w:r>
              <w:rPr>
                <w:b/>
                <w:i w:val="0"/>
                <w:sz w:val="18"/>
              </w:rPr>
              <w:t>Abierto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Ningún release restringe los dominios, métodos ni preguntas que se pueden abordar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Capacidad de plataforma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Cerrada por release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Lo que la plataforma sabe hacer de forma general (ejecutar, verificar, documentar, acoplar, integrar)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Casos de referencia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Ejemplos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Demuestran la capacidad; </w:t>
            </w:r>
            <w:r>
              <w:rPr>
                <w:b/>
                <w:i w:val="0"/>
                <w:sz w:val="18"/>
              </w:rPr>
              <w:t>no son su límite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Criterio de salida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Cerrado y medible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Evidencia de que la capacidad funciona en los casos de referencia y en un caso fuera de ellos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Carril abierto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Continuo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Desde R1, cualquier flujo nuevo entra por la fábrica en cualquier momento, sin esperar a un release, y opera como </w:t>
            </w:r>
            <w:r>
              <w:rPr>
                <w:b w:val="0"/>
                <w:i/>
                <w:sz w:val="18"/>
              </w:rPr>
              <w:t>experimental</w:t>
            </w:r>
            <w:r>
              <w:rPr>
                <w:b w:val="0"/>
                <w:i w:val="0"/>
                <w:sz w:val="18"/>
              </w:rPr>
              <w:t xml:space="preserve"> hasta pasar sus compuertas</w:t>
            </w:r>
          </w:p>
        </w:tc>
      </w:tr>
    </w:tbl>
    <w:p/>
    <w:p>
      <w:r>
        <w:rPr>
          <w:b w:val="0"/>
          <w:i w:val="0"/>
        </w:rPr>
        <w:t>Por qué la prueba debe ser cerrada: un criterio de salida abierto no se puede verificar, y una capacidad no verificada no se puede declarar como existente (Constitución, Art. 13).</w:t>
      </w:r>
    </w:p>
    <w:p>
      <w:pPr>
        <w:pStyle w:val="Heading2"/>
      </w:pPr>
      <w:r>
        <w:t>3.1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Capacidad de plataforma (Must)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Ámbito científico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Casos de referencia (ejemplos)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Áreas complementarias que se integran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Criterio de salida (gate)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R0 — Núcleo reproducible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Usuarios y roles, proyectos, registro de experimentos, orquestador con máquina de estados, </w:t>
            </w:r>
            <w:r>
              <w:rPr>
                <w:b/>
                <w:i w:val="0"/>
                <w:sz w:val="18"/>
              </w:rPr>
              <w:t>sandbox con perfiles sin red y con red controlada</w:t>
            </w:r>
            <w:r>
              <w:rPr>
                <w:b w:val="0"/>
                <w:i w:val="0"/>
                <w:sz w:val="18"/>
              </w:rPr>
              <w:t>, almacenamiento de artefactos con hash, procedencia básica, registro de agentes y contratos con validación de esquema, UI mínima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Independiente del dominio: cualquier cálculo en los lenguajes soportados (Python primero)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Programa T1 piloto (fase G0)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Ciencia de datos y computación científica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(1) Un script se ejecuta en sandbox sin red y otro en red controlada; (2) toda conexión queda registrada y la que esté fuera de la lista se bloquea; (3) la conexión exige aprobación humana registrada; (4) resultado trazable; (5) re-ejecución idéntica bit a bit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R1 — Ciclo científico completo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Ciclo de punta a punta para </w:t>
            </w:r>
            <w:r>
              <w:rPr>
                <w:b/>
                <w:i w:val="0"/>
                <w:sz w:val="18"/>
              </w:rPr>
              <w:t>cualquier dominio</w:t>
            </w:r>
            <w:r>
              <w:rPr>
                <w:b w:val="0"/>
                <w:i w:val="0"/>
                <w:sz w:val="18"/>
              </w:rPr>
              <w:t>: pregunta → investigación nacional e internacional → teoría → código → V&amp;V → incertidumbre local → documentación → aprobación humana → paquete reproducible. Patrones de confianza en UI, design system v1, agentes de R1, compuertas G-SPEC a G-RELEASE y G-DOC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Abierto.</w:t>
            </w:r>
            <w:r>
              <w:rPr>
                <w:b w:val="0"/>
                <w:i w:val="0"/>
                <w:sz w:val="18"/>
              </w:rPr>
              <w:t xml:space="preserve"> Toda pregunta de ingeniería civil o de un área complementaria puede entrar por el carril abierto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Demostrador:</w:t>
            </w:r>
            <w:r>
              <w:rPr>
                <w:b w:val="0"/>
                <w:i w:val="0"/>
                <w:sz w:val="18"/>
              </w:rPr>
              <w:t xml:space="preserve"> drenaje pluvial urbano bajo RNE CE.040. </w:t>
            </w:r>
            <w:r>
              <w:rPr>
                <w:b/>
                <w:i w:val="0"/>
                <w:sz w:val="18"/>
              </w:rPr>
              <w:t>Prueba de generalidad:</w:t>
            </w:r>
            <w:r>
              <w:rPr>
                <w:b w:val="0"/>
                <w:i w:val="0"/>
                <w:sz w:val="18"/>
              </w:rPr>
              <w:t xml:space="preserve"> un programa T1 de un dominio distinto (p. ej., capacidad portante o número estructural de pavimento)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Hidrometeorología y clima (curvas IDF, escenarios climáticos), geología y suelos (infiltración), urbanismo, ingeniería ambiental y sanitaria (calidad de la escorrentía), gestión del riesgo de inundación, economía (costo de alternativas)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Caso dorado del demostrador dentro de tolerancia; (2) 100 % de valores trazables; (3) revisión del ingeniero registrada; (4) SUS ≥ 75; (5) </w:t>
            </w:r>
            <w:r>
              <w:rPr>
                <w:b/>
                <w:i w:val="0"/>
                <w:sz w:val="18"/>
              </w:rPr>
              <w:t>la prueba de generalidad pasa todas sus compuertas sin cambiar el código de la plataforma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R2 — Multidominio e interdisciplina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Perfiles de dominio y casos dorados para los cinco dominios; </w:t>
            </w:r>
            <w:r>
              <w:rPr>
                <w:b/>
                <w:i w:val="0"/>
                <w:sz w:val="18"/>
              </w:rPr>
              <w:t>procedimiento para incorporar cualquier dominio o área nueva</w:t>
            </w:r>
            <w:r>
              <w:rPr>
                <w:b w:val="0"/>
                <w:i w:val="0"/>
                <w:sz w:val="18"/>
              </w:rPr>
              <w:t xml:space="preserve"> (perfil + caso dorado + especialista); </w:t>
            </w:r>
            <w:r>
              <w:rPr>
                <w:b/>
                <w:i w:val="0"/>
                <w:sz w:val="18"/>
              </w:rPr>
              <w:t>acoplamiento entre disciplinas</w:t>
            </w:r>
            <w:r>
              <w:rPr>
                <w:b w:val="0"/>
                <w:i w:val="0"/>
                <w:sz w:val="18"/>
              </w:rPr>
              <w:t xml:space="preserve"> (salida de un flujo como entrada de otro, con procedencia completa); incertidumbre completa (Monte Carlo, Sobol); decisión multicriterio; biblioteca de métodos abierta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Abierto.</w:t>
            </w:r>
            <w:r>
              <w:rPr>
                <w:b w:val="0"/>
                <w:i w:val="0"/>
                <w:sz w:val="18"/>
              </w:rPr>
              <w:t xml:space="preserve"> Los cinco dominios son el punto de partida, no el límite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Un caso dorado por dominio (geotecnia, pavimentos, estructural, construcción) </w:t>
            </w:r>
            <w:r>
              <w:rPr>
                <w:b/>
                <w:i w:val="0"/>
                <w:sz w:val="18"/>
              </w:rPr>
              <w:t>y</w:t>
            </w:r>
            <w:r>
              <w:rPr>
                <w:b w:val="0"/>
                <w:i w:val="0"/>
                <w:sz w:val="18"/>
              </w:rPr>
              <w:t xml:space="preserve"> al menos dos flujos acoplados, p. ej.: lluvia → infiltración → estabilidad de taludes; interacción suelo-estructura; drenaje de pavimentos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Geología e ingeniería geológica, sismología, ciencia de materiales, clima, economía y evaluación de proyectos, ingeniería ambiental, ciencias sociales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5/5 casos dorados aprobados por revisor independiente; (2) 2 flujos acoplados verificados de punta a punta; (3) </w:t>
            </w:r>
            <w:r>
              <w:rPr>
                <w:b/>
                <w:i w:val="0"/>
                <w:sz w:val="18"/>
              </w:rPr>
              <w:t>al menos un dominio o área fuera de los cinco</w:t>
            </w:r>
            <w:r>
              <w:rPr>
                <w:b w:val="0"/>
                <w:i w:val="0"/>
                <w:sz w:val="18"/>
              </w:rPr>
              <w:t xml:space="preserve"> incorporado con el procedimiento, como prueba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R3 — Integraciones, geomática y motores propios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Adaptadores de formatos abiertos (IFC, LandXML, GeoTIFF, GeoPackage), ingesta de topografía y nubes de puntos, paquete de proyecto cifrado. </w:t>
            </w:r>
            <w:r>
              <w:rPr>
                <w:b/>
                <w:i w:val="0"/>
                <w:sz w:val="18"/>
              </w:rPr>
              <w:t>Motores propios:</w:t>
            </w:r>
            <w:r>
              <w:rPr>
                <w:b w:val="0"/>
                <w:i w:val="0"/>
                <w:sz w:val="18"/>
              </w:rPr>
              <w:t xml:space="preserve"> la fábrica genera aplicaciones y software propios, verificados. </w:t>
            </w:r>
            <w:r>
              <w:rPr>
                <w:b/>
                <w:i w:val="0"/>
                <w:sz w:val="18"/>
              </w:rPr>
              <w:t>Software de terceros "no confiable hasta verificar":</w:t>
            </w:r>
            <w:r>
              <w:rPr>
                <w:b w:val="0"/>
                <w:i w:val="0"/>
                <w:sz w:val="18"/>
              </w:rPr>
              <w:t xml:space="preserve"> se usa solo mediante adaptadores, se contrasta con casos dorados o con un motor propio, y su estado queda en la matriz de conectores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Abierto. Prioridad: motores propios en código abierto y auditable; software licenciado solo opcional, con licencia del usuario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Un motor propio verificado contra una referencia de terceros (p. ej., un solucionador de redes de drenaje contrastado con SWMM); geomática con CRS trazable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Geodesia y teledetección, ciencia de la computación (HPC, nube), BIM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Matriz de conectores con estado real; (2) pruebas de recuperación aprobadas; (3) </w:t>
            </w:r>
            <w:r>
              <w:rPr>
                <w:b/>
                <w:i w:val="0"/>
                <w:sz w:val="18"/>
              </w:rPr>
              <w:t>al menos un motor propio verificado</w:t>
            </w:r>
            <w:r>
              <w:rPr>
                <w:b w:val="0"/>
                <w:i w:val="0"/>
                <w:sz w:val="18"/>
              </w:rPr>
              <w:t xml:space="preserve"> dentro de la tolerancia frente a la referencia de terceros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R4+ — Extensiones (registro abierto)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Mecanismo de </w:t>
            </w:r>
            <w:r>
              <w:rPr>
                <w:b/>
                <w:i w:val="0"/>
                <w:sz w:val="18"/>
              </w:rPr>
              <w:t>registro de extensiones</w:t>
            </w:r>
            <w:r>
              <w:rPr>
                <w:b w:val="0"/>
                <w:i w:val="0"/>
                <w:sz w:val="18"/>
              </w:rPr>
              <w:t>: cualquier capacidad nueva entra con mini-brief, ADR y criterio de salida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Ilimitado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Entorno portable arrancable, fablab virtual, visión móvil y cámara, receptores GNSS RTK/PPK, gemelos digitales, monitoreo estructural con sensores (SHM e IoT), drones, realidad aumentada en obra, impresión 3D de construcción, cómputo de alto rendimiento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Mecatrónica y robótica, electrónica y sensores, telecomunicaciones, ciencia de datos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Cada extensión tiene su propio criterio de salida. La plataforma no declara ninguna extensión como disponible hasta que lo cumpla</w:t>
            </w:r>
          </w:p>
        </w:tc>
      </w:tr>
    </w:tbl>
    <w:p/>
    <w:p>
      <w:pPr>
        <w:pStyle w:val="Heading3"/>
      </w:pPr>
      <w:r>
        <w:t>Observaciones del autor por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119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Observación del autor</w:t>
            </w:r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R0 — Núcleo reproducible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R1 — Ciclo científico completo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R2 — Multidominio e interdisciplina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R3 — Integraciones, geomática y motores propios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R4+ — Extensiones (registro abierto)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</w:tbl>
    <w:p/>
    <w:p>
      <w:pPr>
        <w:pStyle w:val="Heading3"/>
      </w:pPr>
      <w:r>
        <w:t>3.1.1 Perfiles de red del sandbox (detalle de R0)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Red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Requisitos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Sin red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Denegada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Por defecto para todo cálculo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Red controlada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Solo a destinos de una </w:t>
            </w:r>
            <w:r>
              <w:rPr>
                <w:b/>
                <w:i w:val="0"/>
                <w:sz w:val="18"/>
              </w:rPr>
              <w:t>lista permitida</w:t>
            </w:r>
            <w:r>
              <w:rPr>
                <w:b w:val="0"/>
                <w:i w:val="0"/>
                <w:sz w:val="18"/>
              </w:rPr>
              <w:t xml:space="preserve"> (repositorios de paquetes, servicios de datos abiertos, APIs de normas o metadatos)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Aprobación humana registrada por proyecto y por destino; registro de cada conexión; escaneo de lo descargado; los datos descargados entran como Datasets con procedencia y licencia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Red abierta</w:t>
            </w:r>
          </w:p>
        </w:tc>
        <w:tc>
          <w:tcPr>
            <w:tcW w:type="dxa" w:w="4933"/>
          </w:tcPr>
          <w:p>
            <w:r/>
            <w:r>
              <w:rPr>
                <w:b/>
                <w:i w:val="0"/>
                <w:sz w:val="18"/>
              </w:rPr>
              <w:t>Prohibida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Constitución, Arts. 29 y 32</w:t>
            </w:r>
          </w:p>
        </w:tc>
      </w:tr>
    </w:tbl>
    <w:p/>
    <w:p>
      <w:pPr>
        <w:pStyle w:val="Heading3"/>
      </w:pPr>
      <w:r>
        <w:t>3.1.2 Motores propios y software de terceros (detalle de R3)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Regla</w:t>
            </w:r>
          </w:p>
        </w:tc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Preferencia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Ante dos caminos equivalentes, se prefiere el motor propio, abierto y verificado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No confiable hasta verificar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 xml:space="preserve">Un resultado de software de terceros se etiqueta </w:t>
            </w:r>
            <w:r>
              <w:rPr>
                <w:b w:val="0"/>
                <w:i/>
                <w:sz w:val="18"/>
              </w:rPr>
              <w:t>Importado</w:t>
            </w:r>
            <w:r>
              <w:rPr>
                <w:b w:val="0"/>
                <w:i w:val="0"/>
                <w:sz w:val="18"/>
              </w:rPr>
              <w:t xml:space="preserve"> y no se usa como base de diseño hasta pasar el caso dorado del dominio o la comparación con un motor propio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Verificación cruzada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Cuando existan un motor propio y uno de terceros para el mismo problema, se contrastan; una diferencia fuera de tolerancia es un defecto que se investiga, no un dato que se descarta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Origen legítimo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Los motores propios se implementan a partir de teoría publicada (THEORY.md con referencias). Nunca mediante ingeniería inversa ni copia de software licenciado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Ritmo realista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Un motor propio es un programa T2 con todas sus compuertas. Se construyen de a uno, empezando por donde la dependencia de terceros sea más crítica (licencia, costo o falta de transparencia)</w:t>
            </w:r>
          </w:p>
        </w:tc>
      </w:tr>
    </w:tbl>
    <w:p/>
    <w:p>
      <w:pPr>
        <w:pStyle w:val="Heading2"/>
      </w:pPr>
      <w:r>
        <w:t>3.2 Áreas complementarias (nuevo)</w:t>
      </w:r>
    </w:p>
    <w:p>
      <w:r>
        <w:rPr>
          <w:b w:val="0"/>
          <w:i w:val="0"/>
        </w:rPr>
        <w:t xml:space="preserve">La ingeniería civil se apoya en otras disciplinas para que sus implementaciones sean correctas. MATTX las integra con el mismo mecanismo que los dominios: </w:t>
      </w:r>
      <w:r>
        <w:rPr>
          <w:b/>
          <w:i w:val="0"/>
        </w:rPr>
        <w:t>perfil de conocimiento + fuentes + casos de referencia + especialista humano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Área complementaria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Qué aporta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Ejemplo de interrelación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Desde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Hidrometeorología y clima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Lluvia, curvas IDF, escenarios de cambio climático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Caudales de diseño bajo clima futuro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Geología e ingeniería geológica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Modelo geológico, peligros geológicos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Estabilidad de taludes, cimentaciones en roca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 (suelos) / 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Sismología e ingeniería sísmica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Peligro sísmico, registros, microzonificación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Espectros para la E.030 y estudios de sitio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 de materiales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Propiedades y durabilidad del concreto, el acero, los asfaltos y los suelos estabilizados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Vida útil de pavimentos y estructuras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Ingeniería ambiental y sanitaria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Calidad del agua, impacto ambiental, saneamiento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Calidad de la escorrentía; redes de agua y desagüe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Salud pública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Riesgos sanitarios de la infraestructura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Drenaje y enfermedades de transmisión hídrica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Gestión del riesgo de desastres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Peligro, vulnerabilidad, riesgo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Inundaciones, huaicos, sismos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Economía y evaluación de proyectos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Costo del ciclo de vida, evaluación social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Comparación de alternativas (Invierte.pe, MCDA)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Urbanismo y transporte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Usos del suelo, demanda, movilidad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Coeficientes de escorrentía; diseño vial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Ciencias sociales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Participación, aceptación, impacto social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Criterios sociales en la decisión multicriterio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Sostenibilidad y ciclo de vida (LCA)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Huella de carbono, energía incorporada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Selección de materiales y alternativas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Geodesia y teledetección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Marcos de referencia, imágenes satelitales, LiDAR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MDT, cambios de uso del suelo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R3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 de datos y computación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Estadística, aprendizaje automático, HPC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Modelos sustitutos, calibración, Monte Carlo masivo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R0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Derecho y contratos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Contratación pública, responsabilidad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Análisis forense de plazos (AACE)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Mecatrónica, sensores y robótica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Medición, automatización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Monitoreo estructural, fablab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R4+</w:t>
            </w:r>
          </w:p>
        </w:tc>
      </w:tr>
    </w:tbl>
    <w:p/>
    <w:p>
      <w:r>
        <w:rPr>
          <w:b/>
          <w:i w:val="0"/>
        </w:rPr>
        <w:t>Reglas para las áreas complementarias</w:t>
      </w:r>
    </w:p>
    <w:p>
      <w:pPr>
        <w:ind w:left="340"/>
      </w:pPr>
      <w:r>
        <w:rPr>
          <w:b w:val="0"/>
          <w:i w:val="0"/>
        </w:rPr>
        <w:t>1. Siguen las mismas reglas que los dominios: procedencia, marco bibliográfico universal, niveles de evidencia y casos de referencia.</w:t>
      </w:r>
    </w:p>
    <w:p>
      <w:pPr>
        <w:ind w:left="340"/>
      </w:pPr>
      <w:r>
        <w:rPr>
          <w:b w:val="0"/>
          <w:i w:val="0"/>
        </w:rPr>
        <w:t>2. Un resultado que dependa de un área complementaria declara qué área aportó qué dato o modelo.</w:t>
      </w:r>
    </w:p>
    <w:p>
      <w:pPr>
        <w:ind w:left="340"/>
      </w:pPr>
      <w:r>
        <w:rPr>
          <w:b w:val="0"/>
          <w:i w:val="0"/>
        </w:rPr>
        <w:t xml:space="preserve">3. La aprobación de los aportes de un área complementaria corresponde a un </w:t>
      </w:r>
      <w:r>
        <w:rPr>
          <w:b/>
          <w:i w:val="0"/>
        </w:rPr>
        <w:t>profesional competente de esa área</w:t>
      </w:r>
      <w:r>
        <w:rPr>
          <w:b w:val="0"/>
          <w:i w:val="0"/>
        </w:rPr>
        <w:t xml:space="preserve"> (p. ej., un geólogo para el modelo geológico), no solo al ingeniero civil.</w:t>
      </w:r>
    </w:p>
    <w:p>
      <w:pPr>
        <w:ind w:left="340"/>
      </w:pPr>
      <w:r>
        <w:rPr>
          <w:b w:val="0"/>
          <w:i w:val="0"/>
        </w:rPr>
        <w:t>4. La lista es abierta: un área nueva entra con el procedimiento de incorporación de R2.</w:t>
      </w:r>
    </w:p>
    <w:p>
      <w:pPr>
        <w:pStyle w:val="Heading2"/>
      </w:pPr>
      <w:r>
        <w:t>3.3 Fuera de alcance (sin cambios de fondo respecto a v1.3)</w:t>
      </w:r>
    </w:p>
    <w:p>
      <w:pPr>
        <w:pStyle w:val="ListBullet"/>
      </w:pPr>
      <w:r>
        <w:rPr>
          <w:b w:val="0"/>
          <w:i w:val="0"/>
        </w:rPr>
        <w:t>Emitir planos "para construcción" o firmar en nombre de un profesional.</w:t>
      </w:r>
    </w:p>
    <w:p>
      <w:pPr>
        <w:pStyle w:val="ListBullet"/>
      </w:pPr>
      <w:r>
        <w:rPr>
          <w:b w:val="0"/>
          <w:i w:val="0"/>
        </w:rPr>
        <w:t>Ejecutar software licenciado sin licencia válida del usuario.</w:t>
      </w:r>
    </w:p>
    <w:p>
      <w:pPr>
        <w:pStyle w:val="ListBullet"/>
      </w:pPr>
      <w:r>
        <w:rPr>
          <w:b w:val="0"/>
          <w:i w:val="0"/>
        </w:rPr>
        <w:t>Operar máquinas físicas reales o cámaras de vigilancia (el fablab de R4+ es virtual hasta que una extensión defina su capa de seguridad).</w:t>
      </w:r>
    </w:p>
    <w:p>
      <w:pPr>
        <w:pStyle w:val="ListBullet"/>
      </w:pPr>
      <w:r>
        <w:rPr>
          <w:b w:val="0"/>
          <w:i w:val="0"/>
        </w:rPr>
        <w:t>Reemplazar ensayos de laboratorio o de campo con estimaciones de IA.</w:t>
      </w:r>
    </w:p>
    <w:p>
      <w:pPr>
        <w:pStyle w:val="ListBullet"/>
      </w:pPr>
      <w:r>
        <w:rPr>
          <w:b w:val="0"/>
          <w:i w:val="0"/>
        </w:rPr>
        <w:t>Dar acceso de red abierta a un sandbox.</w:t>
      </w:r>
    </w:p>
    <w:p>
      <w:pPr>
        <w:pStyle w:val="Heading2"/>
      </w:pPr>
      <w:r>
        <w:t>Preguntas abiertas para la revisión r2 — respuestas del autor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Pregunta</w:t>
            </w:r>
          </w:p>
        </w:tc>
        <w:tc>
          <w:tcPr>
            <w:tcW w:type="dxa" w:w="7937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Respuesta del autor</w:t>
            </w:r>
          </w:p>
        </w:tc>
      </w:tr>
      <w:tr>
        <w:trPr>
          <w:cantSplit/>
          <w:trHeight w:val="1701" w:hRule="atLeast"/>
        </w:trP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b/>
                <w:i w:val="0"/>
                <w:sz w:val="18"/>
              </w:rPr>
              <w:t>Prueba de generalidad en R1:</w:t>
            </w:r>
            <w:r>
              <w:rPr>
                <w:b w:val="0"/>
                <w:i w:val="0"/>
                <w:sz w:val="18"/>
              </w:rPr>
              <w:t xml:space="preserve"> ¿se exige ya en R1 un segundo caso de otro dominio, o se deja para R2? Exigirlo amplía R1 pero demuestra desde el inicio que el alcance es abierto.</w:t>
            </w:r>
          </w:p>
        </w:tc>
        <w:tc>
          <w:tcPr>
            <w:tcW w:type="dxa" w:w="7937"/>
            <w:shd w:val="clear" w:color="auto" w:fill="FFF2CC"/>
          </w:tcPr>
          <w:p>
            <w:r/>
          </w:p>
        </w:tc>
      </w:tr>
      <w:tr>
        <w:trPr>
          <w:cantSplit/>
          <w:trHeight w:val="1701" w:hRule="atLeast"/>
        </w:trP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b/>
                <w:i w:val="0"/>
                <w:sz w:val="18"/>
              </w:rPr>
              <w:t>Primer motor propio en R3:</w:t>
            </w:r>
            <w:r>
              <w:rPr>
                <w:b w:val="0"/>
                <w:i w:val="0"/>
                <w:sz w:val="18"/>
              </w:rPr>
              <w:t xml:space="preserve"> ¿en qué dominio conviene empezar? Propuesta: red de drenaje (contrastable con SWMM) o análisis estructural (por la licencia de OpenSees).</w:t>
            </w:r>
          </w:p>
        </w:tc>
        <w:tc>
          <w:tcPr>
            <w:tcW w:type="dxa" w:w="7937"/>
            <w:shd w:val="clear" w:color="auto" w:fill="FFF2CC"/>
          </w:tcPr>
          <w:p>
            <w:r/>
          </w:p>
        </w:tc>
      </w:tr>
      <w:tr>
        <w:trPr>
          <w:cantSplit/>
          <w:trHeight w:val="1701" w:hRule="atLeast"/>
        </w:trP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b/>
                <w:i w:val="0"/>
                <w:sz w:val="18"/>
              </w:rPr>
              <w:t>Áreas complementarias:</w:t>
            </w:r>
            <w:r>
              <w:rPr>
                <w:b w:val="0"/>
                <w:i w:val="0"/>
                <w:sz w:val="18"/>
              </w:rPr>
              <w:t xml:space="preserve"> ¿falta o sobra alguna? ¿El orden de entrada (columna "Desde") es el correcto?</w:t>
            </w:r>
          </w:p>
        </w:tc>
        <w:tc>
          <w:tcPr>
            <w:tcW w:type="dxa" w:w="7937"/>
            <w:shd w:val="clear" w:color="auto" w:fill="FFF2CC"/>
          </w:tcPr>
          <w:p>
            <w:r/>
          </w:p>
        </w:tc>
      </w:tr>
      <w:tr>
        <w:trPr>
          <w:cantSplit/>
          <w:trHeight w:val="1701" w:hRule="atLeast"/>
        </w:trP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b/>
                <w:i w:val="0"/>
                <w:sz w:val="18"/>
              </w:rPr>
              <w:t>Red controlada:</w:t>
            </w:r>
            <w:r>
              <w:rPr>
                <w:b w:val="0"/>
                <w:i w:val="0"/>
                <w:sz w:val="18"/>
              </w:rPr>
              <w:t xml:space="preserve"> ¿qué destinos deberían estar en la lista permitida inicial? (p. ej., PyPI, SENAMHI, NOAA, Copernicus, OpenAlex/Crossref)</w:t>
            </w:r>
          </w:p>
        </w:tc>
        <w:tc>
          <w:tcPr>
            <w:tcW w:type="dxa" w:w="7937"/>
            <w:shd w:val="clear" w:color="auto" w:fill="FFF2CC"/>
          </w:tcPr>
          <w:p>
            <w:r/>
          </w:p>
        </w:tc>
      </w:tr>
    </w:tbl>
    <w:p/>
    <w:p>
      <w:pPr>
        <w:pStyle w:val="Heading3"/>
      </w:pPr>
      <w:r>
        <w:t>Otras observaciones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rPr>
          <w:trHeight w:val="3402" w:hRule="atLeast"/>
        </w:trPr>
        <w:tc>
          <w:tcPr>
            <w:tcW w:type="dxa" w:w="14798"/>
            <w:shd w:val="clear" w:color="auto" w:fill="FFF2CC"/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MATTX — Borrador Brief Maestro v1.4 · Capítulo 3 · r1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MATTX — Borrador Brief Maestro v1.4 · Capítulo 3 · r1</dc:title>
  <dc:subject/>
  <dc:creator>Chris</dc:creator>
  <cp:keywords/>
  <dc:description>Redactado con asistencia de IA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