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Which request/transaction has the Highest response time, and what is its value? 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br w:type="textWrapping"/>
        <w:t xml:space="preserve">Ans:  Add To Cart Flow - 4048</w:t>
        <w:br w:type="textWrapping"/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Which request/transaction has the Lowest response time, and what is its value? 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br w:type="textWrapping"/>
        <w:t xml:space="preserve">Ans: Launch - 0</w:t>
        <w:br w:type="textWrapping"/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Which request/transaction has the Maximum Throughput (requests/sec), and what is its value?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br w:type="textWrapping"/>
        <w:t xml:space="preserve">Ans: Add To Cart Flow - 43.7/min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What is the overall Error % for the test run? List any failing requests?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br w:type="textWrapping"/>
        <w:t xml:space="preserve">Ans: 42.86%</w:t>
        <w:br w:type="textWrapping"/>
        <w:t xml:space="preserve">Add To Cart- Duration Error: Assertion failure message:The operation lasted too long: It took 4,048 milliseconds, but should not have lasted longer than 3,000 milliseconds.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What is the average response time across all samples? 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br w:type="textWrapping"/>
        <w:t xml:space="preserve">Ans: 1801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What is the Median response time?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</w:t>
        <w:br w:type="textWrapping"/>
        <w:t xml:space="preserve">Ans: 1799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What is the 90th Percentile response time? 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br w:type="textWrapping"/>
        <w:t xml:space="preserve">Ans: 3556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What is the 95th Percentile response time? 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br w:type="textWrapping"/>
        <w:t xml:space="preserve">Ans: 3831</w:t>
      </w:r>
    </w:p>
    <w:p w:rsidR="00000000" w:rsidDel="00000000" w:rsidP="00000000" w:rsidRDefault="00000000" w:rsidRPr="00000000" w14:paraId="00000009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</w:rPr>
        <w:drawing>
          <wp:inline distB="114300" distT="114300" distL="114300" distR="114300">
            <wp:extent cx="5943600" cy="33401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</w:rPr>
        <w:drawing>
          <wp:inline distB="114300" distT="114300" distL="114300" distR="114300">
            <wp:extent cx="5943600" cy="33401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</w:rPr>
        <w:drawing>
          <wp:inline distB="114300" distT="114300" distL="114300" distR="114300">
            <wp:extent cx="5943600" cy="33401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oppi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oppins-regular.ttf"/><Relationship Id="rId2" Type="http://schemas.openxmlformats.org/officeDocument/2006/relationships/font" Target="fonts/Poppins-bold.ttf"/><Relationship Id="rId3" Type="http://schemas.openxmlformats.org/officeDocument/2006/relationships/font" Target="fonts/Poppins-italic.ttf"/><Relationship Id="rId4" Type="http://schemas.openxmlformats.org/officeDocument/2006/relationships/font" Target="fonts/Poppi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