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Gradient-Based Adaptive Hybrid Loss</w:t>
        <w:br/>
      </w:r>
      <w:r>
        <w:rPr>
          <w:i/>
          <w:sz w:val="24"/>
        </w:rPr>
        <w:t>Experimental Design for Multimodal Adaptive Temporal-Relational IDS</w:t>
      </w:r>
    </w:p>
    <w:p>
      <w:pPr>
        <w:jc w:val="center"/>
      </w:pPr>
      <w:r>
        <w:rPr>
          <w:b/>
        </w:rPr>
        <w:t>Research Documentation | Phase 2 Proposal</w:t>
      </w:r>
    </w:p>
    <w:p>
      <w:pPr>
        <w:pStyle w:val="Heading1"/>
      </w:pPr>
      <w:r>
        <w:t>1. Objective</w:t>
      </w:r>
    </w:p>
    <w:p>
      <w:r>
        <w:t>The primary objective of this phase is to investigate whether a gradient-based adaptive hybrid loss can improve intrusion detection performance across six fusion methods. The main criterion is model quality—particularly Macro F1, per-class recall, balanced accuracy, and precision—not merely the numerical value of the loss.</w:t>
      </w:r>
    </w:p>
    <w:p>
      <w:pPr>
        <w:pStyle w:val="Heading1"/>
      </w:pPr>
      <w:r>
        <w:t>2. Model Architecture</w:t>
      </w:r>
    </w:p>
    <w:p>
      <w:r>
        <w:t>The proposed architecture is the Multimodal Adaptive Temporal-Relational Classifier. It combines temporal representations generated by a GRU-based temporal encoder with relational representations generated by a graph-based relational encoder.</w:t>
      </w:r>
    </w:p>
    <w:p>
      <w:pPr>
        <w:pStyle w:val="ListBullet"/>
      </w:pPr>
      <w:r>
        <w:t>Temporal Encoder: GRU-based sequence encoder.</w:t>
      </w:r>
    </w:p>
    <w:p>
      <w:pPr>
        <w:pStyle w:val="ListBullet"/>
      </w:pPr>
      <w:r>
        <w:t>Relational Encoder: Node and edge projections followed by message processing.</w:t>
      </w:r>
    </w:p>
    <w:p>
      <w:pPr>
        <w:pStyle w:val="ListBullet"/>
      </w:pPr>
      <w:r>
        <w:t>Fusion Layer: One of six controlled fusion methods.</w:t>
      </w:r>
    </w:p>
    <w:p>
      <w:pPr>
        <w:pStyle w:val="ListBullet"/>
      </w:pPr>
      <w:r>
        <w:t>Classifier Head: Produces final class logits.</w:t>
      </w:r>
    </w:p>
    <w:p>
      <w:pPr>
        <w:pStyle w:val="ListBullet"/>
      </w:pPr>
      <w:r>
        <w:t>Loss Layer: Gradient-based adaptive combination of CE, Focal Loss, and Weighted CE.</w:t>
      </w:r>
    </w:p>
    <w:p>
      <w:pPr>
        <w:pStyle w:val="Heading1"/>
      </w:pPr>
      <w:r>
        <w:t>3. Six Fusion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No.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Fusion Method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Concatenation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Combines temporal and relational embeddings through concatenation; serves as an early baseline.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Gated Adaptive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Learns adaptive gates to control the contribution of each modality.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Bilinear Tensor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Captures second-order interactions between temporal and relational features.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Cross-Attention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Uses attention-based interactions to combine the two representations.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Decision-Level Ensemble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Combines predictions or logits from the individual branches.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Quantum Circuit Fusion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Uses a parameterized quantum circuit for representation fusion.</w:t>
            </w:r>
          </w:p>
        </w:tc>
      </w:tr>
    </w:tbl>
    <w:p>
      <w:pPr>
        <w:pStyle w:val="Heading1"/>
      </w:pPr>
      <w:r>
        <w:t>4. Hybrid Loss Formulation</w:t>
      </w:r>
    </w:p>
    <w:p>
      <w:r>
        <w:t>The hybrid loss combines three classification objectives calculated from the same model logits:</w:t>
      </w:r>
    </w:p>
    <w:p>
      <w:r>
        <w:t>L_hybrid = α L_CE + β L_Focal + γ L_WCE</w:t>
      </w:r>
    </w:p>
    <w:p>
      <w:r>
        <w:t>The weights must satisfy the simplex constraints:</w:t>
      </w:r>
    </w:p>
    <w:p>
      <w:r>
        <w:t>α + β + γ = 1</w:t>
      </w:r>
    </w:p>
    <w:p>
      <w:r>
        <w:t>α, β, γ ≥ 0</w:t>
      </w:r>
    </w:p>
    <w:p>
      <w:pPr>
        <w:pStyle w:val="Heading1"/>
      </w:pPr>
      <w:r>
        <w:t>5. Gradient-Based Weighting Strategy</w:t>
      </w:r>
    </w:p>
    <w:p>
      <w:r>
        <w:t>The contribution of each loss component is adjusted using gradient information. For a selected common trainable parameter set θ, calculate the gradient norm of each loss:</w:t>
      </w:r>
    </w:p>
    <w:p>
      <w:r>
        <w:t>g_CE = ||∇θ L_CE||₂</w:t>
      </w:r>
    </w:p>
    <w:p>
      <w:r>
        <w:t>g_Focal = ||∇θ L_Focal||₂</w:t>
      </w:r>
    </w:p>
    <w:p>
      <w:r>
        <w:t>g_WCE = ||∇θ L_WCE||₂</w:t>
      </w:r>
    </w:p>
    <w:p>
      <w:r>
        <w:t>The average gradient magnitude is:</w:t>
      </w:r>
    </w:p>
    <w:p>
      <w:r>
        <w:t>ḡ = (g_CE + g_Focal + g_WCE) / 3</w:t>
      </w:r>
    </w:p>
    <w:p>
      <w:r>
        <w:t>A gradient balancing factor is then calculated as:</w:t>
      </w:r>
    </w:p>
    <w:p>
      <w:r>
        <w:t>r_i = (ḡ / (g_i + ε))^η</w:t>
      </w:r>
    </w:p>
    <w:p>
      <w:r>
        <w:t>Here, ε prevents division by zero and η controls the strength of gradient-based adaptation. A starting value of η = 0.5 is recommended.</w:t>
      </w:r>
    </w:p>
    <w:p>
      <w:r>
        <w:t>The gradient-adjusted unnormalized contribution is:</w:t>
      </w:r>
    </w:p>
    <w:p>
      <w:r>
        <w:t>u_i = p_i × r_i</w:t>
      </w:r>
    </w:p>
    <w:p>
      <w:r>
        <w:t>The prior weights are initially set to p_CE = 0.50, p_Focal = 0.35, and p_WCE = 0.15. The final normalized weight is:</w:t>
      </w:r>
    </w:p>
    <w:p>
      <w:r>
        <w:t>w_i = u_i / Σ_j u_j</w:t>
      </w:r>
    </w:p>
    <w:p>
      <w:r>
        <w:t>The final values are assigned as α = w_CE, β = w_Focal, and γ = w_WCE. Minimum and maximum weight limits should be applied to prevent one loss from dominating the training process.</w:t>
      </w:r>
    </w:p>
    <w:p>
      <w:pPr>
        <w:pStyle w:val="Heading1"/>
      </w:pPr>
      <w:r>
        <w:t>6. Why Gradient-Based Weighting?</w:t>
      </w:r>
    </w:p>
    <w:p>
      <w:pPr>
        <w:pStyle w:val="ListBullet"/>
      </w:pPr>
      <w:r>
        <w:t>It avoids permanently fixing the contribution of each loss component.</w:t>
      </w:r>
    </w:p>
    <w:p>
      <w:pPr>
        <w:pStyle w:val="ListBullet"/>
      </w:pPr>
      <w:r>
        <w:t>It can identify when one loss produces disproportionately large gradients.</w:t>
      </w:r>
    </w:p>
    <w:p>
      <w:pPr>
        <w:pStyle w:val="ListBullet"/>
      </w:pPr>
      <w:r>
        <w:t>It allows the hybrid loss to adapt during training.</w:t>
      </w:r>
    </w:p>
    <w:p>
      <w:pPr>
        <w:pStyle w:val="ListBullet"/>
      </w:pPr>
      <w:r>
        <w:t>It supports a consistent loss mechanism across all fusion methods.</w:t>
      </w:r>
    </w:p>
    <w:p>
      <w:pPr>
        <w:pStyle w:val="ListBullet"/>
      </w:pPr>
      <w:r>
        <w:t>It provides additional experimental information through gradient norms and weight trajectories.</w:t>
      </w:r>
    </w:p>
    <w:p>
      <w:r>
        <w:t>Gradient magnitude alone is not a direct measure of usefulness. Therefore, the adaptive loss must be evaluated using validation performance and per-class detection behavior.</w:t>
      </w:r>
    </w:p>
    <w:p>
      <w:pPr>
        <w:pStyle w:val="Heading1"/>
      </w:pPr>
      <w:r>
        <w:t>7. Reference Parameters for Gradient Calculation</w:t>
      </w:r>
    </w:p>
    <w:p>
      <w:r>
        <w:t>For comparability, gradient norms should be calculated with respect to a common trainable reference parameter set. The classifier head or a common output projection is preferred where it is shared across fusion methods.</w:t>
      </w:r>
    </w:p>
    <w:p>
      <w:pPr>
        <w:pStyle w:val="ListBullet"/>
      </w:pPr>
      <w:r>
        <w:t>Use the same reference parameter policy for all experiments whenever possible.</w:t>
      </w:r>
    </w:p>
    <w:p>
      <w:pPr>
        <w:pStyle w:val="ListBullet"/>
      </w:pPr>
      <w:r>
        <w:t>Do not compare gradient norms calculated from unrelated parameter sets without documenting the difference.</w:t>
      </w:r>
    </w:p>
    <w:p>
      <w:pPr>
        <w:pStyle w:val="ListBullet"/>
      </w:pPr>
      <w:r>
        <w:t>Detach gradient-derived weights before the final backward pass.</w:t>
      </w:r>
    </w:p>
    <w:p>
      <w:pPr>
        <w:pStyle w:val="ListBullet"/>
      </w:pPr>
      <w:r>
        <w:t>Perform one final backward pass using the combined hybrid loss.</w:t>
      </w:r>
    </w:p>
    <w:p>
      <w:pPr>
        <w:pStyle w:val="Heading1"/>
      </w:pPr>
      <w:r>
        <w:t>8. Training Workflow</w:t>
      </w:r>
    </w:p>
    <w:p>
      <w:pPr>
        <w:pStyle w:val="ListNumber"/>
      </w:pPr>
      <w:r>
        <w:t>Perform the forward pass through the selected fusion method.</w:t>
      </w:r>
    </w:p>
    <w:p>
      <w:pPr>
        <w:pStyle w:val="ListNumber"/>
      </w:pPr>
      <w:r>
        <w:t>Calculate Standard Cross-Entropy, Focal Loss, and Weighted Cross-Entropy from the same logits.</w:t>
      </w:r>
    </w:p>
    <w:p>
      <w:pPr>
        <w:pStyle w:val="ListNumber"/>
      </w:pPr>
      <w:r>
        <w:t>Calculate gradient norms for the selected reference parameters.</w:t>
      </w:r>
    </w:p>
    <w:p>
      <w:pPr>
        <w:pStyle w:val="ListNumber"/>
      </w:pPr>
      <w:r>
        <w:t>Compute gradient-balancing factors and normalized weights.</w:t>
      </w:r>
    </w:p>
    <w:p>
      <w:pPr>
        <w:pStyle w:val="ListNumber"/>
      </w:pPr>
      <w:r>
        <w:t>Apply weight clipping or safeguards if required.</w:t>
      </w:r>
    </w:p>
    <w:p>
      <w:pPr>
        <w:pStyle w:val="ListNumber"/>
      </w:pPr>
      <w:r>
        <w:t>Construct the final hybrid loss.</w:t>
      </w:r>
    </w:p>
    <w:p>
      <w:pPr>
        <w:pStyle w:val="ListNumber"/>
      </w:pPr>
      <w:r>
        <w:t>Backpropagate once using the final hybrid loss and update model parameters.</w:t>
      </w:r>
    </w:p>
    <w:p>
      <w:pPr>
        <w:pStyle w:val="ListNumber"/>
      </w:pPr>
      <w:r>
        <w:t>Record losses, gradient norms, adaptive weights, and validation metrics.</w:t>
      </w:r>
    </w:p>
    <w:p>
      <w:pPr>
        <w:pStyle w:val="Heading1"/>
      </w:pPr>
      <w:r>
        <w:t>9. Experimental Stages</w:t>
      </w:r>
    </w:p>
    <w:p>
      <w:pPr>
        <w:pStyle w:val="Heading2"/>
      </w:pPr>
      <w:r>
        <w:t>Stage A: Validate the Adaptive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Experiment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Loss Configuration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Standard Cross-Entropy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Weighted Cross-Entropy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Focal Loss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Fixed-weight hybrid loss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Gradient-based adaptive hybrid loss</w:t>
            </w:r>
          </w:p>
        </w:tc>
      </w:tr>
    </w:tbl>
    <w:p>
      <w:r>
        <w:t>Stage A should be conducted using the primary architecture to determine whether the adaptive hybrid loss provides measurable benefits over the individual losses and the fixed hybrid baseline.</w:t>
      </w:r>
    </w:p>
    <w:p>
      <w:pPr>
        <w:pStyle w:val="Heading2"/>
      </w:pPr>
      <w:r>
        <w:t>Stage B: Evaluate the Six Fusion Methods</w:t>
      </w:r>
    </w:p>
    <w:p>
      <w:r>
        <w:t>After validating the adaptive loss implementation, apply the same gradient-based loss procedure to each of the six fusion methods across the three datasets.</w:t>
      </w:r>
    </w:p>
    <w:p>
      <w:r>
        <w:t>3 datasets × 6 fusion methods = 18 fusion experiments</w:t>
      </w:r>
    </w:p>
    <w:p>
      <w:pPr>
        <w:pStyle w:val="Heading1"/>
      </w:pPr>
      <w:r>
        <w:t>10. Controlled Experimental Conditions</w:t>
      </w:r>
    </w:p>
    <w:p>
      <w:pPr>
        <w:pStyle w:val="ListBullet"/>
      </w:pPr>
      <w:r>
        <w:t>Use identical dataset splits and preprocessing procedures.</w:t>
      </w:r>
    </w:p>
    <w:p>
      <w:pPr>
        <w:pStyle w:val="ListBullet"/>
      </w:pPr>
      <w:r>
        <w:t>Use the same optimizer, learning rate policy, batch size, and epoch budget.</w:t>
      </w:r>
    </w:p>
    <w:p>
      <w:pPr>
        <w:pStyle w:val="ListBullet"/>
      </w:pPr>
      <w:r>
        <w:t>Use the same early-stopping and checkpoint rules.</w:t>
      </w:r>
    </w:p>
    <w:p>
      <w:pPr>
        <w:pStyle w:val="ListBullet"/>
      </w:pPr>
      <w:r>
        <w:t>Use the same class-weight calculation procedure.</w:t>
      </w:r>
    </w:p>
    <w:p>
      <w:pPr>
        <w:pStyle w:val="ListBullet"/>
      </w:pPr>
      <w:r>
        <w:t>Keep the gradient-based loss implementation unchanged across fusion methods.</w:t>
      </w:r>
    </w:p>
    <w:p>
      <w:pPr>
        <w:pStyle w:val="ListBullet"/>
      </w:pPr>
      <w:r>
        <w:t>Record hardware usage and training time because fusion methods may have different computational costs.</w:t>
      </w:r>
    </w:p>
    <w:p>
      <w:pPr>
        <w:pStyle w:val="Heading1"/>
      </w:pPr>
      <w:r>
        <w:t>11.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Metric Group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Metrics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Primary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Macro F1, per-class recall, per-class precision, balanced accuracy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Secondary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Weighted F1, confusion matrix, convergence behavior, training time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Adaptive-loss diagnostics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8"/>
              </w:rPr>
              <w:t>CE/Focal/WCE values, gradient norms, α/β/γ trajectories</w:t>
            </w:r>
          </w:p>
        </w:tc>
      </w:tr>
    </w:tbl>
    <w:p>
      <w:pPr>
        <w:pStyle w:val="Heading1"/>
      </w:pPr>
      <w:r>
        <w:t>12. Logging Requirements</w:t>
      </w:r>
    </w:p>
    <w:p>
      <w:r>
        <w:t>For every epoch, record the following information:</w:t>
      </w:r>
    </w:p>
    <w:p>
      <w:pPr>
        <w:pStyle w:val="ListBullet"/>
      </w:pPr>
      <w:r>
        <w:t>Epoch number</w:t>
      </w:r>
    </w:p>
    <w:p>
      <w:pPr>
        <w:pStyle w:val="ListBullet"/>
      </w:pPr>
      <w:r>
        <w:t>CE loss, Focal loss, Weighted CE loss, and final hybrid loss</w:t>
      </w:r>
    </w:p>
    <w:p>
      <w:pPr>
        <w:pStyle w:val="ListBullet"/>
      </w:pPr>
      <w:r>
        <w:t>Gradient norm for each loss component</w:t>
      </w:r>
    </w:p>
    <w:p>
      <w:pPr>
        <w:pStyle w:val="ListBullet"/>
      </w:pPr>
      <w:r>
        <w:t>Adaptive α, β, and γ values</w:t>
      </w:r>
    </w:p>
    <w:p>
      <w:pPr>
        <w:pStyle w:val="ListBullet"/>
      </w:pPr>
      <w:r>
        <w:t>Validation Macro F1 and balanced accuracy</w:t>
      </w:r>
    </w:p>
    <w:p>
      <w:pPr>
        <w:pStyle w:val="ListBullet"/>
      </w:pPr>
      <w:r>
        <w:t>Per-class precision and recall</w:t>
      </w:r>
    </w:p>
    <w:p>
      <w:pPr>
        <w:pStyle w:val="ListBullet"/>
      </w:pPr>
      <w:r>
        <w:t>Training time and convergence information</w:t>
      </w:r>
    </w:p>
    <w:p>
      <w:pPr>
        <w:pStyle w:val="Heading1"/>
      </w:pPr>
      <w:r>
        <w:t>13. Interpretation Guidelines</w:t>
      </w:r>
    </w:p>
    <w:p>
      <w:r>
        <w:t>The adaptive loss should be considered successful only if it demonstrates meaningful and consistent improvement in the predefined validation metrics. A lower loss value alone is insufficient.</w:t>
      </w:r>
    </w:p>
    <w:p>
      <w:pPr>
        <w:pStyle w:val="ListBullet"/>
      </w:pPr>
      <w:r>
        <w:t>Improved minority-class recall with acceptable precision is valuable for intrusion detection.</w:t>
      </w:r>
    </w:p>
    <w:p>
      <w:pPr>
        <w:pStyle w:val="ListBullet"/>
      </w:pPr>
      <w:r>
        <w:t>A small or unstable change in performance should be reported honestly.</w:t>
      </w:r>
    </w:p>
    <w:p>
      <w:pPr>
        <w:pStyle w:val="ListBullet"/>
      </w:pPr>
      <w:r>
        <w:t>If the adaptive method performs worse, the result is still useful as an experimental finding.</w:t>
      </w:r>
    </w:p>
    <w:p>
      <w:pPr>
        <w:pStyle w:val="ListBullet"/>
      </w:pPr>
      <w:r>
        <w:t>The selected loss configuration should be frozen before the final fusion comparison.</w:t>
      </w:r>
    </w:p>
    <w:p>
      <w:pPr>
        <w:pStyle w:val="Heading1"/>
      </w:pPr>
      <w:r>
        <w:t>14. Proposed Research Statement</w:t>
      </w:r>
    </w:p>
    <w:p>
      <w:r>
        <w:t>This phase investigates a gradient-based adaptive hybrid loss that dynamically balances Standard Cross-Entropy, Focal Loss, and Weighted Cross-Entropy. The approach uses gradient magnitudes to adjust the contribution of each component while maintaining normalized nonnegative weights. Its effectiveness will be evaluated across six temporal-relational fusion methods and three intrusion detection datasets using class-sensitive performance metrics.</w:t>
      </w:r>
    </w:p>
    <w:p>
      <w:pPr>
        <w:pStyle w:val="Heading1"/>
      </w:pPr>
      <w:r>
        <w:t>15. Final Experimental Pipeline</w:t>
      </w:r>
    </w:p>
    <w:p>
      <w:r>
        <w:t>Individual loss baselines → Fixed hybrid loss → Gradient-based adaptive hybrid loss → Validation and diagnostic analysis → Freeze selected loss configuration → Evaluate six fusion methods → Compare performance across datasets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