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Phase 1 Experimental Results Analysis</w:t>
      </w:r>
    </w:p>
    <w:p>
      <w:pPr>
        <w:jc w:val="center"/>
      </w:pPr>
      <w:r>
        <w:rPr>
          <w:b/>
          <w:sz w:val="28"/>
        </w:rPr>
        <w:t>Controlled Loss-Function Experimentation</w:t>
      </w:r>
    </w:p>
    <w:p>
      <w:pPr>
        <w:jc w:val="center"/>
      </w:pPr>
      <w:r>
        <w:rPr>
          <w:i/>
        </w:rPr>
        <w:t>Adaptive Temporal-Relational Intrusion Detection for Evolving Network Traffic</w:t>
      </w:r>
    </w:p>
    <w:p>
      <w:pPr>
        <w:jc w:val="center"/>
      </w:pPr>
      <w:r>
        <w:rPr>
          <w:b/>
        </w:rPr>
        <w:t>Status: Phase 1 completed; final loss selection remains provisional</w:t>
      </w:r>
    </w:p>
    <w:p>
      <w:pPr>
        <w:pStyle w:val="Heading1"/>
      </w:pPr>
      <w:r>
        <w:t>1. Executive Summary</w:t>
      </w:r>
    </w:p>
    <w:p>
      <w:r>
        <w:t>Nine controlled experiments were completed across NF-CSE-CIC-IDS2018-v2, NF-UNSW-NB15-v2, and CSE-CIC-IDS2018 using Standard Cross Entropy, Class-Weighted Cross Entropy, and Focal Loss with gamma = 2.0. Standard CE performed consistently well across the datasets. Focal Loss produced results close to Standard CE, while Weighted CE caused a substantial performance decline on the multiclass CSE-CIC-IDS2018 dataset.</w:t>
      </w:r>
    </w:p>
    <w:p>
      <w:r>
        <w:t>The findings indicate that loss-function behavior is dataset-dependent and that class weighting does not automatically improve Macro F1, even when it increases macro recall.</w:t>
      </w:r>
    </w:p>
    <w:p>
      <w:pPr>
        <w:pStyle w:val="Heading1"/>
      </w:pPr>
      <w:r>
        <w:t>2. Experimental Setup</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6"/>
              </w:rPr>
              <w:t>Component</w:t>
            </w:r>
          </w:p>
        </w:tc>
        <w:tc>
          <w:tcPr>
            <w:tcW w:type="dxa" w:w="4968"/>
            <w:vAlign w:val="center"/>
            <w:shd w:fill="D9EAF7"/>
          </w:tcPr>
          <w:p>
            <w:r/>
            <w:r>
              <w:rPr>
                <w:b/>
                <w:sz w:val="16"/>
              </w:rPr>
              <w:t>Configuration</w:t>
            </w:r>
          </w:p>
        </w:tc>
      </w:tr>
      <w:tr>
        <w:tc>
          <w:tcPr>
            <w:tcW w:type="dxa" w:w="4968"/>
            <w:vAlign w:val="center"/>
          </w:tcPr>
          <w:p>
            <w:r/>
            <w:r>
              <w:rPr>
                <w:b w:val="0"/>
                <w:sz w:val="16"/>
              </w:rPr>
              <w:t>Datasets</w:t>
            </w:r>
          </w:p>
        </w:tc>
        <w:tc>
          <w:tcPr>
            <w:tcW w:type="dxa" w:w="4968"/>
            <w:vAlign w:val="center"/>
          </w:tcPr>
          <w:p>
            <w:r/>
            <w:r>
              <w:rPr>
                <w:b w:val="0"/>
                <w:sz w:val="16"/>
              </w:rPr>
              <w:t>NF-CSE-CIC-IDS2018-v2; NF-UNSW-NB15-v2; CSE-CIC-IDS2018</w:t>
            </w:r>
          </w:p>
        </w:tc>
      </w:tr>
      <w:tr>
        <w:tc>
          <w:tcPr>
            <w:tcW w:type="dxa" w:w="4968"/>
            <w:vAlign w:val="center"/>
          </w:tcPr>
          <w:p>
            <w:r/>
            <w:r>
              <w:rPr>
                <w:b w:val="0"/>
                <w:sz w:val="16"/>
              </w:rPr>
              <w:t>Loss functions</w:t>
            </w:r>
          </w:p>
        </w:tc>
        <w:tc>
          <w:tcPr>
            <w:tcW w:type="dxa" w:w="4968"/>
            <w:vAlign w:val="center"/>
          </w:tcPr>
          <w:p>
            <w:r/>
            <w:r>
              <w:rPr>
                <w:b w:val="0"/>
                <w:sz w:val="16"/>
              </w:rPr>
              <w:t>Standard CE; Weighted CE; Focal Loss (gamma = 2.0)</w:t>
            </w:r>
          </w:p>
        </w:tc>
      </w:tr>
      <w:tr>
        <w:tc>
          <w:tcPr>
            <w:tcW w:type="dxa" w:w="4968"/>
            <w:vAlign w:val="center"/>
          </w:tcPr>
          <w:p>
            <w:r/>
            <w:r>
              <w:rPr>
                <w:b w:val="0"/>
                <w:sz w:val="16"/>
              </w:rPr>
              <w:t>Architecture</w:t>
            </w:r>
          </w:p>
        </w:tc>
        <w:tc>
          <w:tcPr>
            <w:tcW w:type="dxa" w:w="4968"/>
            <w:vAlign w:val="center"/>
          </w:tcPr>
          <w:p>
            <w:r/>
            <w:r>
              <w:rPr>
                <w:b w:val="0"/>
                <w:sz w:val="16"/>
              </w:rPr>
              <w:t>FixedTemporalEncoder GRU-64d + FixedRelationalEncoder 64d + Concatenation Fusion + classifier head</w:t>
            </w:r>
          </w:p>
        </w:tc>
      </w:tr>
      <w:tr>
        <w:tc>
          <w:tcPr>
            <w:tcW w:type="dxa" w:w="4968"/>
            <w:vAlign w:val="center"/>
          </w:tcPr>
          <w:p>
            <w:r/>
            <w:r>
              <w:rPr>
                <w:b w:val="0"/>
                <w:sz w:val="16"/>
              </w:rPr>
              <w:t>Splits</w:t>
            </w:r>
          </w:p>
        </w:tc>
        <w:tc>
          <w:tcPr>
            <w:tcW w:type="dxa" w:w="4968"/>
            <w:vAlign w:val="center"/>
          </w:tcPr>
          <w:p>
            <w:r/>
            <w:r>
              <w:rPr>
                <w:b w:val="0"/>
                <w:sz w:val="16"/>
              </w:rPr>
              <w:t>70/15/15</w:t>
            </w:r>
          </w:p>
        </w:tc>
      </w:tr>
      <w:tr>
        <w:tc>
          <w:tcPr>
            <w:tcW w:type="dxa" w:w="4968"/>
            <w:vAlign w:val="center"/>
          </w:tcPr>
          <w:p>
            <w:r/>
            <w:r>
              <w:rPr>
                <w:b w:val="0"/>
                <w:sz w:val="16"/>
              </w:rPr>
              <w:t>Scaler fitting</w:t>
            </w:r>
          </w:p>
        </w:tc>
        <w:tc>
          <w:tcPr>
            <w:tcW w:type="dxa" w:w="4968"/>
            <w:vAlign w:val="center"/>
          </w:tcPr>
          <w:p>
            <w:r/>
            <w:r>
              <w:rPr>
                <w:b w:val="0"/>
                <w:sz w:val="16"/>
              </w:rPr>
              <w:t>Training partition only</w:t>
            </w:r>
          </w:p>
        </w:tc>
      </w:tr>
      <w:tr>
        <w:tc>
          <w:tcPr>
            <w:tcW w:type="dxa" w:w="4968"/>
            <w:vAlign w:val="center"/>
          </w:tcPr>
          <w:p>
            <w:r/>
            <w:r>
              <w:rPr>
                <w:b w:val="0"/>
                <w:sz w:val="16"/>
              </w:rPr>
              <w:t>Random seed</w:t>
            </w:r>
          </w:p>
        </w:tc>
        <w:tc>
          <w:tcPr>
            <w:tcW w:type="dxa" w:w="4968"/>
            <w:vAlign w:val="center"/>
          </w:tcPr>
          <w:p>
            <w:r/>
            <w:r>
              <w:rPr>
                <w:b w:val="0"/>
                <w:sz w:val="16"/>
              </w:rPr>
              <w:t>42</w:t>
            </w:r>
          </w:p>
        </w:tc>
      </w:tr>
      <w:tr>
        <w:tc>
          <w:tcPr>
            <w:tcW w:type="dxa" w:w="4968"/>
            <w:vAlign w:val="center"/>
          </w:tcPr>
          <w:p>
            <w:r/>
            <w:r>
              <w:rPr>
                <w:b w:val="0"/>
                <w:sz w:val="16"/>
              </w:rPr>
              <w:t>Optimizer</w:t>
            </w:r>
          </w:p>
        </w:tc>
        <w:tc>
          <w:tcPr>
            <w:tcW w:type="dxa" w:w="4968"/>
            <w:vAlign w:val="center"/>
          </w:tcPr>
          <w:p>
            <w:r/>
            <w:r>
              <w:rPr>
                <w:b w:val="0"/>
                <w:sz w:val="16"/>
              </w:rPr>
              <w:t>Adam</w:t>
            </w:r>
          </w:p>
        </w:tc>
      </w:tr>
      <w:tr>
        <w:tc>
          <w:tcPr>
            <w:tcW w:type="dxa" w:w="4968"/>
            <w:vAlign w:val="center"/>
          </w:tcPr>
          <w:p>
            <w:r/>
            <w:r>
              <w:rPr>
                <w:b w:val="0"/>
                <w:sz w:val="16"/>
              </w:rPr>
              <w:t>Learning rate</w:t>
            </w:r>
          </w:p>
        </w:tc>
        <w:tc>
          <w:tcPr>
            <w:tcW w:type="dxa" w:w="4968"/>
            <w:vAlign w:val="center"/>
          </w:tcPr>
          <w:p>
            <w:r/>
            <w:r>
              <w:rPr>
                <w:b w:val="0"/>
                <w:sz w:val="16"/>
              </w:rPr>
              <w:t>0.001</w:t>
            </w:r>
          </w:p>
        </w:tc>
      </w:tr>
      <w:tr>
        <w:tc>
          <w:tcPr>
            <w:tcW w:type="dxa" w:w="4968"/>
            <w:vAlign w:val="center"/>
          </w:tcPr>
          <w:p>
            <w:r/>
            <w:r>
              <w:rPr>
                <w:b w:val="0"/>
                <w:sz w:val="16"/>
              </w:rPr>
              <w:t>Controls</w:t>
            </w:r>
          </w:p>
        </w:tc>
        <w:tc>
          <w:tcPr>
            <w:tcW w:type="dxa" w:w="4968"/>
            <w:vAlign w:val="center"/>
          </w:tcPr>
          <w:p>
            <w:r/>
            <w:r>
              <w:rPr>
                <w:b w:val="0"/>
                <w:sz w:val="16"/>
              </w:rPr>
              <w:t>Architecture, preprocessing, splits, optimizer, and early stopping held constant</w:t>
            </w:r>
          </w:p>
        </w:tc>
      </w:tr>
    </w:tbl>
    <w:p/>
    <w:p>
      <w:pPr>
        <w:pStyle w:val="Heading1"/>
      </w:pPr>
      <w:r>
        <w:t>3. Master Results</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vAlign w:val="center"/>
            <w:shd w:fill="D9EAF7"/>
          </w:tcPr>
          <w:p>
            <w:r/>
            <w:r>
              <w:rPr>
                <w:b/>
                <w:sz w:val="16"/>
              </w:rPr>
              <w:t>Dataset</w:t>
            </w:r>
          </w:p>
        </w:tc>
        <w:tc>
          <w:tcPr>
            <w:tcW w:type="dxa" w:w="1242"/>
            <w:vAlign w:val="center"/>
            <w:shd w:fill="D9EAF7"/>
          </w:tcPr>
          <w:p>
            <w:r/>
            <w:r>
              <w:rPr>
                <w:b/>
                <w:sz w:val="16"/>
              </w:rPr>
              <w:t>Loss</w:t>
            </w:r>
          </w:p>
        </w:tc>
        <w:tc>
          <w:tcPr>
            <w:tcW w:type="dxa" w:w="1242"/>
            <w:vAlign w:val="center"/>
            <w:shd w:fill="D9EAF7"/>
          </w:tcPr>
          <w:p>
            <w:r/>
            <w:r>
              <w:rPr>
                <w:b/>
                <w:sz w:val="16"/>
              </w:rPr>
              <w:t>Accuracy</w:t>
            </w:r>
          </w:p>
        </w:tc>
        <w:tc>
          <w:tcPr>
            <w:tcW w:type="dxa" w:w="1242"/>
            <w:vAlign w:val="center"/>
            <w:shd w:fill="D9EAF7"/>
          </w:tcPr>
          <w:p>
            <w:r/>
            <w:r>
              <w:rPr>
                <w:b/>
                <w:sz w:val="16"/>
              </w:rPr>
              <w:t>Macro P.</w:t>
            </w:r>
          </w:p>
        </w:tc>
        <w:tc>
          <w:tcPr>
            <w:tcW w:type="dxa" w:w="1242"/>
            <w:vAlign w:val="center"/>
            <w:shd w:fill="D9EAF7"/>
          </w:tcPr>
          <w:p>
            <w:r/>
            <w:r>
              <w:rPr>
                <w:b/>
                <w:sz w:val="16"/>
              </w:rPr>
              <w:t>Macro R.</w:t>
            </w:r>
          </w:p>
        </w:tc>
        <w:tc>
          <w:tcPr>
            <w:tcW w:type="dxa" w:w="1242"/>
            <w:vAlign w:val="center"/>
            <w:shd w:fill="D9EAF7"/>
          </w:tcPr>
          <w:p>
            <w:r/>
            <w:r>
              <w:rPr>
                <w:b/>
                <w:sz w:val="16"/>
              </w:rPr>
              <w:t>Macro F1</w:t>
            </w:r>
          </w:p>
        </w:tc>
        <w:tc>
          <w:tcPr>
            <w:tcW w:type="dxa" w:w="1242"/>
            <w:vAlign w:val="center"/>
            <w:shd w:fill="D9EAF7"/>
          </w:tcPr>
          <w:p>
            <w:r/>
            <w:r>
              <w:rPr>
                <w:b/>
                <w:sz w:val="16"/>
              </w:rPr>
              <w:t>Weighted F1</w:t>
            </w:r>
          </w:p>
        </w:tc>
        <w:tc>
          <w:tcPr>
            <w:tcW w:type="dxa" w:w="1242"/>
            <w:vAlign w:val="center"/>
            <w:shd w:fill="D9EAF7"/>
          </w:tcPr>
          <w:p>
            <w:r/>
            <w:r>
              <w:rPr>
                <w:b/>
                <w:sz w:val="16"/>
              </w:rPr>
              <w:t>Time (s)</w:t>
            </w:r>
          </w:p>
        </w:tc>
      </w:tr>
      <w:tr>
        <w:tc>
          <w:tcPr>
            <w:tcW w:type="dxa" w:w="1242"/>
            <w:vAlign w:val="center"/>
          </w:tcPr>
          <w:p>
            <w:r/>
            <w:r>
              <w:rPr>
                <w:b w:val="0"/>
                <w:sz w:val="16"/>
              </w:rPr>
              <w:t>NF-CSE-CIC-IDS2018-v2</w:t>
            </w:r>
          </w:p>
        </w:tc>
        <w:tc>
          <w:tcPr>
            <w:tcW w:type="dxa" w:w="1242"/>
            <w:vAlign w:val="center"/>
          </w:tcPr>
          <w:p>
            <w:r/>
            <w:r>
              <w:rPr>
                <w:b w:val="0"/>
                <w:sz w:val="16"/>
              </w:rPr>
              <w:t>Standard CE</w:t>
            </w:r>
          </w:p>
        </w:tc>
        <w:tc>
          <w:tcPr>
            <w:tcW w:type="dxa" w:w="1242"/>
            <w:vAlign w:val="center"/>
          </w:tcPr>
          <w:p>
            <w:r/>
            <w:r>
              <w:rPr>
                <w:b w:val="0"/>
                <w:sz w:val="16"/>
              </w:rPr>
              <w:t>0.9949</w:t>
            </w:r>
          </w:p>
        </w:tc>
        <w:tc>
          <w:tcPr>
            <w:tcW w:type="dxa" w:w="1242"/>
            <w:vAlign w:val="center"/>
          </w:tcPr>
          <w:p>
            <w:r/>
            <w:r>
              <w:rPr>
                <w:b w:val="0"/>
                <w:sz w:val="16"/>
              </w:rPr>
              <w:t>0.9961</w:t>
            </w:r>
          </w:p>
        </w:tc>
        <w:tc>
          <w:tcPr>
            <w:tcW w:type="dxa" w:w="1242"/>
            <w:vAlign w:val="center"/>
          </w:tcPr>
          <w:p>
            <w:r/>
            <w:r>
              <w:rPr>
                <w:b w:val="0"/>
                <w:sz w:val="16"/>
              </w:rPr>
              <w:t>0.9798</w:t>
            </w:r>
          </w:p>
        </w:tc>
        <w:tc>
          <w:tcPr>
            <w:tcW w:type="dxa" w:w="1242"/>
            <w:vAlign w:val="center"/>
          </w:tcPr>
          <w:p>
            <w:r/>
            <w:r>
              <w:rPr>
                <w:b w:val="0"/>
                <w:sz w:val="16"/>
              </w:rPr>
              <w:t>0.9878</w:t>
            </w:r>
          </w:p>
        </w:tc>
        <w:tc>
          <w:tcPr>
            <w:tcW w:type="dxa" w:w="1242"/>
            <w:vAlign w:val="center"/>
          </w:tcPr>
          <w:p>
            <w:r/>
            <w:r>
              <w:rPr>
                <w:b w:val="0"/>
                <w:sz w:val="16"/>
              </w:rPr>
              <w:t>0.9949</w:t>
            </w:r>
          </w:p>
        </w:tc>
        <w:tc>
          <w:tcPr>
            <w:tcW w:type="dxa" w:w="1242"/>
            <w:vAlign w:val="center"/>
          </w:tcPr>
          <w:p>
            <w:r/>
            <w:r>
              <w:rPr>
                <w:b w:val="0"/>
                <w:sz w:val="16"/>
              </w:rPr>
              <w:t>110.45</w:t>
            </w:r>
          </w:p>
        </w:tc>
      </w:tr>
      <w:tr>
        <w:tc>
          <w:tcPr>
            <w:tcW w:type="dxa" w:w="1242"/>
            <w:vAlign w:val="center"/>
          </w:tcPr>
          <w:p>
            <w:r/>
            <w:r>
              <w:rPr>
                <w:b w:val="0"/>
                <w:sz w:val="16"/>
              </w:rPr>
              <w:t>NF-CSE-CIC-IDS2018-v2</w:t>
            </w:r>
          </w:p>
        </w:tc>
        <w:tc>
          <w:tcPr>
            <w:tcW w:type="dxa" w:w="1242"/>
            <w:vAlign w:val="center"/>
          </w:tcPr>
          <w:p>
            <w:r/>
            <w:r>
              <w:rPr>
                <w:b w:val="0"/>
                <w:sz w:val="16"/>
              </w:rPr>
              <w:t>Weighted CE</w:t>
            </w:r>
          </w:p>
        </w:tc>
        <w:tc>
          <w:tcPr>
            <w:tcW w:type="dxa" w:w="1242"/>
            <w:vAlign w:val="center"/>
          </w:tcPr>
          <w:p>
            <w:r/>
            <w:r>
              <w:rPr>
                <w:b w:val="0"/>
                <w:sz w:val="16"/>
              </w:rPr>
              <w:t>0.9916</w:t>
            </w:r>
          </w:p>
        </w:tc>
        <w:tc>
          <w:tcPr>
            <w:tcW w:type="dxa" w:w="1242"/>
            <w:vAlign w:val="center"/>
          </w:tcPr>
          <w:p>
            <w:r/>
            <w:r>
              <w:rPr>
                <w:b w:val="0"/>
                <w:sz w:val="16"/>
              </w:rPr>
              <w:t>0.9809</w:t>
            </w:r>
          </w:p>
        </w:tc>
        <w:tc>
          <w:tcPr>
            <w:tcW w:type="dxa" w:w="1242"/>
            <w:vAlign w:val="center"/>
          </w:tcPr>
          <w:p>
            <w:r/>
            <w:r>
              <w:rPr>
                <w:b w:val="0"/>
                <w:sz w:val="16"/>
              </w:rPr>
              <w:t>0.9791</w:t>
            </w:r>
          </w:p>
        </w:tc>
        <w:tc>
          <w:tcPr>
            <w:tcW w:type="dxa" w:w="1242"/>
            <w:vAlign w:val="center"/>
          </w:tcPr>
          <w:p>
            <w:r/>
            <w:r>
              <w:rPr>
                <w:b w:val="0"/>
                <w:sz w:val="16"/>
              </w:rPr>
              <w:t>0.9800</w:t>
            </w:r>
          </w:p>
        </w:tc>
        <w:tc>
          <w:tcPr>
            <w:tcW w:type="dxa" w:w="1242"/>
            <w:vAlign w:val="center"/>
          </w:tcPr>
          <w:p>
            <w:r/>
            <w:r>
              <w:rPr>
                <w:b w:val="0"/>
                <w:sz w:val="16"/>
              </w:rPr>
              <w:t>0.9916</w:t>
            </w:r>
          </w:p>
        </w:tc>
        <w:tc>
          <w:tcPr>
            <w:tcW w:type="dxa" w:w="1242"/>
            <w:vAlign w:val="center"/>
          </w:tcPr>
          <w:p>
            <w:r/>
            <w:r>
              <w:rPr>
                <w:b w:val="0"/>
                <w:sz w:val="16"/>
              </w:rPr>
              <w:t>94.49</w:t>
            </w:r>
          </w:p>
        </w:tc>
      </w:tr>
      <w:tr>
        <w:tc>
          <w:tcPr>
            <w:tcW w:type="dxa" w:w="1242"/>
            <w:vAlign w:val="center"/>
          </w:tcPr>
          <w:p>
            <w:r/>
            <w:r>
              <w:rPr>
                <w:b w:val="0"/>
                <w:sz w:val="16"/>
              </w:rPr>
              <w:t>NF-CSE-CIC-IDS2018-v2</w:t>
            </w:r>
          </w:p>
        </w:tc>
        <w:tc>
          <w:tcPr>
            <w:tcW w:type="dxa" w:w="1242"/>
            <w:vAlign w:val="center"/>
          </w:tcPr>
          <w:p>
            <w:r/>
            <w:r>
              <w:rPr>
                <w:b w:val="0"/>
                <w:sz w:val="16"/>
              </w:rPr>
              <w:t>Focal Loss</w:t>
            </w:r>
          </w:p>
        </w:tc>
        <w:tc>
          <w:tcPr>
            <w:tcW w:type="dxa" w:w="1242"/>
            <w:vAlign w:val="center"/>
          </w:tcPr>
          <w:p>
            <w:r/>
            <w:r>
              <w:rPr>
                <w:b w:val="0"/>
                <w:sz w:val="16"/>
              </w:rPr>
              <w:t>0.9948</w:t>
            </w:r>
          </w:p>
        </w:tc>
        <w:tc>
          <w:tcPr>
            <w:tcW w:type="dxa" w:w="1242"/>
            <w:vAlign w:val="center"/>
          </w:tcPr>
          <w:p>
            <w:r/>
            <w:r>
              <w:rPr>
                <w:b w:val="0"/>
                <w:sz w:val="16"/>
              </w:rPr>
              <w:t>0.9968</w:t>
            </w:r>
          </w:p>
        </w:tc>
        <w:tc>
          <w:tcPr>
            <w:tcW w:type="dxa" w:w="1242"/>
            <w:vAlign w:val="center"/>
          </w:tcPr>
          <w:p>
            <w:r/>
            <w:r>
              <w:rPr>
                <w:b w:val="0"/>
                <w:sz w:val="16"/>
              </w:rPr>
              <w:t>0.9785</w:t>
            </w:r>
          </w:p>
        </w:tc>
        <w:tc>
          <w:tcPr>
            <w:tcW w:type="dxa" w:w="1242"/>
            <w:vAlign w:val="center"/>
          </w:tcPr>
          <w:p>
            <w:r/>
            <w:r>
              <w:rPr>
                <w:b w:val="0"/>
                <w:sz w:val="16"/>
              </w:rPr>
              <w:t>0.9874</w:t>
            </w:r>
          </w:p>
        </w:tc>
        <w:tc>
          <w:tcPr>
            <w:tcW w:type="dxa" w:w="1242"/>
            <w:vAlign w:val="center"/>
          </w:tcPr>
          <w:p>
            <w:r/>
            <w:r>
              <w:rPr>
                <w:b w:val="0"/>
                <w:sz w:val="16"/>
              </w:rPr>
              <w:t>0.9948</w:t>
            </w:r>
          </w:p>
        </w:tc>
        <w:tc>
          <w:tcPr>
            <w:tcW w:type="dxa" w:w="1242"/>
            <w:vAlign w:val="center"/>
          </w:tcPr>
          <w:p>
            <w:r/>
            <w:r>
              <w:rPr>
                <w:b w:val="0"/>
                <w:sz w:val="16"/>
              </w:rPr>
              <w:t>108.05</w:t>
            </w:r>
          </w:p>
        </w:tc>
      </w:tr>
      <w:tr>
        <w:tc>
          <w:tcPr>
            <w:tcW w:type="dxa" w:w="1242"/>
            <w:vAlign w:val="center"/>
          </w:tcPr>
          <w:p>
            <w:r/>
            <w:r>
              <w:rPr>
                <w:b w:val="0"/>
                <w:sz w:val="16"/>
              </w:rPr>
              <w:t>NF-UNSW-NB15-v2</w:t>
            </w:r>
          </w:p>
        </w:tc>
        <w:tc>
          <w:tcPr>
            <w:tcW w:type="dxa" w:w="1242"/>
            <w:vAlign w:val="center"/>
          </w:tcPr>
          <w:p>
            <w:r/>
            <w:r>
              <w:rPr>
                <w:b w:val="0"/>
                <w:sz w:val="16"/>
              </w:rPr>
              <w:t>Standard CE</w:t>
            </w:r>
          </w:p>
        </w:tc>
        <w:tc>
          <w:tcPr>
            <w:tcW w:type="dxa" w:w="1242"/>
            <w:vAlign w:val="center"/>
          </w:tcPr>
          <w:p>
            <w:r/>
            <w:r>
              <w:rPr>
                <w:b w:val="0"/>
                <w:sz w:val="16"/>
              </w:rPr>
              <w:t>0.9887</w:t>
            </w:r>
          </w:p>
        </w:tc>
        <w:tc>
          <w:tcPr>
            <w:tcW w:type="dxa" w:w="1242"/>
            <w:vAlign w:val="center"/>
          </w:tcPr>
          <w:p>
            <w:r/>
            <w:r>
              <w:rPr>
                <w:b w:val="0"/>
                <w:sz w:val="16"/>
              </w:rPr>
              <w:t>0.8763</w:t>
            </w:r>
          </w:p>
        </w:tc>
        <w:tc>
          <w:tcPr>
            <w:tcW w:type="dxa" w:w="1242"/>
            <w:vAlign w:val="center"/>
          </w:tcPr>
          <w:p>
            <w:r/>
            <w:r>
              <w:rPr>
                <w:b w:val="0"/>
                <w:sz w:val="16"/>
              </w:rPr>
              <w:t>0.9814</w:t>
            </w:r>
          </w:p>
        </w:tc>
        <w:tc>
          <w:tcPr>
            <w:tcW w:type="dxa" w:w="1242"/>
            <w:vAlign w:val="center"/>
          </w:tcPr>
          <w:p>
            <w:r/>
            <w:r>
              <w:rPr>
                <w:b w:val="0"/>
                <w:sz w:val="16"/>
              </w:rPr>
              <w:t>0.9218</w:t>
            </w:r>
          </w:p>
        </w:tc>
        <w:tc>
          <w:tcPr>
            <w:tcW w:type="dxa" w:w="1242"/>
            <w:vAlign w:val="center"/>
          </w:tcPr>
          <w:p>
            <w:r/>
            <w:r>
              <w:rPr>
                <w:b w:val="0"/>
                <w:sz w:val="16"/>
              </w:rPr>
              <w:t>0.9894</w:t>
            </w:r>
          </w:p>
        </w:tc>
        <w:tc>
          <w:tcPr>
            <w:tcW w:type="dxa" w:w="1242"/>
            <w:vAlign w:val="center"/>
          </w:tcPr>
          <w:p>
            <w:r/>
            <w:r>
              <w:rPr>
                <w:b w:val="0"/>
                <w:sz w:val="16"/>
              </w:rPr>
              <w:t>89.38</w:t>
            </w:r>
          </w:p>
        </w:tc>
      </w:tr>
      <w:tr>
        <w:tc>
          <w:tcPr>
            <w:tcW w:type="dxa" w:w="1242"/>
            <w:vAlign w:val="center"/>
          </w:tcPr>
          <w:p>
            <w:r/>
            <w:r>
              <w:rPr>
                <w:b w:val="0"/>
                <w:sz w:val="16"/>
              </w:rPr>
              <w:t>NF-UNSW-NB15-v2</w:t>
            </w:r>
          </w:p>
        </w:tc>
        <w:tc>
          <w:tcPr>
            <w:tcW w:type="dxa" w:w="1242"/>
            <w:vAlign w:val="center"/>
          </w:tcPr>
          <w:p>
            <w:r/>
            <w:r>
              <w:rPr>
                <w:b w:val="0"/>
                <w:sz w:val="16"/>
              </w:rPr>
              <w:t>Weighted CE</w:t>
            </w:r>
          </w:p>
        </w:tc>
        <w:tc>
          <w:tcPr>
            <w:tcW w:type="dxa" w:w="1242"/>
            <w:vAlign w:val="center"/>
          </w:tcPr>
          <w:p>
            <w:r/>
            <w:r>
              <w:rPr>
                <w:b w:val="0"/>
                <w:sz w:val="16"/>
              </w:rPr>
              <w:t>0.9878</w:t>
            </w:r>
          </w:p>
        </w:tc>
        <w:tc>
          <w:tcPr>
            <w:tcW w:type="dxa" w:w="1242"/>
            <w:vAlign w:val="center"/>
          </w:tcPr>
          <w:p>
            <w:r/>
            <w:r>
              <w:rPr>
                <w:b w:val="0"/>
                <w:sz w:val="16"/>
              </w:rPr>
              <w:t>0.8640</w:t>
            </w:r>
          </w:p>
        </w:tc>
        <w:tc>
          <w:tcPr>
            <w:tcW w:type="dxa" w:w="1242"/>
            <w:vAlign w:val="center"/>
          </w:tcPr>
          <w:p>
            <w:r/>
            <w:r>
              <w:rPr>
                <w:b w:val="0"/>
                <w:sz w:val="16"/>
              </w:rPr>
              <w:t>0.9937</w:t>
            </w:r>
          </w:p>
        </w:tc>
        <w:tc>
          <w:tcPr>
            <w:tcW w:type="dxa" w:w="1242"/>
            <w:vAlign w:val="center"/>
          </w:tcPr>
          <w:p>
            <w:r/>
            <w:r>
              <w:rPr>
                <w:b w:val="0"/>
                <w:sz w:val="16"/>
              </w:rPr>
              <w:t>0.9182</w:t>
            </w:r>
          </w:p>
        </w:tc>
        <w:tc>
          <w:tcPr>
            <w:tcW w:type="dxa" w:w="1242"/>
            <w:vAlign w:val="center"/>
          </w:tcPr>
          <w:p>
            <w:r/>
            <w:r>
              <w:rPr>
                <w:b w:val="0"/>
                <w:sz w:val="16"/>
              </w:rPr>
              <w:t>0.9887</w:t>
            </w:r>
          </w:p>
        </w:tc>
        <w:tc>
          <w:tcPr>
            <w:tcW w:type="dxa" w:w="1242"/>
            <w:vAlign w:val="center"/>
          </w:tcPr>
          <w:p>
            <w:r/>
            <w:r>
              <w:rPr>
                <w:b w:val="0"/>
                <w:sz w:val="16"/>
              </w:rPr>
              <w:t>102.10</w:t>
            </w:r>
          </w:p>
        </w:tc>
      </w:tr>
      <w:tr>
        <w:tc>
          <w:tcPr>
            <w:tcW w:type="dxa" w:w="1242"/>
            <w:vAlign w:val="center"/>
          </w:tcPr>
          <w:p>
            <w:r/>
            <w:r>
              <w:rPr>
                <w:b w:val="0"/>
                <w:sz w:val="16"/>
              </w:rPr>
              <w:t>NF-UNSW-NB15-v2</w:t>
            </w:r>
          </w:p>
        </w:tc>
        <w:tc>
          <w:tcPr>
            <w:tcW w:type="dxa" w:w="1242"/>
            <w:vAlign w:val="center"/>
          </w:tcPr>
          <w:p>
            <w:r/>
            <w:r>
              <w:rPr>
                <w:b w:val="0"/>
                <w:sz w:val="16"/>
              </w:rPr>
              <w:t>Focal Loss</w:t>
            </w:r>
          </w:p>
        </w:tc>
        <w:tc>
          <w:tcPr>
            <w:tcW w:type="dxa" w:w="1242"/>
            <w:vAlign w:val="center"/>
          </w:tcPr>
          <w:p>
            <w:r/>
            <w:r>
              <w:rPr>
                <w:b w:val="0"/>
                <w:sz w:val="16"/>
              </w:rPr>
              <w:t>0.9881</w:t>
            </w:r>
          </w:p>
        </w:tc>
        <w:tc>
          <w:tcPr>
            <w:tcW w:type="dxa" w:w="1242"/>
            <w:vAlign w:val="center"/>
          </w:tcPr>
          <w:p>
            <w:r/>
            <w:r>
              <w:rPr>
                <w:b w:val="0"/>
                <w:sz w:val="16"/>
              </w:rPr>
              <w:t>0.8675</w:t>
            </w:r>
          </w:p>
        </w:tc>
        <w:tc>
          <w:tcPr>
            <w:tcW w:type="dxa" w:w="1242"/>
            <w:vAlign w:val="center"/>
          </w:tcPr>
          <w:p>
            <w:r/>
            <w:r>
              <w:rPr>
                <w:b w:val="0"/>
                <w:sz w:val="16"/>
              </w:rPr>
              <w:t>0.9899</w:t>
            </w:r>
          </w:p>
        </w:tc>
        <w:tc>
          <w:tcPr>
            <w:tcW w:type="dxa" w:w="1242"/>
            <w:vAlign w:val="center"/>
          </w:tcPr>
          <w:p>
            <w:r/>
            <w:r>
              <w:rPr>
                <w:b w:val="0"/>
                <w:sz w:val="16"/>
              </w:rPr>
              <w:t>0.9191</w:t>
            </w:r>
          </w:p>
        </w:tc>
        <w:tc>
          <w:tcPr>
            <w:tcW w:type="dxa" w:w="1242"/>
            <w:vAlign w:val="center"/>
          </w:tcPr>
          <w:p>
            <w:r/>
            <w:r>
              <w:rPr>
                <w:b w:val="0"/>
                <w:sz w:val="16"/>
              </w:rPr>
              <w:t>0.9889</w:t>
            </w:r>
          </w:p>
        </w:tc>
        <w:tc>
          <w:tcPr>
            <w:tcW w:type="dxa" w:w="1242"/>
            <w:vAlign w:val="center"/>
          </w:tcPr>
          <w:p>
            <w:r/>
            <w:r>
              <w:rPr>
                <w:b w:val="0"/>
                <w:sz w:val="16"/>
              </w:rPr>
              <w:t>115.89</w:t>
            </w:r>
          </w:p>
        </w:tc>
      </w:tr>
      <w:tr>
        <w:tc>
          <w:tcPr>
            <w:tcW w:type="dxa" w:w="1242"/>
            <w:vAlign w:val="center"/>
          </w:tcPr>
          <w:p>
            <w:r/>
            <w:r>
              <w:rPr>
                <w:b w:val="0"/>
                <w:sz w:val="16"/>
              </w:rPr>
              <w:t>CSE-CIC-IDS2018</w:t>
            </w:r>
          </w:p>
        </w:tc>
        <w:tc>
          <w:tcPr>
            <w:tcW w:type="dxa" w:w="1242"/>
            <w:vAlign w:val="center"/>
          </w:tcPr>
          <w:p>
            <w:r/>
            <w:r>
              <w:rPr>
                <w:b w:val="0"/>
                <w:sz w:val="16"/>
              </w:rPr>
              <w:t>Standard CE</w:t>
            </w:r>
          </w:p>
        </w:tc>
        <w:tc>
          <w:tcPr>
            <w:tcW w:type="dxa" w:w="1242"/>
            <w:vAlign w:val="center"/>
          </w:tcPr>
          <w:p>
            <w:r/>
            <w:r>
              <w:rPr>
                <w:b w:val="0"/>
                <w:sz w:val="16"/>
              </w:rPr>
              <w:t>0.9459</w:t>
            </w:r>
          </w:p>
        </w:tc>
        <w:tc>
          <w:tcPr>
            <w:tcW w:type="dxa" w:w="1242"/>
            <w:vAlign w:val="center"/>
          </w:tcPr>
          <w:p>
            <w:r/>
            <w:r>
              <w:rPr>
                <w:b w:val="0"/>
                <w:sz w:val="16"/>
              </w:rPr>
              <w:t>0.9306</w:t>
            </w:r>
          </w:p>
        </w:tc>
        <w:tc>
          <w:tcPr>
            <w:tcW w:type="dxa" w:w="1242"/>
            <w:vAlign w:val="center"/>
          </w:tcPr>
          <w:p>
            <w:r/>
            <w:r>
              <w:rPr>
                <w:b w:val="0"/>
                <w:sz w:val="16"/>
              </w:rPr>
              <w:t>0.8033</w:t>
            </w:r>
          </w:p>
        </w:tc>
        <w:tc>
          <w:tcPr>
            <w:tcW w:type="dxa" w:w="1242"/>
            <w:vAlign w:val="center"/>
          </w:tcPr>
          <w:p>
            <w:r/>
            <w:r>
              <w:rPr>
                <w:b w:val="0"/>
                <w:sz w:val="16"/>
              </w:rPr>
              <w:t>0.8275</w:t>
            </w:r>
          </w:p>
        </w:tc>
        <w:tc>
          <w:tcPr>
            <w:tcW w:type="dxa" w:w="1242"/>
            <w:vAlign w:val="center"/>
          </w:tcPr>
          <w:p>
            <w:r/>
            <w:r>
              <w:rPr>
                <w:b w:val="0"/>
                <w:sz w:val="16"/>
              </w:rPr>
              <w:t>0.9363</w:t>
            </w:r>
          </w:p>
        </w:tc>
        <w:tc>
          <w:tcPr>
            <w:tcW w:type="dxa" w:w="1242"/>
            <w:vAlign w:val="center"/>
          </w:tcPr>
          <w:p>
            <w:r/>
            <w:r>
              <w:rPr>
                <w:b w:val="0"/>
                <w:sz w:val="16"/>
              </w:rPr>
              <w:t>280.53</w:t>
            </w:r>
          </w:p>
        </w:tc>
      </w:tr>
      <w:tr>
        <w:tc>
          <w:tcPr>
            <w:tcW w:type="dxa" w:w="1242"/>
            <w:vAlign w:val="center"/>
          </w:tcPr>
          <w:p>
            <w:r/>
            <w:r>
              <w:rPr>
                <w:b w:val="0"/>
                <w:sz w:val="16"/>
              </w:rPr>
              <w:t>CSE-CIC-IDS2018</w:t>
            </w:r>
          </w:p>
        </w:tc>
        <w:tc>
          <w:tcPr>
            <w:tcW w:type="dxa" w:w="1242"/>
            <w:vAlign w:val="center"/>
          </w:tcPr>
          <w:p>
            <w:r/>
            <w:r>
              <w:rPr>
                <w:b w:val="0"/>
                <w:sz w:val="16"/>
              </w:rPr>
              <w:t>Weighted CE</w:t>
            </w:r>
          </w:p>
        </w:tc>
        <w:tc>
          <w:tcPr>
            <w:tcW w:type="dxa" w:w="1242"/>
            <w:vAlign w:val="center"/>
          </w:tcPr>
          <w:p>
            <w:r/>
            <w:r>
              <w:rPr>
                <w:b w:val="0"/>
                <w:sz w:val="16"/>
              </w:rPr>
              <w:t>0.6285</w:t>
            </w:r>
          </w:p>
        </w:tc>
        <w:tc>
          <w:tcPr>
            <w:tcW w:type="dxa" w:w="1242"/>
            <w:vAlign w:val="center"/>
          </w:tcPr>
          <w:p>
            <w:r/>
            <w:r>
              <w:rPr>
                <w:b w:val="0"/>
                <w:sz w:val="16"/>
              </w:rPr>
              <w:t>0.7779</w:t>
            </w:r>
          </w:p>
        </w:tc>
        <w:tc>
          <w:tcPr>
            <w:tcW w:type="dxa" w:w="1242"/>
            <w:vAlign w:val="center"/>
          </w:tcPr>
          <w:p>
            <w:r/>
            <w:r>
              <w:rPr>
                <w:b w:val="0"/>
                <w:sz w:val="16"/>
              </w:rPr>
              <w:t>0.8314</w:t>
            </w:r>
          </w:p>
        </w:tc>
        <w:tc>
          <w:tcPr>
            <w:tcW w:type="dxa" w:w="1242"/>
            <w:vAlign w:val="center"/>
          </w:tcPr>
          <w:p>
            <w:r/>
            <w:r>
              <w:rPr>
                <w:b w:val="0"/>
                <w:sz w:val="16"/>
              </w:rPr>
              <w:t>0.7455</w:t>
            </w:r>
          </w:p>
        </w:tc>
        <w:tc>
          <w:tcPr>
            <w:tcW w:type="dxa" w:w="1242"/>
            <w:vAlign w:val="center"/>
          </w:tcPr>
          <w:p>
            <w:r/>
            <w:r>
              <w:rPr>
                <w:b w:val="0"/>
                <w:sz w:val="16"/>
              </w:rPr>
              <w:t>0.7040</w:t>
            </w:r>
          </w:p>
        </w:tc>
        <w:tc>
          <w:tcPr>
            <w:tcW w:type="dxa" w:w="1242"/>
            <w:vAlign w:val="center"/>
          </w:tcPr>
          <w:p>
            <w:r/>
            <w:r>
              <w:rPr>
                <w:b w:val="0"/>
                <w:sz w:val="16"/>
              </w:rPr>
              <w:t>194.34</w:t>
            </w:r>
          </w:p>
        </w:tc>
      </w:tr>
      <w:tr>
        <w:tc>
          <w:tcPr>
            <w:tcW w:type="dxa" w:w="1242"/>
            <w:vAlign w:val="center"/>
          </w:tcPr>
          <w:p>
            <w:r/>
            <w:r>
              <w:rPr>
                <w:b w:val="0"/>
                <w:sz w:val="16"/>
              </w:rPr>
              <w:t>CSE-CIC-IDS2018</w:t>
            </w:r>
          </w:p>
        </w:tc>
        <w:tc>
          <w:tcPr>
            <w:tcW w:type="dxa" w:w="1242"/>
            <w:vAlign w:val="center"/>
          </w:tcPr>
          <w:p>
            <w:r/>
            <w:r>
              <w:rPr>
                <w:b w:val="0"/>
                <w:sz w:val="16"/>
              </w:rPr>
              <w:t>Focal Loss</w:t>
            </w:r>
          </w:p>
        </w:tc>
        <w:tc>
          <w:tcPr>
            <w:tcW w:type="dxa" w:w="1242"/>
            <w:vAlign w:val="center"/>
          </w:tcPr>
          <w:p>
            <w:r/>
            <w:r>
              <w:rPr>
                <w:b w:val="0"/>
                <w:sz w:val="16"/>
              </w:rPr>
              <w:t>0.9461</w:t>
            </w:r>
          </w:p>
        </w:tc>
        <w:tc>
          <w:tcPr>
            <w:tcW w:type="dxa" w:w="1242"/>
            <w:vAlign w:val="center"/>
          </w:tcPr>
          <w:p>
            <w:r/>
            <w:r>
              <w:rPr>
                <w:b w:val="0"/>
                <w:sz w:val="16"/>
              </w:rPr>
              <w:t>0.9375</w:t>
            </w:r>
          </w:p>
        </w:tc>
        <w:tc>
          <w:tcPr>
            <w:tcW w:type="dxa" w:w="1242"/>
            <w:vAlign w:val="center"/>
          </w:tcPr>
          <w:p>
            <w:r/>
            <w:r>
              <w:rPr>
                <w:b w:val="0"/>
                <w:sz w:val="16"/>
              </w:rPr>
              <w:t>0.8024</w:t>
            </w:r>
          </w:p>
        </w:tc>
        <w:tc>
          <w:tcPr>
            <w:tcW w:type="dxa" w:w="1242"/>
            <w:vAlign w:val="center"/>
          </w:tcPr>
          <w:p>
            <w:r/>
            <w:r>
              <w:rPr>
                <w:b w:val="0"/>
                <w:sz w:val="16"/>
              </w:rPr>
              <w:t>0.8279</w:t>
            </w:r>
          </w:p>
        </w:tc>
        <w:tc>
          <w:tcPr>
            <w:tcW w:type="dxa" w:w="1242"/>
            <w:vAlign w:val="center"/>
          </w:tcPr>
          <w:p>
            <w:r/>
            <w:r>
              <w:rPr>
                <w:b w:val="0"/>
                <w:sz w:val="16"/>
              </w:rPr>
              <w:t>0.9360</w:t>
            </w:r>
          </w:p>
        </w:tc>
        <w:tc>
          <w:tcPr>
            <w:tcW w:type="dxa" w:w="1242"/>
            <w:vAlign w:val="center"/>
          </w:tcPr>
          <w:p>
            <w:r/>
            <w:r>
              <w:rPr>
                <w:b w:val="0"/>
                <w:sz w:val="16"/>
              </w:rPr>
              <w:t>373.32</w:t>
            </w:r>
          </w:p>
        </w:tc>
      </w:tr>
    </w:tbl>
    <w:p/>
    <w:p>
      <w:pPr>
        <w:pStyle w:val="Heading1"/>
      </w:pPr>
      <w:r>
        <w:t>4. Dataset-Wise Analysis</w:t>
      </w:r>
    </w:p>
    <w:p>
      <w:pPr>
        <w:pStyle w:val="Heading2"/>
      </w:pPr>
      <w:r>
        <w:t>4.1 NF-CSE-CIC-IDS2018-v2</w:t>
      </w:r>
    </w:p>
    <w:p>
      <w:r>
        <w:t>Standard CE achieved the highest Macro F1 of 0.9878. Focal Loss was close at 0.9874, while Weighted CE reached 0.9800. Focal Loss achieved slightly higher macro precision at 0.9968, but Standard CE achieved higher macro recall and Macro F1. The difference between Standard CE and Focal Loss was only 0.0004 Macro F1, indicating no meaningful improvement under the tested configuration.</w:t>
      </w:r>
    </w:p>
    <w:p>
      <w:pPr>
        <w:pStyle w:val="Heading2"/>
      </w:pPr>
      <w:r>
        <w:t>4.2 NF-UNSW-NB15-v2</w:t>
      </w:r>
    </w:p>
    <w:p>
      <w:r>
        <w:t>Standard CE achieved the highest Macro F1 at 0.9218 and accuracy at 0.9887. Weighted CE achieved the highest macro recall at 0.9937, but its macro precision was the lowest at 0.8640. Focal Loss reached 0.9191 Macro F1. These results indicate a precision-recall trade-off without an aggregate F1 improvement.</w:t>
      </w:r>
    </w:p>
    <w:p>
      <w:pPr>
        <w:pStyle w:val="Heading2"/>
      </w:pPr>
      <w:r>
        <w:t>4.3 CSE-CIC-IDS2018</w:t>
      </w:r>
    </w:p>
    <w:p>
      <w:r>
        <w:t>CSE-CIC-IDS2018 produced the clearest difference between the loss functions. Focal Loss achieved the highest Macro F1 at 0.8279, only 0.0004 above Standard CE. Weighted CE, however, dropped to 0.7455 Macro F1 and 0.6285 accuracy. Its macro recall increased to 0.8314, while macro precision declined to 0.7779. This suggests that the weighting configuration may have emphasized rare classes too strongly, potentially increasing false positives or overprediction. This explanation should be investigated using class weights and confusion matrices.</w:t>
      </w:r>
    </w:p>
    <w:p>
      <w:pPr>
        <w:pStyle w:val="Heading1"/>
      </w:pPr>
      <w:r>
        <w:t>5. Training-Time Analysis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b/>
                <w:sz w:val="16"/>
              </w:rPr>
              <w:t>Dataset</w:t>
            </w:r>
          </w:p>
        </w:tc>
        <w:tc>
          <w:tcPr>
            <w:tcW w:type="dxa" w:w="1987"/>
            <w:vAlign w:val="center"/>
            <w:shd w:fill="D9EAF7"/>
          </w:tcPr>
          <w:p>
            <w:r/>
            <w:r>
              <w:rPr>
                <w:b/>
                <w:sz w:val="16"/>
              </w:rPr>
              <w:t>Standard CE</w:t>
            </w:r>
          </w:p>
        </w:tc>
        <w:tc>
          <w:tcPr>
            <w:tcW w:type="dxa" w:w="1987"/>
            <w:vAlign w:val="center"/>
            <w:shd w:fill="D9EAF7"/>
          </w:tcPr>
          <w:p>
            <w:r/>
            <w:r>
              <w:rPr>
                <w:b/>
                <w:sz w:val="16"/>
              </w:rPr>
              <w:t>Weighted CE</w:t>
            </w:r>
          </w:p>
        </w:tc>
        <w:tc>
          <w:tcPr>
            <w:tcW w:type="dxa" w:w="1987"/>
            <w:vAlign w:val="center"/>
            <w:shd w:fill="D9EAF7"/>
          </w:tcPr>
          <w:p>
            <w:r/>
            <w:r>
              <w:rPr>
                <w:b/>
                <w:sz w:val="16"/>
              </w:rPr>
              <w:t>Focal Loss</w:t>
            </w:r>
          </w:p>
        </w:tc>
        <w:tc>
          <w:tcPr>
            <w:tcW w:type="dxa" w:w="1987"/>
            <w:vAlign w:val="center"/>
            <w:shd w:fill="D9EAF7"/>
          </w:tcPr>
          <w:p>
            <w:r/>
            <w:r>
              <w:rPr>
                <w:b/>
                <w:sz w:val="16"/>
              </w:rPr>
              <w:t>Fastest</w:t>
            </w:r>
          </w:p>
        </w:tc>
      </w:tr>
      <w:tr>
        <w:tc>
          <w:tcPr>
            <w:tcW w:type="dxa" w:w="1987"/>
            <w:vAlign w:val="center"/>
          </w:tcPr>
          <w:p>
            <w:r/>
            <w:r>
              <w:rPr>
                <w:b w:val="0"/>
                <w:sz w:val="16"/>
              </w:rPr>
              <w:t>NF-CSE-CIC-IDS2018-v2</w:t>
            </w:r>
          </w:p>
        </w:tc>
        <w:tc>
          <w:tcPr>
            <w:tcW w:type="dxa" w:w="1987"/>
            <w:vAlign w:val="center"/>
          </w:tcPr>
          <w:p>
            <w:r/>
            <w:r>
              <w:rPr>
                <w:b w:val="0"/>
                <w:sz w:val="16"/>
              </w:rPr>
              <w:t>110.45 s</w:t>
            </w:r>
          </w:p>
        </w:tc>
        <w:tc>
          <w:tcPr>
            <w:tcW w:type="dxa" w:w="1987"/>
            <w:vAlign w:val="center"/>
          </w:tcPr>
          <w:p>
            <w:r/>
            <w:r>
              <w:rPr>
                <w:b w:val="0"/>
                <w:sz w:val="16"/>
              </w:rPr>
              <w:t>94.49 s</w:t>
            </w:r>
          </w:p>
        </w:tc>
        <w:tc>
          <w:tcPr>
            <w:tcW w:type="dxa" w:w="1987"/>
            <w:vAlign w:val="center"/>
          </w:tcPr>
          <w:p>
            <w:r/>
            <w:r>
              <w:rPr>
                <w:b w:val="0"/>
                <w:sz w:val="16"/>
              </w:rPr>
              <w:t>108.05 s</w:t>
            </w:r>
          </w:p>
        </w:tc>
        <w:tc>
          <w:tcPr>
            <w:tcW w:type="dxa" w:w="1987"/>
            <w:vAlign w:val="center"/>
          </w:tcPr>
          <w:p>
            <w:r/>
            <w:r>
              <w:rPr>
                <w:b w:val="0"/>
                <w:sz w:val="16"/>
              </w:rPr>
              <w:t>Weighted CE</w:t>
            </w:r>
          </w:p>
        </w:tc>
      </w:tr>
      <w:tr>
        <w:tc>
          <w:tcPr>
            <w:tcW w:type="dxa" w:w="1987"/>
            <w:vAlign w:val="center"/>
          </w:tcPr>
          <w:p>
            <w:r/>
            <w:r>
              <w:rPr>
                <w:b w:val="0"/>
                <w:sz w:val="16"/>
              </w:rPr>
              <w:t>NF-UNSW-NB15-v2</w:t>
            </w:r>
          </w:p>
        </w:tc>
        <w:tc>
          <w:tcPr>
            <w:tcW w:type="dxa" w:w="1987"/>
            <w:vAlign w:val="center"/>
          </w:tcPr>
          <w:p>
            <w:r/>
            <w:r>
              <w:rPr>
                <w:b w:val="0"/>
                <w:sz w:val="16"/>
              </w:rPr>
              <w:t>89.38 s</w:t>
            </w:r>
          </w:p>
        </w:tc>
        <w:tc>
          <w:tcPr>
            <w:tcW w:type="dxa" w:w="1987"/>
            <w:vAlign w:val="center"/>
          </w:tcPr>
          <w:p>
            <w:r/>
            <w:r>
              <w:rPr>
                <w:b w:val="0"/>
                <w:sz w:val="16"/>
              </w:rPr>
              <w:t>102.10 s</w:t>
            </w:r>
          </w:p>
        </w:tc>
        <w:tc>
          <w:tcPr>
            <w:tcW w:type="dxa" w:w="1987"/>
            <w:vAlign w:val="center"/>
          </w:tcPr>
          <w:p>
            <w:r/>
            <w:r>
              <w:rPr>
                <w:b w:val="0"/>
                <w:sz w:val="16"/>
              </w:rPr>
              <w:t>115.89 s</w:t>
            </w:r>
          </w:p>
        </w:tc>
        <w:tc>
          <w:tcPr>
            <w:tcW w:type="dxa" w:w="1987"/>
            <w:vAlign w:val="center"/>
          </w:tcPr>
          <w:p>
            <w:r/>
            <w:r>
              <w:rPr>
                <w:b w:val="0"/>
                <w:sz w:val="16"/>
              </w:rPr>
              <w:t>Standard CE</w:t>
            </w:r>
          </w:p>
        </w:tc>
      </w:tr>
      <w:tr>
        <w:tc>
          <w:tcPr>
            <w:tcW w:type="dxa" w:w="1987"/>
            <w:vAlign w:val="center"/>
          </w:tcPr>
          <w:p>
            <w:r/>
            <w:r>
              <w:rPr>
                <w:b w:val="0"/>
                <w:sz w:val="16"/>
              </w:rPr>
              <w:t>CSE-CIC-IDS2018</w:t>
            </w:r>
          </w:p>
        </w:tc>
        <w:tc>
          <w:tcPr>
            <w:tcW w:type="dxa" w:w="1987"/>
            <w:vAlign w:val="center"/>
          </w:tcPr>
          <w:p>
            <w:r/>
            <w:r>
              <w:rPr>
                <w:b w:val="0"/>
                <w:sz w:val="16"/>
              </w:rPr>
              <w:t>280.53 s</w:t>
            </w:r>
          </w:p>
        </w:tc>
        <w:tc>
          <w:tcPr>
            <w:tcW w:type="dxa" w:w="1987"/>
            <w:vAlign w:val="center"/>
          </w:tcPr>
          <w:p>
            <w:r/>
            <w:r>
              <w:rPr>
                <w:b w:val="0"/>
                <w:sz w:val="16"/>
              </w:rPr>
              <w:t>194.34 s</w:t>
            </w:r>
          </w:p>
        </w:tc>
        <w:tc>
          <w:tcPr>
            <w:tcW w:type="dxa" w:w="1987"/>
            <w:vAlign w:val="center"/>
          </w:tcPr>
          <w:p>
            <w:r/>
            <w:r>
              <w:rPr>
                <w:b w:val="0"/>
                <w:sz w:val="16"/>
              </w:rPr>
              <w:t>373.32 s</w:t>
            </w:r>
          </w:p>
        </w:tc>
        <w:tc>
          <w:tcPr>
            <w:tcW w:type="dxa" w:w="1987"/>
            <w:vAlign w:val="center"/>
          </w:tcPr>
          <w:p>
            <w:r/>
            <w:r>
              <w:rPr>
                <w:b w:val="0"/>
                <w:sz w:val="16"/>
              </w:rPr>
              <w:t>Weighted CE</w:t>
            </w:r>
          </w:p>
        </w:tc>
      </w:tr>
    </w:tbl>
    <w:p/>
    <w:p>
      <w:r>
        <w:t>Training time should not be the sole selection criterion. A faster run with poorer Macro F1 may be unsuitable for an intrusion detection system.</w:t>
      </w:r>
    </w:p>
    <w:p>
      <w:pPr>
        <w:pStyle w:val="Heading1"/>
      </w:pPr>
      <w:r>
        <w:t>6. Cross-Dataset Findings</w:t>
      </w:r>
    </w:p>
    <w:p>
      <w:r>
        <w:rPr>
          <w:b/>
        </w:rPr>
        <w:t xml:space="preserve">Standard CE is a strong baseline: </w:t>
      </w:r>
      <w:r>
        <w:t>It achieved the highest Macro F1 on both NF datasets and remained competitive on CSE-CIC-IDS2018.</w:t>
      </w:r>
    </w:p>
    <w:p>
      <w:r>
        <w:rPr>
          <w:b/>
        </w:rPr>
        <w:t xml:space="preserve">Focal Loss showed marginal differences: </w:t>
      </w:r>
      <w:r>
        <w:t>Its Macro F1 stayed within 0.0027 of Standard CE across the three datasets.</w:t>
      </w:r>
    </w:p>
    <w:p>
      <w:r>
        <w:rPr>
          <w:b/>
        </w:rPr>
        <w:t xml:space="preserve">Weighted CE was unstable on CSE: </w:t>
      </w:r>
      <w:r>
        <w:t>The multiclass CSE dataset experienced a large performance reduction under the current weighting configuration.</w:t>
      </w:r>
    </w:p>
    <w:p>
      <w:r>
        <w:rPr>
          <w:b/>
        </w:rPr>
        <w:t xml:space="preserve">Loss behavior is dataset-dependent: </w:t>
      </w:r>
      <w:r>
        <w:t>The same loss produced different precision-recall trade-offs across datasets.</w:t>
      </w:r>
    </w:p>
    <w:p>
      <w:r>
        <w:rPr>
          <w:b/>
        </w:rPr>
        <w:t xml:space="preserve">Class imbalance does not guarantee weighting gains: </w:t>
      </w:r>
      <w:r>
        <w:t>Weighting may improve minority recall while reducing precision and aggregate Macro F1.</w:t>
      </w:r>
    </w:p>
    <w:p>
      <w:pPr>
        <w:pStyle w:val="Heading1"/>
      </w:pPr>
      <w:r>
        <w:t>7. Provisional Loss Interpretation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6"/>
              </w:rPr>
              <w:t>Dataset</w:t>
            </w:r>
          </w:p>
        </w:tc>
        <w:tc>
          <w:tcPr>
            <w:tcW w:type="dxa" w:w="3312"/>
            <w:vAlign w:val="center"/>
            <w:shd w:fill="D9EAF7"/>
          </w:tcPr>
          <w:p>
            <w:r/>
            <w:r>
              <w:rPr>
                <w:b/>
                <w:sz w:val="16"/>
              </w:rPr>
              <w:t>Highest reported Macro F1</w:t>
            </w:r>
          </w:p>
        </w:tc>
        <w:tc>
          <w:tcPr>
            <w:tcW w:type="dxa" w:w="3312"/>
            <w:vAlign w:val="center"/>
            <w:shd w:fill="D9EAF7"/>
          </w:tcPr>
          <w:p>
            <w:r/>
            <w:r>
              <w:rPr>
                <w:b/>
                <w:sz w:val="16"/>
              </w:rPr>
              <w:t>Loss</w:t>
            </w:r>
          </w:p>
        </w:tc>
      </w:tr>
      <w:tr>
        <w:tc>
          <w:tcPr>
            <w:tcW w:type="dxa" w:w="3312"/>
            <w:vAlign w:val="center"/>
          </w:tcPr>
          <w:p>
            <w:r/>
            <w:r>
              <w:rPr>
                <w:b w:val="0"/>
                <w:sz w:val="16"/>
              </w:rPr>
              <w:t>NF-CSE-CIC-IDS2018-v2</w:t>
            </w:r>
          </w:p>
        </w:tc>
        <w:tc>
          <w:tcPr>
            <w:tcW w:type="dxa" w:w="3312"/>
            <w:vAlign w:val="center"/>
          </w:tcPr>
          <w:p>
            <w:r/>
            <w:r>
              <w:rPr>
                <w:b w:val="0"/>
                <w:sz w:val="16"/>
              </w:rPr>
              <w:t>0.9878</w:t>
            </w:r>
          </w:p>
        </w:tc>
        <w:tc>
          <w:tcPr>
            <w:tcW w:type="dxa" w:w="3312"/>
            <w:vAlign w:val="center"/>
          </w:tcPr>
          <w:p>
            <w:r/>
            <w:r>
              <w:rPr>
                <w:b w:val="0"/>
                <w:sz w:val="16"/>
              </w:rPr>
              <w:t>Standard CE</w:t>
            </w:r>
          </w:p>
        </w:tc>
      </w:tr>
      <w:tr>
        <w:tc>
          <w:tcPr>
            <w:tcW w:type="dxa" w:w="3312"/>
            <w:vAlign w:val="center"/>
          </w:tcPr>
          <w:p>
            <w:r/>
            <w:r>
              <w:rPr>
                <w:b w:val="0"/>
                <w:sz w:val="16"/>
              </w:rPr>
              <w:t>NF-UNSW-NB15-v2</w:t>
            </w:r>
          </w:p>
        </w:tc>
        <w:tc>
          <w:tcPr>
            <w:tcW w:type="dxa" w:w="3312"/>
            <w:vAlign w:val="center"/>
          </w:tcPr>
          <w:p>
            <w:r/>
            <w:r>
              <w:rPr>
                <w:b w:val="0"/>
                <w:sz w:val="16"/>
              </w:rPr>
              <w:t>0.9218</w:t>
            </w:r>
          </w:p>
        </w:tc>
        <w:tc>
          <w:tcPr>
            <w:tcW w:type="dxa" w:w="3312"/>
            <w:vAlign w:val="center"/>
          </w:tcPr>
          <w:p>
            <w:r/>
            <w:r>
              <w:rPr>
                <w:b w:val="0"/>
                <w:sz w:val="16"/>
              </w:rPr>
              <w:t>Standard CE</w:t>
            </w:r>
          </w:p>
        </w:tc>
      </w:tr>
      <w:tr>
        <w:tc>
          <w:tcPr>
            <w:tcW w:type="dxa" w:w="3312"/>
            <w:vAlign w:val="center"/>
          </w:tcPr>
          <w:p>
            <w:r/>
            <w:r>
              <w:rPr>
                <w:b w:val="0"/>
                <w:sz w:val="16"/>
              </w:rPr>
              <w:t>CSE-CIC-IDS2018</w:t>
            </w:r>
          </w:p>
        </w:tc>
        <w:tc>
          <w:tcPr>
            <w:tcW w:type="dxa" w:w="3312"/>
            <w:vAlign w:val="center"/>
          </w:tcPr>
          <w:p>
            <w:r/>
            <w:r>
              <w:rPr>
                <w:b w:val="0"/>
                <w:sz w:val="16"/>
              </w:rPr>
              <w:t>0.8279</w:t>
            </w:r>
          </w:p>
        </w:tc>
        <w:tc>
          <w:tcPr>
            <w:tcW w:type="dxa" w:w="3312"/>
            <w:vAlign w:val="center"/>
          </w:tcPr>
          <w:p>
            <w:r/>
            <w:r>
              <w:rPr>
                <w:b w:val="0"/>
                <w:sz w:val="16"/>
              </w:rPr>
              <w:t>Focal Loss</w:t>
            </w:r>
          </w:p>
        </w:tc>
      </w:tr>
    </w:tbl>
    <w:p/>
    <w:p>
      <w:r>
        <w:t>Standard CE is the strongest common baseline across the datasets. Focal Loss has only a negligible advantage on CSE-CIC-IDS2018. Final selection should remain provisional until per-class diagnostics and the underlying experiment artifacts are reviewed.</w:t>
      </w:r>
    </w:p>
    <w:p>
      <w:pPr>
        <w:pStyle w:val="Heading1"/>
      </w:pPr>
      <w:r>
        <w:t>8. Recommended Next Steps</w:t>
      </w:r>
    </w:p>
    <w:p>
      <w:pPr>
        <w:pStyle w:val="ListNumber"/>
      </w:pPr>
      <w:r>
        <w:t>Verify the exact class weights used for every dataset and loss configuration.</w:t>
      </w:r>
    </w:p>
    <w:p>
      <w:pPr>
        <w:pStyle w:val="ListNumber"/>
      </w:pPr>
      <w:r>
        <w:t>Generate confusion matrices and per-class precision, recall, and F1 scores.</w:t>
      </w:r>
    </w:p>
    <w:p>
      <w:pPr>
        <w:pStyle w:val="ListNumber"/>
      </w:pPr>
      <w:r>
        <w:t>Compare predicted class distributions, particularly for rare classes in CSE-CIC-IDS2018.</w:t>
      </w:r>
    </w:p>
    <w:p>
      <w:pPr>
        <w:pStyle w:val="ListNumber"/>
      </w:pPr>
      <w:r>
        <w:t>Confirm identical architecture, feature selection, split manifests, and preprocessing across losses.</w:t>
      </w:r>
    </w:p>
    <w:p>
      <w:pPr>
        <w:pStyle w:val="ListNumber"/>
      </w:pPr>
      <w:r>
        <w:t>Document Standard CE as the baseline while retaining Focal Loss as a close alternative.</w:t>
      </w:r>
    </w:p>
    <w:p>
      <w:pPr>
        <w:pStyle w:val="ListNumber"/>
      </w:pPr>
      <w:r>
        <w:t>Investigate the cause of Weighted CE degradation before designing a hybrid loss.</w:t>
      </w:r>
    </w:p>
    <w:p>
      <w:pPr>
        <w:pStyle w:val="ListNumber"/>
      </w:pPr>
      <w:r>
        <w:t>Freeze the selected loss before comparing fusion methods, so fusion effects can be isolated.</w:t>
      </w:r>
    </w:p>
    <w:p>
      <w:pPr>
        <w:pStyle w:val="Heading1"/>
      </w:pPr>
      <w:r>
        <w:t>9. Final Conclusion</w:t>
      </w:r>
    </w:p>
    <w:p>
      <w:r>
        <w:t>The experiments show that Standard CE is a robust baseline for the current architecture and datasets. Focal Loss with gamma = 2.0 produced comparable results but no substantial improvement. Weighted CE increased recall in some settings but significantly reduced precision and Macro F1 on CSE-CIC-IDS2018.</w:t>
      </w:r>
    </w:p>
    <w:p>
      <w:r>
        <w:t>The most defensible conclusion is that Standard CE should remain the primary baseline, while Focal Loss can be retained as a close alternative. The final loss decision should be made after reviewing class-level results and understanding the behavior of Weighted CE.</w:t>
      </w:r>
    </w:p>
    <w:p>
      <w:pPr>
        <w:pStyle w:val="Heading1"/>
      </w:pPr>
      <w:r>
        <w:t>Appendix: CSE Weighted CE Compared with Standard CE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6"/>
              </w:rPr>
              <w:t>Metric</w:t>
            </w:r>
          </w:p>
        </w:tc>
        <w:tc>
          <w:tcPr>
            <w:tcW w:type="dxa" w:w="2484"/>
            <w:vAlign w:val="center"/>
            <w:shd w:fill="D9EAF7"/>
          </w:tcPr>
          <w:p>
            <w:r/>
            <w:r>
              <w:rPr>
                <w:b/>
                <w:sz w:val="16"/>
              </w:rPr>
              <w:t>Standard CE</w:t>
            </w:r>
          </w:p>
        </w:tc>
        <w:tc>
          <w:tcPr>
            <w:tcW w:type="dxa" w:w="2484"/>
            <w:vAlign w:val="center"/>
            <w:shd w:fill="D9EAF7"/>
          </w:tcPr>
          <w:p>
            <w:r/>
            <w:r>
              <w:rPr>
                <w:b/>
                <w:sz w:val="16"/>
              </w:rPr>
              <w:t>Weighted CE</w:t>
            </w:r>
          </w:p>
        </w:tc>
        <w:tc>
          <w:tcPr>
            <w:tcW w:type="dxa" w:w="2484"/>
            <w:vAlign w:val="center"/>
            <w:shd w:fill="D9EAF7"/>
          </w:tcPr>
          <w:p>
            <w:r/>
            <w:r>
              <w:rPr>
                <w:b/>
                <w:sz w:val="16"/>
              </w:rPr>
              <w:t>Change</w:t>
            </w:r>
          </w:p>
        </w:tc>
      </w:tr>
      <w:tr>
        <w:tc>
          <w:tcPr>
            <w:tcW w:type="dxa" w:w="2484"/>
            <w:vAlign w:val="center"/>
          </w:tcPr>
          <w:p>
            <w:r/>
            <w:r>
              <w:rPr>
                <w:b w:val="0"/>
                <w:sz w:val="16"/>
              </w:rPr>
              <w:t>Accuracy</w:t>
            </w:r>
          </w:p>
        </w:tc>
        <w:tc>
          <w:tcPr>
            <w:tcW w:type="dxa" w:w="2484"/>
            <w:vAlign w:val="center"/>
          </w:tcPr>
          <w:p>
            <w:r/>
            <w:r>
              <w:rPr>
                <w:b w:val="0"/>
                <w:sz w:val="16"/>
              </w:rPr>
              <w:t>0.9459</w:t>
            </w:r>
          </w:p>
        </w:tc>
        <w:tc>
          <w:tcPr>
            <w:tcW w:type="dxa" w:w="2484"/>
            <w:vAlign w:val="center"/>
          </w:tcPr>
          <w:p>
            <w:r/>
            <w:r>
              <w:rPr>
                <w:b w:val="0"/>
                <w:sz w:val="16"/>
              </w:rPr>
              <w:t>0.6285</w:t>
            </w:r>
          </w:p>
        </w:tc>
        <w:tc>
          <w:tcPr>
            <w:tcW w:type="dxa" w:w="2484"/>
            <w:vAlign w:val="center"/>
          </w:tcPr>
          <w:p>
            <w:r/>
            <w:r>
              <w:rPr>
                <w:b w:val="0"/>
                <w:sz w:val="16"/>
              </w:rPr>
              <w:t>-0.3174</w:t>
            </w:r>
          </w:p>
        </w:tc>
      </w:tr>
      <w:tr>
        <w:tc>
          <w:tcPr>
            <w:tcW w:type="dxa" w:w="2484"/>
            <w:vAlign w:val="center"/>
          </w:tcPr>
          <w:p>
            <w:r/>
            <w:r>
              <w:rPr>
                <w:b w:val="0"/>
                <w:sz w:val="16"/>
              </w:rPr>
              <w:t>Macro Precision</w:t>
            </w:r>
          </w:p>
        </w:tc>
        <w:tc>
          <w:tcPr>
            <w:tcW w:type="dxa" w:w="2484"/>
            <w:vAlign w:val="center"/>
          </w:tcPr>
          <w:p>
            <w:r/>
            <w:r>
              <w:rPr>
                <w:b w:val="0"/>
                <w:sz w:val="16"/>
              </w:rPr>
              <w:t>0.9306</w:t>
            </w:r>
          </w:p>
        </w:tc>
        <w:tc>
          <w:tcPr>
            <w:tcW w:type="dxa" w:w="2484"/>
            <w:vAlign w:val="center"/>
          </w:tcPr>
          <w:p>
            <w:r/>
            <w:r>
              <w:rPr>
                <w:b w:val="0"/>
                <w:sz w:val="16"/>
              </w:rPr>
              <w:t>0.7779</w:t>
            </w:r>
          </w:p>
        </w:tc>
        <w:tc>
          <w:tcPr>
            <w:tcW w:type="dxa" w:w="2484"/>
            <w:vAlign w:val="center"/>
          </w:tcPr>
          <w:p>
            <w:r/>
            <w:r>
              <w:rPr>
                <w:b w:val="0"/>
                <w:sz w:val="16"/>
              </w:rPr>
              <w:t>-0.1527</w:t>
            </w:r>
          </w:p>
        </w:tc>
      </w:tr>
      <w:tr>
        <w:tc>
          <w:tcPr>
            <w:tcW w:type="dxa" w:w="2484"/>
            <w:vAlign w:val="center"/>
          </w:tcPr>
          <w:p>
            <w:r/>
            <w:r>
              <w:rPr>
                <w:b w:val="0"/>
                <w:sz w:val="16"/>
              </w:rPr>
              <w:t>Macro Recall</w:t>
            </w:r>
          </w:p>
        </w:tc>
        <w:tc>
          <w:tcPr>
            <w:tcW w:type="dxa" w:w="2484"/>
            <w:vAlign w:val="center"/>
          </w:tcPr>
          <w:p>
            <w:r/>
            <w:r>
              <w:rPr>
                <w:b w:val="0"/>
                <w:sz w:val="16"/>
              </w:rPr>
              <w:t>0.8033</w:t>
            </w:r>
          </w:p>
        </w:tc>
        <w:tc>
          <w:tcPr>
            <w:tcW w:type="dxa" w:w="2484"/>
            <w:vAlign w:val="center"/>
          </w:tcPr>
          <w:p>
            <w:r/>
            <w:r>
              <w:rPr>
                <w:b w:val="0"/>
                <w:sz w:val="16"/>
              </w:rPr>
              <w:t>0.8314</w:t>
            </w:r>
          </w:p>
        </w:tc>
        <w:tc>
          <w:tcPr>
            <w:tcW w:type="dxa" w:w="2484"/>
            <w:vAlign w:val="center"/>
          </w:tcPr>
          <w:p>
            <w:r/>
            <w:r>
              <w:rPr>
                <w:b w:val="0"/>
                <w:sz w:val="16"/>
              </w:rPr>
              <w:t>+0.0281</w:t>
            </w:r>
          </w:p>
        </w:tc>
      </w:tr>
      <w:tr>
        <w:tc>
          <w:tcPr>
            <w:tcW w:type="dxa" w:w="2484"/>
            <w:vAlign w:val="center"/>
          </w:tcPr>
          <w:p>
            <w:r/>
            <w:r>
              <w:rPr>
                <w:b w:val="0"/>
                <w:sz w:val="16"/>
              </w:rPr>
              <w:t>Macro F1</w:t>
            </w:r>
          </w:p>
        </w:tc>
        <w:tc>
          <w:tcPr>
            <w:tcW w:type="dxa" w:w="2484"/>
            <w:vAlign w:val="center"/>
          </w:tcPr>
          <w:p>
            <w:r/>
            <w:r>
              <w:rPr>
                <w:b w:val="0"/>
                <w:sz w:val="16"/>
              </w:rPr>
              <w:t>0.8275</w:t>
            </w:r>
          </w:p>
        </w:tc>
        <w:tc>
          <w:tcPr>
            <w:tcW w:type="dxa" w:w="2484"/>
            <w:vAlign w:val="center"/>
          </w:tcPr>
          <w:p>
            <w:r/>
            <w:r>
              <w:rPr>
                <w:b w:val="0"/>
                <w:sz w:val="16"/>
              </w:rPr>
              <w:t>0.7455</w:t>
            </w:r>
          </w:p>
        </w:tc>
        <w:tc>
          <w:tcPr>
            <w:tcW w:type="dxa" w:w="2484"/>
            <w:vAlign w:val="center"/>
          </w:tcPr>
          <w:p>
            <w:r/>
            <w:r>
              <w:rPr>
                <w:b w:val="0"/>
                <w:sz w:val="16"/>
              </w:rPr>
              <w:t>-0.0820</w:t>
            </w:r>
          </w:p>
        </w:tc>
      </w:tr>
      <w:tr>
        <w:tc>
          <w:tcPr>
            <w:tcW w:type="dxa" w:w="2484"/>
            <w:vAlign w:val="center"/>
          </w:tcPr>
          <w:p>
            <w:r/>
            <w:r>
              <w:rPr>
                <w:b w:val="0"/>
                <w:sz w:val="16"/>
              </w:rPr>
              <w:t>Weighted F1</w:t>
            </w:r>
          </w:p>
        </w:tc>
        <w:tc>
          <w:tcPr>
            <w:tcW w:type="dxa" w:w="2484"/>
            <w:vAlign w:val="center"/>
          </w:tcPr>
          <w:p>
            <w:r/>
            <w:r>
              <w:rPr>
                <w:b w:val="0"/>
                <w:sz w:val="16"/>
              </w:rPr>
              <w:t>0.9363</w:t>
            </w:r>
          </w:p>
        </w:tc>
        <w:tc>
          <w:tcPr>
            <w:tcW w:type="dxa" w:w="2484"/>
            <w:vAlign w:val="center"/>
          </w:tcPr>
          <w:p>
            <w:r/>
            <w:r>
              <w:rPr>
                <w:b w:val="0"/>
                <w:sz w:val="16"/>
              </w:rPr>
              <w:t>0.7040</w:t>
            </w:r>
          </w:p>
        </w:tc>
        <w:tc>
          <w:tcPr>
            <w:tcW w:type="dxa" w:w="2484"/>
            <w:vAlign w:val="center"/>
          </w:tcPr>
          <w:p>
            <w:r/>
            <w:r>
              <w:rPr>
                <w:b w:val="0"/>
                <w:sz w:val="16"/>
              </w:rPr>
              <w:t>-0.2323</w:t>
            </w:r>
          </w:p>
        </w:tc>
      </w:tr>
    </w:tbl>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