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B365D"/>
          <w:sz w:val="38"/>
        </w:rPr>
        <w:t>Adaptive Temporal-Relational Learning for Network Intrusion Detection: A Controlled Study of Loss Adaptation and Multimodal Fusion</w:t>
      </w:r>
    </w:p>
    <w:p>
      <w:pPr>
        <w:spacing w:after="40"/>
      </w:pPr>
      <w:r>
        <w:rPr>
          <w:b/>
          <w:color w:val="1B365D"/>
          <w:sz w:val="20"/>
        </w:rPr>
        <w:t xml:space="preserve">Authors: </w:t>
      </w:r>
      <w:r>
        <w:rPr>
          <w:color w:val="2D3748"/>
          <w:sz w:val="20"/>
        </w:rPr>
        <w:t>[Author Name(s)]</w:t>
      </w:r>
    </w:p>
    <w:p>
      <w:pPr>
        <w:spacing w:after="40"/>
      </w:pPr>
      <w:r>
        <w:rPr>
          <w:b/>
          <w:color w:val="1B365D"/>
          <w:sz w:val="20"/>
        </w:rPr>
        <w:t xml:space="preserve">Affiliation: </w:t>
      </w:r>
      <w:r>
        <w:rPr>
          <w:color w:val="2D3748"/>
          <w:sz w:val="20"/>
        </w:rPr>
        <w:t>Department of Computer Science and Engineering, [Institution Name]</w:t>
      </w:r>
    </w:p>
    <w:p>
      <w:pPr>
        <w:spacing w:after="40"/>
      </w:pPr>
      <w:r>
        <w:rPr>
          <w:b/>
          <w:color w:val="1B365D"/>
          <w:sz w:val="20"/>
        </w:rPr>
        <w:t xml:space="preserve">Date: </w:t>
      </w:r>
      <w:r>
        <w:rPr>
          <w:color w:val="2D3748"/>
          <w:sz w:val="20"/>
        </w:rPr>
        <w:t>September 2026</w:t>
      </w:r>
    </w:p>
    <w:p>
      <w:pPr>
        <w:spacing w:after="40"/>
      </w:pPr>
      <w:r>
        <w:rPr>
          <w:b/>
          <w:color w:val="1B365D"/>
          <w:sz w:val="20"/>
        </w:rPr>
        <w:t xml:space="preserve">Keywords: </w:t>
      </w:r>
      <w:r>
        <w:rPr>
          <w:color w:val="2D3748"/>
          <w:sz w:val="20"/>
        </w:rPr>
        <w:t>Network Intrusion Detection, Multimodal Fusion, Temporal Encoding, Relational Graph Representations, Gradient-Adaptive Loss, Focal Loss, Parameterized Quantum Circuits, Class Imbalance, Deep Learning, GRU</w:t>
      </w:r>
    </w:p>
    <w:p>
      <w:pPr>
        <w:spacing w:before="120" w:after="120"/>
      </w:pPr>
    </w:p>
    <w:p>
      <w:pPr>
        <w:keepNext/>
        <w:spacing w:before="280" w:after="80"/>
      </w:pPr>
      <w:r>
        <w:rPr>
          <w:rFonts w:ascii="Calibri" w:hAnsi="Calibri"/>
          <w:b/>
          <w:color w:val="1B365D"/>
          <w:sz w:val="27"/>
        </w:rPr>
        <w:t>Abstract</w:t>
      </w:r>
    </w:p>
    <w:p>
      <w:pPr>
        <w:spacing w:after="80" w:line="276" w:lineRule="auto"/>
      </w:pPr>
      <w:r>
        <w:rPr>
          <w:sz w:val="21"/>
        </w:rPr>
        <w:t xml:space="preserve">Machine learning-based network intrusion detection systems (NIDS) often evaluate flow records as isolated tabular vectors, abstracting away two informative structural properties: sequential temporal dynamics and communication topology. Furthermore, real-world network traffic exhibits severe class imbalance, which can cause standard empirical risk minimization to favor majority classes over rare, high-consequence attacks. This paper investigates a controlled framework for network intrusion detection that evaluates: (i) dual representations of network flows capturing sequential temporal embeddings via a 2-layer GRU feature encoder and windowed communication graph embeddings via a relational projection module; (ii) a </w:t>
      </w:r>
      <w:r>
        <w:rPr>
          <w:b/>
          <w:sz w:val="21"/>
        </w:rPr>
        <w:t>Gradient-Adaptive Hybrid Loss</w:t>
      </w:r>
      <w:r>
        <w:rPr>
          <w:sz w:val="21"/>
        </w:rPr>
        <w:t xml:space="preserve"> ($L_{\mathrm{hybrid}}$) that dynamically balances Standard Cross-Entropy, Focal Loss ($\gamma=2.0$), and Class-Weighted Cross-Entropy using autograd gradient-norm ratios, weight clipping, and exponential moving average (EMA) smoothing to eliminate manual per-dataset loss weight tuning during training; and (iii) a controlled benchmark of six multimodal fusion mechanisms—Concatenation, Gated, Bilinear, Cross-Attention, Decision Ensemble, and classically simulated Parameterized Quantum Circuit (PQC) fusion—across three widely used benchmark datasets: </w:t>
      </w:r>
      <w:r>
        <w:rPr>
          <w:b/>
          <w:sz w:val="21"/>
        </w:rPr>
        <w:t>CSE-CIC-IDS2018</w:t>
      </w:r>
      <w:r>
        <w:rPr>
          <w:sz w:val="21"/>
        </w:rPr>
        <w:t xml:space="preserve"> (15 classes, 16.2M raw records), </w:t>
      </w:r>
      <w:r>
        <w:rPr>
          <w:b/>
          <w:sz w:val="21"/>
        </w:rPr>
        <w:t>NF-CSE-CIC-IDS2018-v2</w:t>
      </w:r>
      <w:r>
        <w:rPr>
          <w:sz w:val="21"/>
        </w:rPr>
        <w:t xml:space="preserve"> (18.9M raw records), and </w:t>
      </w:r>
      <w:r>
        <w:rPr>
          <w:b/>
          <w:sz w:val="21"/>
        </w:rPr>
        <w:t>NF-UNSW-NB15-v2</w:t>
      </w:r>
      <w:r>
        <w:rPr>
          <w:sz w:val="21"/>
        </w:rPr>
        <w:t xml:space="preserve"> (2.4M raw records).</w:t>
      </w:r>
    </w:p>
    <w:p>
      <w:pPr>
        <w:spacing w:after="80" w:line="276" w:lineRule="auto"/>
      </w:pPr>
      <w:r>
        <w:rPr>
          <w:sz w:val="21"/>
        </w:rPr>
        <w:t xml:space="preserve">Prior to model training, a multi-stage data quality and leakage audit was conducted across 37.5 million raw records, identifying duplicate feature vectors, label conflicts, numerical anomalies, and potential train-test overlap. In baseline loss evaluations, Focal Loss achieved a Macro F1 of </w:t>
      </w:r>
      <w:r>
        <w:rPr>
          <w:b/>
          <w:sz w:val="21"/>
        </w:rPr>
        <w:t>0.8279</w:t>
      </w:r>
      <w:r>
        <w:rPr>
          <w:sz w:val="21"/>
        </w:rPr>
        <w:t xml:space="preserve"> on the 15-class CSE-CIC-IDS2018 dataset, while Standard Cross-Entropy achieved Macro F1 scores of </w:t>
      </w:r>
      <w:r>
        <w:rPr>
          <w:b/>
          <w:sz w:val="21"/>
        </w:rPr>
        <w:t>0.9878</w:t>
      </w:r>
      <w:r>
        <w:rPr>
          <w:sz w:val="21"/>
        </w:rPr>
        <w:t xml:space="preserve"> on NF-CSE-CIC-IDS2018-v2 and </w:t>
      </w:r>
      <w:r>
        <w:rPr>
          <w:b/>
          <w:sz w:val="21"/>
        </w:rPr>
        <w:t>0.9218</w:t>
      </w:r>
      <w:r>
        <w:rPr>
          <w:sz w:val="21"/>
        </w:rPr>
        <w:t xml:space="preserve"> on NF-UNSW-NB15-v2. In the multimodal fusion benchmark under $L_{\mathrm{hybrid}}$, Gated Fusion achieved the highest Macro F1 of </w:t>
      </w:r>
      <w:r>
        <w:rPr>
          <w:b/>
          <w:sz w:val="21"/>
        </w:rPr>
        <w:t>0.8347</w:t>
      </w:r>
      <w:r>
        <w:rPr>
          <w:sz w:val="21"/>
        </w:rPr>
        <w:t xml:space="preserve"> on CSE-CIC-IDS2018 and </w:t>
      </w:r>
      <w:r>
        <w:rPr>
          <w:b/>
          <w:sz w:val="21"/>
        </w:rPr>
        <w:t>0.9871</w:t>
      </w:r>
      <w:r>
        <w:rPr>
          <w:sz w:val="21"/>
        </w:rPr>
        <w:t xml:space="preserve"> on NF-CSE-CIC-IDS2018-v2, while Bilinear Fusion achieved the highest Macro F1 of </w:t>
      </w:r>
      <w:r>
        <w:rPr>
          <w:b/>
          <w:sz w:val="21"/>
        </w:rPr>
        <w:t>0.9203</w:t>
      </w:r>
      <w:r>
        <w:rPr>
          <w:sz w:val="21"/>
        </w:rPr>
        <w:t xml:space="preserve"> on NF-UNSW-NB15-v2. The simulated PQC fusion configuration produced lower Macro F1 than the evaluated classical fusion mechanisms, particularly on the severely imbalanced multiclass dataset (Macro F1: 0.7804). Within the controlled modality ablation configuration, multimodal representation achieved a Macro F1 of 0.2811, corresponding to relative increases of 49.8% over the temporal-only configuration (0.1877) and 128.2% over the relational-only configuration (0.1232), while reducing the reported false negative rate from 78.7% to 48.1% with an associated increase in false positive rate from 0.58% to 1.96%. These empirical findings indicate that fusion effectiveness depends on dataset characteristics and that loss adaptation combined with dual-modality representations offers measurable detection advantages across diverse network environments.</w:t>
      </w:r>
    </w:p>
    <w:p>
      <w:pPr>
        <w:spacing w:before="120" w:after="120"/>
      </w:pPr>
    </w:p>
    <w:p>
      <w:pPr>
        <w:keepNext/>
        <w:spacing w:before="280" w:after="80"/>
      </w:pPr>
      <w:r>
        <w:rPr>
          <w:rFonts w:ascii="Calibri" w:hAnsi="Calibri"/>
          <w:b/>
          <w:color w:val="1B365D"/>
          <w:sz w:val="27"/>
        </w:rPr>
        <w:t>Table of Contents</w:t>
      </w:r>
    </w:p>
    <w:p>
      <w:pPr>
        <w:pStyle w:val="ListNumber"/>
        <w:spacing w:after="40"/>
      </w:pPr>
      <w:r>
        <w:rPr>
          <w:color w:val="2D3748"/>
          <w:sz w:val="20"/>
        </w:rPr>
        <w:t>Introduction</w:t>
      </w:r>
    </w:p>
    <w:p>
      <w:pPr>
        <w:pStyle w:val="ListNumber"/>
        <w:spacing w:after="40"/>
      </w:pPr>
      <w:r>
        <w:rPr>
          <w:color w:val="2D3748"/>
          <w:sz w:val="20"/>
        </w:rPr>
        <w:t>Related Work</w:t>
      </w:r>
    </w:p>
    <w:p>
      <w:pPr>
        <w:pStyle w:val="ListNumber"/>
        <w:spacing w:after="40"/>
      </w:pPr>
      <w:r>
        <w:rPr>
          <w:color w:val="2D3748"/>
          <w:sz w:val="20"/>
        </w:rPr>
        <w:t>Research Questions and Study Design</w:t>
      </w:r>
    </w:p>
    <w:p>
      <w:pPr>
        <w:pStyle w:val="ListNumber"/>
        <w:spacing w:after="40"/>
      </w:pPr>
      <w:r>
        <w:rPr>
          <w:color w:val="2D3748"/>
          <w:sz w:val="20"/>
        </w:rPr>
        <w:t>Dataset Provenance and Data Preparation</w:t>
      </w:r>
    </w:p>
    <w:p>
      <w:pPr>
        <w:pStyle w:val="ListNumber"/>
        <w:spacing w:after="40"/>
      </w:pPr>
      <w:r>
        <w:rPr>
          <w:color w:val="2D3748"/>
          <w:sz w:val="20"/>
        </w:rPr>
        <w:t>Proposed Temporal-Relational Framework</w:t>
      </w:r>
    </w:p>
    <w:p>
      <w:pPr>
        <w:pStyle w:val="ListNumber"/>
        <w:spacing w:after="40"/>
      </w:pPr>
      <w:r>
        <w:rPr>
          <w:color w:val="2D3748"/>
          <w:sz w:val="20"/>
        </w:rPr>
        <w:t>Experimental Protocol</w:t>
      </w:r>
    </w:p>
    <w:p>
      <w:pPr>
        <w:pStyle w:val="ListNumber"/>
        <w:spacing w:after="40"/>
      </w:pPr>
      <w:r>
        <w:rPr>
          <w:color w:val="2D3748"/>
          <w:sz w:val="20"/>
        </w:rPr>
        <w:t>Results</w:t>
      </w:r>
    </w:p>
    <w:p>
      <w:pPr>
        <w:pStyle w:val="ListNumber"/>
        <w:spacing w:after="40"/>
      </w:pPr>
      <w:r>
        <w:rPr>
          <w:color w:val="2D3748"/>
          <w:sz w:val="20"/>
        </w:rPr>
        <w:t>Discussion</w:t>
      </w:r>
    </w:p>
    <w:p>
      <w:pPr>
        <w:pStyle w:val="ListNumber"/>
        <w:spacing w:after="40"/>
      </w:pPr>
      <w:r>
        <w:rPr>
          <w:color w:val="2D3748"/>
          <w:sz w:val="20"/>
        </w:rPr>
        <w:t>Threats to Validity and Limitations</w:t>
      </w:r>
    </w:p>
    <w:p>
      <w:pPr>
        <w:pStyle w:val="ListNumber"/>
        <w:spacing w:after="40"/>
      </w:pPr>
      <w:r>
        <w:rPr>
          <w:color w:val="2D3748"/>
          <w:sz w:val="20"/>
        </w:rPr>
        <w:t>Conclusion</w:t>
      </w:r>
    </w:p>
    <w:p>
      <w:pPr>
        <w:pStyle w:val="ListBullet"/>
        <w:spacing w:after="40"/>
      </w:pPr>
      <w:r>
        <w:rPr>
          <w:color w:val="2D3748"/>
          <w:sz w:val="20"/>
        </w:rPr>
        <w:t>References</w:t>
      </w:r>
    </w:p>
    <w:p>
      <w:pPr>
        <w:pStyle w:val="ListBullet"/>
        <w:spacing w:after="40"/>
      </w:pPr>
      <w:r>
        <w:rPr>
          <w:color w:val="2D3748"/>
          <w:sz w:val="20"/>
        </w:rPr>
        <w:t>Appendix A: Key Equations Reference</w:t>
      </w:r>
    </w:p>
    <w:p>
      <w:pPr>
        <w:pStyle w:val="ListBullet"/>
        <w:spacing w:after="40"/>
      </w:pPr>
      <w:r>
        <w:rPr>
          <w:color w:val="2D3748"/>
          <w:sz w:val="20"/>
        </w:rPr>
        <w:t>Appendix B: Repository Structure</w:t>
      </w:r>
    </w:p>
    <w:p>
      <w:pPr>
        <w:spacing w:before="120" w:after="120"/>
      </w:pPr>
    </w:p>
    <w:p>
      <w:pPr>
        <w:keepNext/>
        <w:spacing w:before="280" w:after="80"/>
      </w:pPr>
      <w:r>
        <w:rPr>
          <w:rFonts w:ascii="Calibri" w:hAnsi="Calibri"/>
          <w:b/>
          <w:color w:val="1B365D"/>
          <w:sz w:val="27"/>
        </w:rPr>
        <w:t>1. Introduction</w:t>
      </w:r>
    </w:p>
    <w:p>
      <w:pPr>
        <w:spacing w:after="80" w:line="276" w:lineRule="auto"/>
      </w:pPr>
      <w:r>
        <w:rPr>
          <w:sz w:val="21"/>
        </w:rPr>
        <w:t>Network Intrusion Detection Systems (NIDS) are critical components of enterprise cyber defense, responsible for monitoring network traffic streams and identifying malicious activities ranging from volumetric denial-of-service (DoS/DDoS) campaigns to stealthy brute-force and application-layer intrusions [1, 2]. Modern network environments generate millions of flow records per day, presenting three persistent analytical challenges for automated detection systems [3, 7, 8]:</w:t>
      </w:r>
    </w:p>
    <w:p>
      <w:pPr>
        <w:pStyle w:val="ListNumber"/>
        <w:spacing w:after="40"/>
      </w:pPr>
      <w:r>
        <w:rPr>
          <w:color w:val="2D3748"/>
          <w:sz w:val="20"/>
        </w:rPr>
      </w:r>
      <w:r>
        <w:rPr>
          <w:b/>
          <w:color w:val="1B365D"/>
          <w:sz w:val="20"/>
        </w:rPr>
        <w:t>Temporal Blindness</w:t>
      </w:r>
      <w:r>
        <w:rPr>
          <w:color w:val="2D3748"/>
          <w:sz w:val="20"/>
        </w:rPr>
        <w:t>: Standard tabular classifiers treat network flows as independent, identically distributed (i.i.d.) observations, disregarding inter-arrival time (IAT) dynamics, sequential burstiness, and temporal rate evolution that characterize multi-stage or rate-varying intrusions [9, 10].</w:t>
      </w:r>
    </w:p>
    <w:p>
      <w:pPr>
        <w:pStyle w:val="ListNumber"/>
        <w:spacing w:after="40"/>
      </w:pPr>
      <w:r>
        <w:rPr>
          <w:color w:val="2D3748"/>
          <w:sz w:val="20"/>
        </w:rPr>
      </w:r>
      <w:r>
        <w:rPr>
          <w:b/>
          <w:color w:val="1B365D"/>
          <w:sz w:val="20"/>
        </w:rPr>
        <w:t>Relational Blindness</w:t>
      </w:r>
      <w:r>
        <w:rPr>
          <w:color w:val="2D3748"/>
          <w:sz w:val="20"/>
        </w:rPr>
        <w:t>: Independent flow classification abstracts away host communication topology—such as fan-out distributions, destination port entropy, and bipartite connection structures—which provide critical relational context for detecting distributed attack coordination [11, 12].</w:t>
      </w:r>
    </w:p>
    <w:p>
      <w:pPr>
        <w:pStyle w:val="ListNumber"/>
        <w:spacing w:after="40"/>
      </w:pPr>
      <w:r>
        <w:rPr>
          <w:color w:val="2D3748"/>
          <w:sz w:val="20"/>
        </w:rPr>
      </w:r>
      <w:r>
        <w:rPr>
          <w:b/>
          <w:color w:val="1B365D"/>
          <w:sz w:val="20"/>
        </w:rPr>
        <w:t>Severe Class Imbalance</w:t>
      </w:r>
      <w:r>
        <w:rPr>
          <w:color w:val="2D3748"/>
          <w:sz w:val="20"/>
        </w:rPr>
        <w:t>: Real-world network traffic is predominantly benign, with rare attack categories representing less than 0.01% of total traffic (exceeding 150,000:1 imbalance in public benchmarks) [13, 14]. Standard objective functions often collapse toward majority-class accuracy at the expense of minority-class recall.</w:t>
      </w:r>
    </w:p>
    <w:p>
      <w:pPr>
        <w:spacing w:after="80" w:line="276" w:lineRule="auto"/>
      </w:pPr>
      <w:r>
        <w:rPr>
          <w:sz w:val="21"/>
        </w:rPr>
        <w:t>While deep learning architectures including Recurrent Neural Networks (RNNs) [15, 23], Graph Neural Networks (GNNs) [11, 28], and multimodal models [19, 20] have been applied to intrusion detection, comparative studies evaluating alternative fusion strategies under identical fixed encoder representations and adaptive loss formulations remain limited.</w:t>
      </w:r>
    </w:p>
    <w:p>
      <w:pPr>
        <w:keepNext/>
        <w:spacing w:before="200" w:after="60"/>
      </w:pPr>
      <w:r>
        <w:rPr>
          <w:rFonts w:ascii="Calibri" w:hAnsi="Calibri"/>
          <w:b/>
          <w:color w:val="2C5282"/>
          <w:sz w:val="23"/>
        </w:rPr>
        <w:t>1.1 Contributions</w:t>
      </w:r>
    </w:p>
    <w:p>
      <w:pPr>
        <w:spacing w:after="80" w:line="276" w:lineRule="auto"/>
      </w:pPr>
      <w:r>
        <w:rPr>
          <w:sz w:val="21"/>
        </w:rPr>
        <w:t>This work presents a controlled empirical study addressing data quality, loss adaptation, representation modeling, and multimodal fusion in network intrusion detection:</w:t>
      </w:r>
    </w:p>
    <w:p>
      <w:pPr>
        <w:pStyle w:val="ListBullet"/>
        <w:spacing w:after="40"/>
      </w:pPr>
      <w:r>
        <w:rPr>
          <w:color w:val="2D3748"/>
          <w:sz w:val="20"/>
        </w:rPr>
      </w:r>
      <w:r>
        <w:rPr>
          <w:b/>
          <w:color w:val="1B365D"/>
          <w:sz w:val="20"/>
        </w:rPr>
        <w:t>C1 — Dataset Quality and Leakage Audit</w:t>
      </w:r>
      <w:r>
        <w:rPr>
          <w:color w:val="2D3748"/>
          <w:sz w:val="20"/>
        </w:rPr>
        <w:t>: We conduct a systematic audit of 37.5 million raw records across three widely used NIDS datasets (CSE-CIC-IDS2018, NF-CSE-CIC-IDS2018-v2, and NF-UNSW-NB15-v2), examining duplicate feature vectors, conflicting labels, class imbalance, numerical anomalies, and potential train-test overlap prior to model training.</w:t>
      </w:r>
    </w:p>
    <w:p>
      <w:pPr>
        <w:pStyle w:val="ListBullet"/>
        <w:spacing w:after="40"/>
      </w:pPr>
      <w:r>
        <w:rPr>
          <w:color w:val="2D3748"/>
          <w:sz w:val="20"/>
        </w:rPr>
      </w:r>
      <w:r>
        <w:rPr>
          <w:b/>
          <w:color w:val="1B365D"/>
          <w:sz w:val="20"/>
        </w:rPr>
        <w:t>C2 — Gradient-Adaptive Hybrid Loss</w:t>
      </w:r>
      <w:r>
        <w:rPr>
          <w:color w:val="2D3748"/>
          <w:sz w:val="20"/>
        </w:rPr>
        <w:t>: We formulate a gradient-adaptive hybrid objective ($L_{\mathrm{hybrid}}$) that dynamically adjusts the relative contributions of Standard Cross-Entropy, Focal Loss, and Class-Weighted Cross-Entropy using autograd gradient-norm feedback, clipping safeguards, and exponential moving average (EMA) stabilization, removing the need to manually tune relative loss-component weights on a per-dataset basis during training.</w:t>
      </w:r>
    </w:p>
    <w:p>
      <w:pPr>
        <w:pStyle w:val="ListBullet"/>
        <w:spacing w:after="40"/>
      </w:pPr>
      <w:r>
        <w:rPr>
          <w:color w:val="2D3748"/>
          <w:sz w:val="20"/>
        </w:rPr>
      </w:r>
      <w:r>
        <w:rPr>
          <w:b/>
          <w:color w:val="1B365D"/>
          <w:sz w:val="20"/>
        </w:rPr>
        <w:t>C3 — Comparative Fusion Evaluation</w:t>
      </w:r>
      <w:r>
        <w:rPr>
          <w:color w:val="2D3748"/>
          <w:sz w:val="20"/>
        </w:rPr>
        <w:t>: We conduct a controlled comparison of six multimodal fusion mechanisms—Concatenation, Gated, Bilinear, Cross-Attention, Decision Ensemble, and simulated Parameterized Quantum Circuit (PQC) fusion—under identical fixed encoder backbones across three benchmark datasets.</w:t>
      </w:r>
    </w:p>
    <w:p>
      <w:pPr>
        <w:pStyle w:val="ListBullet"/>
        <w:spacing w:after="40"/>
      </w:pPr>
      <w:r>
        <w:rPr>
          <w:color w:val="2D3748"/>
          <w:sz w:val="20"/>
        </w:rPr>
      </w:r>
      <w:r>
        <w:rPr>
          <w:b/>
          <w:color w:val="1B365D"/>
          <w:sz w:val="20"/>
        </w:rPr>
        <w:t>C4 — Modality Analysis</w:t>
      </w:r>
      <w:r>
        <w:rPr>
          <w:color w:val="2D3748"/>
          <w:sz w:val="20"/>
        </w:rPr>
        <w:t>: We evaluate temporal-only, relational-only, and multimodal configurations under a controlled ablation setting to examine the relative contributions of sequential and communication-relationship representations.</w:t>
      </w:r>
    </w:p>
    <w:p>
      <w:pPr>
        <w:pStyle w:val="ListBullet"/>
        <w:spacing w:after="40"/>
      </w:pPr>
      <w:r>
        <w:rPr>
          <w:color w:val="2D3748"/>
          <w:sz w:val="20"/>
        </w:rPr>
      </w:r>
      <w:r>
        <w:rPr>
          <w:b/>
          <w:color w:val="1B365D"/>
          <w:sz w:val="20"/>
        </w:rPr>
        <w:t>C5 — Simulated Quantum Fusion Evaluation</w:t>
      </w:r>
      <w:r>
        <w:rPr>
          <w:color w:val="2D3748"/>
          <w:sz w:val="20"/>
        </w:rPr>
        <w:t>: We evaluate a parameterized quantum circuit fusion mechanism under classical simulation (PennyLane framework) and compare its detection performance with the evaluated classical fusion mechanisms.</w:t>
      </w:r>
    </w:p>
    <w:p>
      <w:pPr>
        <w:spacing w:before="120" w:after="120"/>
      </w:pPr>
    </w:p>
    <w:p>
      <w:pPr>
        <w:keepNext/>
        <w:spacing w:before="280" w:after="80"/>
      </w:pPr>
      <w:r>
        <w:rPr>
          <w:rFonts w:ascii="Calibri" w:hAnsi="Calibri"/>
          <w:b/>
          <w:color w:val="1B365D"/>
          <w:sz w:val="27"/>
        </w:rPr>
        <w:t>2. Related Work</w:t>
      </w:r>
    </w:p>
    <w:p>
      <w:pPr>
        <w:keepNext/>
        <w:spacing w:before="200" w:after="60"/>
      </w:pPr>
      <w:r>
        <w:rPr>
          <w:rFonts w:ascii="Calibri" w:hAnsi="Calibri"/>
          <w:b/>
          <w:color w:val="2C5282"/>
          <w:sz w:val="23"/>
        </w:rPr>
        <w:t>2.1 Classical and Deep Learning Approaches for NIDS</w:t>
      </w:r>
    </w:p>
    <w:p>
      <w:pPr>
        <w:spacing w:after="80" w:line="276" w:lineRule="auto"/>
      </w:pPr>
      <w:r>
        <w:rPr>
          <w:sz w:val="21"/>
        </w:rPr>
        <w:t>Early intrusion detection relied on rule-based signature matching [1], which is ineffective against zero-day and polymorphic attacks. Machine learning methods, including Random Forests [4] and Support Vector Machines [5], introduced anomaly detection capabilities, but their efficacy in operational settings is often hindered by extreme class imbalance and non-stationary traffic distributions [7, 8]. Deep learning architectures have expanded sequence modeling through Recurrent Neural Networks (RNNs) and Long Short-Term Memory (LSTM) networks [15, 23, 24], capturing temporal dependencies across consecutive packet and flow statistics. Convolutional Neural Networks (CNNs) have also been explored for spatial feature extraction from flow matrices [25].</w:t>
      </w:r>
    </w:p>
    <w:p>
      <w:pPr>
        <w:keepNext/>
        <w:spacing w:before="200" w:after="60"/>
      </w:pPr>
      <w:r>
        <w:rPr>
          <w:rFonts w:ascii="Calibri" w:hAnsi="Calibri"/>
          <w:b/>
          <w:color w:val="2C5282"/>
          <w:sz w:val="23"/>
        </w:rPr>
        <w:t>2.2 Relational and Graph-Based Modeling in Network Security</w:t>
      </w:r>
    </w:p>
    <w:p>
      <w:pPr>
        <w:spacing w:after="80" w:line="276" w:lineRule="auto"/>
      </w:pPr>
      <w:r>
        <w:rPr>
          <w:sz w:val="21"/>
        </w:rPr>
        <w:t>Graph Neural Networks (GNNs) have emerged as an effective paradigm for modeling network communication topology [11, 16, 17]. Lo et al. [11] and Zheng et al. [28] applied Graph Convolutional Networks and GraphSAGE to network flow graphs, demonstrating that relational structures capture distributed attack coordination. Dynamic and temporal graph networks [26, 45] have further extended graph modeling to time-evolving network topologies. However, combining sequential flow embeddings with relational graph representations in a unified, loss-adaptive framework remains an active area of investigation.</w:t>
      </w:r>
    </w:p>
    <w:p>
      <w:pPr>
        <w:keepNext/>
        <w:spacing w:before="200" w:after="60"/>
      </w:pPr>
      <w:r>
        <w:rPr>
          <w:rFonts w:ascii="Calibri" w:hAnsi="Calibri"/>
          <w:b/>
          <w:color w:val="2C5282"/>
          <w:sz w:val="23"/>
        </w:rPr>
        <w:t>2.3 Multimodal Fusion in Cybersecurity</w:t>
      </w:r>
    </w:p>
    <w:p>
      <w:pPr>
        <w:spacing w:after="80" w:line="276" w:lineRule="auto"/>
      </w:pPr>
      <w:r>
        <w:rPr>
          <w:sz w:val="21"/>
        </w:rPr>
        <w:t>Multimodal learning combines complementary representations from disparate feature modalities [29, 30]. In network security, prior work has explored fusing statistical tabular features with raw packet payload bytes [19, 20]. In this study, we focus on fusing sequential temporal flow representations with relational graph representations, evaluating six mathematically distinct fusion mechanisms under fixed encoder backbones.</w:t>
      </w:r>
    </w:p>
    <w:p>
      <w:pPr>
        <w:keepNext/>
        <w:spacing w:before="200" w:after="60"/>
      </w:pPr>
      <w:r>
        <w:rPr>
          <w:rFonts w:ascii="Calibri" w:hAnsi="Calibri"/>
          <w:b/>
          <w:color w:val="2C5282"/>
          <w:sz w:val="23"/>
        </w:rPr>
        <w:t>2.4 Loss Formulations for Class-Imbalanced Learning</w:t>
      </w:r>
    </w:p>
    <w:p>
      <w:pPr>
        <w:spacing w:after="80" w:line="276" w:lineRule="auto"/>
      </w:pPr>
      <w:r>
        <w:rPr>
          <w:sz w:val="21"/>
        </w:rPr>
        <w:t>Class imbalance is a pervasive challenge in network intrusion detection [14, 34]. Focal Loss [13, 32] addresses imbalance by dynamically down-weighting well-classified examples with a focusing parameter $\gamma$. Static class-weighted cross-entropy uses inverse class frequencies [33], but static weighting can induce optimization instability under extreme imbalance ratios exceeding 10,000:1. Adaptive multi-task loss weighting methods, such as GradNorm [50] and uncertainty-based weighting [49], demonstrate the utility of dynamic gradient balancing; we adapt gradient-norm balancing to combine multiple loss formulations for single-task imbalanced classification.</w:t>
      </w:r>
    </w:p>
    <w:p>
      <w:pPr>
        <w:keepNext/>
        <w:spacing w:before="200" w:after="60"/>
      </w:pPr>
      <w:r>
        <w:rPr>
          <w:rFonts w:ascii="Calibri" w:hAnsi="Calibri"/>
          <w:b/>
          <w:color w:val="2C5282"/>
          <w:sz w:val="23"/>
        </w:rPr>
        <w:t>2.5 Parameterized Quantum Circuits for Classification</w:t>
      </w:r>
    </w:p>
    <w:p>
      <w:pPr>
        <w:spacing w:after="80" w:line="276" w:lineRule="auto"/>
      </w:pPr>
      <w:r>
        <w:rPr>
          <w:sz w:val="21"/>
        </w:rPr>
        <w:t>Parameterized Quantum Circuits (PQCs) and variational quantum classifiers have been proposed as candidate machine learning models for near-term quantum systems [40, 42]. Prior studies have demonstrated proof-of-concept quantum kernel methods and quantum neural networks on binary cybersecurity classification tasks [41, 43]. In this work, we benchmark simulated PQC fusion against classical fusion mechanisms on multiclass and binary NIDS benchmarks.</w:t>
      </w:r>
    </w:p>
    <w:p>
      <w:pPr>
        <w:spacing w:before="120" w:after="120"/>
      </w:pPr>
    </w:p>
    <w:p>
      <w:pPr>
        <w:keepNext/>
        <w:spacing w:before="280" w:after="80"/>
      </w:pPr>
      <w:r>
        <w:rPr>
          <w:rFonts w:ascii="Calibri" w:hAnsi="Calibri"/>
          <w:b/>
          <w:color w:val="1B365D"/>
          <w:sz w:val="27"/>
        </w:rPr>
        <w:t>3. Research Questions and Study Design</w:t>
      </w:r>
    </w:p>
    <w:p>
      <w:pPr>
        <w:spacing w:after="80" w:line="276" w:lineRule="auto"/>
      </w:pPr>
      <w:r>
        <w:rPr>
          <w:sz w:val="21"/>
        </w:rPr>
        <w:t>This study is structured around three core research questions:</w:t>
      </w:r>
    </w:p>
    <w:p>
      <w:pPr>
        <w:pStyle w:val="ListBullet"/>
        <w:spacing w:after="40"/>
      </w:pPr>
      <w:r>
        <w:rPr>
          <w:color w:val="2D3748"/>
          <w:sz w:val="20"/>
        </w:rPr>
      </w:r>
      <w:r>
        <w:rPr>
          <w:b/>
          <w:color w:val="1B365D"/>
          <w:sz w:val="20"/>
        </w:rPr>
        <w:t>RQ1 (Data Validity)</w:t>
      </w:r>
      <w:r>
        <w:rPr>
          <w:color w:val="2D3748"/>
          <w:sz w:val="20"/>
        </w:rPr>
        <w:t>: How do dataset artifacts, duplicate feature vectors, label conflicts, and potential train-test overlap affect the validity of NIDS evaluation across widely used benchmarks?</w:t>
      </w:r>
    </w:p>
    <w:p>
      <w:pPr>
        <w:pStyle w:val="ListBullet"/>
        <w:spacing w:after="40"/>
      </w:pPr>
      <w:r>
        <w:rPr>
          <w:color w:val="2D3748"/>
          <w:sz w:val="20"/>
        </w:rPr>
      </w:r>
      <w:r>
        <w:rPr>
          <w:b/>
          <w:color w:val="1B365D"/>
          <w:sz w:val="20"/>
        </w:rPr>
        <w:t>RQ2 (Loss Adaptation)</w:t>
      </w:r>
      <w:r>
        <w:rPr>
          <w:color w:val="2D3748"/>
          <w:sz w:val="20"/>
        </w:rPr>
        <w:t>: How does gradient-adaptive combination of Cross-Entropy, Focal Loss, and Class-Weighted Cross-Entropy behave under severe class imbalance across the evaluated NIDS datasets?</w:t>
      </w:r>
    </w:p>
    <w:p>
      <w:pPr>
        <w:pStyle w:val="ListBullet"/>
        <w:spacing w:after="40"/>
      </w:pPr>
      <w:r>
        <w:rPr>
          <w:color w:val="2D3748"/>
          <w:sz w:val="20"/>
        </w:rPr>
      </w:r>
      <w:r>
        <w:rPr>
          <w:b/>
          <w:color w:val="1B365D"/>
          <w:sz w:val="20"/>
        </w:rPr>
        <w:t>RQ3 (Representations and Fusion)</w:t>
      </w:r>
      <w:r>
        <w:rPr>
          <w:color w:val="2D3748"/>
          <w:sz w:val="20"/>
        </w:rPr>
        <w:t>: What are the relative contributions of temporal and relational representations, and how do alternative fusion mechanisms (including classical simulation of quantum circuits) affect intrusion detection performance under fixed encoder backbones?</w:t>
      </w:r>
    </w:p>
    <w:p>
      <w:pPr>
        <w:spacing w:before="120" w:after="120"/>
      </w:pPr>
    </w:p>
    <w:p>
      <w:pPr>
        <w:keepNext/>
        <w:spacing w:before="280" w:after="80"/>
      </w:pPr>
      <w:r>
        <w:rPr>
          <w:rFonts w:ascii="Calibri" w:hAnsi="Calibri"/>
          <w:b/>
          <w:color w:val="1B365D"/>
          <w:sz w:val="27"/>
        </w:rPr>
        <w:t>4. Dataset Provenance and Data Preparation</w:t>
      </w:r>
    </w:p>
    <w:p>
      <w:pPr>
        <w:spacing w:before="160" w:after="40"/>
        <w:jc w:val="center"/>
      </w:pPr>
      <w:r>
        <w:drawing>
          <wp:inline xmlns:a="http://schemas.openxmlformats.org/drawingml/2006/main" xmlns:pic="http://schemas.openxmlformats.org/drawingml/2006/picture">
            <wp:extent cx="5669280" cy="1574800"/>
            <wp:docPr id="1" name="Picture 1"/>
            <wp:cNvGraphicFramePr>
              <a:graphicFrameLocks noChangeAspect="1"/>
            </wp:cNvGraphicFramePr>
            <a:graphic>
              <a:graphicData uri="http://schemas.openxmlformats.org/drawingml/2006/picture">
                <pic:pic>
                  <pic:nvPicPr>
                    <pic:cNvPr id="0" name="1_class_distributions.png"/>
                    <pic:cNvPicPr/>
                  </pic:nvPicPr>
                  <pic:blipFill>
                    <a:blip r:embed="rId11"/>
                    <a:stretch>
                      <a:fillRect/>
                    </a:stretch>
                  </pic:blipFill>
                  <pic:spPr>
                    <a:xfrm>
                      <a:off x="0" y="0"/>
                      <a:ext cx="5669280" cy="1574800"/>
                    </a:xfrm>
                    <a:prstGeom prst="rect"/>
                  </pic:spPr>
                </pic:pic>
              </a:graphicData>
            </a:graphic>
          </wp:inline>
        </w:drawing>
      </w:r>
    </w:p>
    <w:p>
      <w:pPr>
        <w:spacing w:before="40" w:after="160"/>
        <w:jc w:val="center"/>
      </w:pPr>
      <w:r>
        <w:rPr>
          <w:i/>
          <w:color w:val="2C5282"/>
          <w:sz w:val="19"/>
        </w:rPr>
        <w:t>Figure 1: Class Distributions across CSE-CIC-IDS2018 (15 Classes) and NF-v2 Benchmarks, highlighting the extreme 154,996:1 class imbalance ratio.</w:t>
      </w:r>
    </w:p>
    <w:p>
      <w:pPr>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2_data_quality_summary.png"/>
                    <pic:cNvPicPr/>
                  </pic:nvPicPr>
                  <pic:blipFill>
                    <a:blip r:embed="rId12"/>
                    <a:stretch>
                      <a:fillRect/>
                    </a:stretch>
                  </pic:blipFill>
                  <pic:spPr>
                    <a:xfrm>
                      <a:off x="0" y="0"/>
                      <a:ext cx="5669280" cy="2834640"/>
                    </a:xfrm>
                    <a:prstGeom prst="rect"/>
                  </pic:spPr>
                </pic:pic>
              </a:graphicData>
            </a:graphic>
          </wp:inline>
        </w:drawing>
      </w:r>
    </w:p>
    <w:p>
      <w:pPr>
        <w:spacing w:before="40" w:after="160"/>
        <w:jc w:val="center"/>
      </w:pPr>
      <w:r>
        <w:rPr>
          <w:i/>
          <w:color w:val="2C5282"/>
          <w:sz w:val="19"/>
        </w:rPr>
        <w:t>Figure 2: Forensic Data Quality Summary: Missing Values, Infinite Values, and Constant Feature Profiles across Raw and Normalized Datasets.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295835"/>
                  <wp:docPr id="3" name="Picture 3"/>
                  <wp:cNvGraphicFramePr>
                    <a:graphicFrameLocks noChangeAspect="1"/>
                  </wp:cNvGraphicFramePr>
                  <a:graphic>
                    <a:graphicData uri="http://schemas.openxmlformats.org/drawingml/2006/picture">
                      <pic:pic>
                        <pic:nvPicPr>
                          <pic:cNvPr id="0" name="feature_selection_funnel.png"/>
                          <pic:cNvPicPr/>
                        </pic:nvPicPr>
                        <pic:blipFill>
                          <a:blip r:embed="rId13"/>
                          <a:stretch>
                            <a:fillRect/>
                          </a:stretch>
                        </pic:blipFill>
                        <pic:spPr>
                          <a:xfrm>
                            <a:off x="0" y="0"/>
                            <a:ext cx="2834640" cy="1295835"/>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417320"/>
                  <wp:docPr id="4" name="Picture 4"/>
                  <wp:cNvGraphicFramePr>
                    <a:graphicFrameLocks noChangeAspect="1"/>
                  </wp:cNvGraphicFramePr>
                  <a:graphic>
                    <a:graphicData uri="http://schemas.openxmlformats.org/drawingml/2006/picture">
                      <pic:pic>
                        <pic:nvPicPr>
                          <pic:cNvPr id="0" name="9_selected_vs_removed.png"/>
                          <pic:cNvPicPr/>
                        </pic:nvPicPr>
                        <pic:blipFill>
                          <a:blip r:embed="rId14"/>
                          <a:stretch>
                            <a:fillRect/>
                          </a:stretch>
                        </pic:blipFill>
                        <pic:spPr>
                          <a:xfrm>
                            <a:off x="0" y="0"/>
                            <a:ext cx="2834640" cy="1417320"/>
                          </a:xfrm>
                          <a:prstGeom prst="rect"/>
                        </pic:spPr>
                      </pic:pic>
                    </a:graphicData>
                  </a:graphic>
                </wp:inline>
              </w:drawing>
            </w:r>
          </w:p>
        </w:tc>
      </w:tr>
    </w:tbl>
    <w:p>
      <w:pPr>
        <w:spacing w:before="40" w:after="160"/>
        <w:jc w:val="center"/>
      </w:pPr>
      <w:r>
        <w:rPr>
          <w:i/>
          <w:color w:val="2C5282"/>
          <w:sz w:val="19"/>
        </w:rPr>
        <w:t>Figure 3: Feature Selection Methodology: (Left) Multi-Stage Elimination Funnel; (Right) Selected vs. Removed Feature Breakdown across Datasets.</w:t>
      </w:r>
    </w:p>
    <w:p>
      <w:pPr>
        <w:spacing w:before="160" w:after="40"/>
        <w:jc w:val="center"/>
      </w:pPr>
      <w:r>
        <w:drawing>
          <wp:inline xmlns:a="http://schemas.openxmlformats.org/drawingml/2006/main" xmlns:pic="http://schemas.openxmlformats.org/drawingml/2006/picture">
            <wp:extent cx="5669280" cy="1889760"/>
            <wp:docPr id="5" name="Picture 5"/>
            <wp:cNvGraphicFramePr>
              <a:graphicFrameLocks noChangeAspect="1"/>
            </wp:cNvGraphicFramePr>
            <a:graphic>
              <a:graphicData uri="http://schemas.openxmlformats.org/drawingml/2006/picture">
                <pic:pic>
                  <pic:nvPicPr>
                    <pic:cNvPr id="0" name="5_feature_importances.png"/>
                    <pic:cNvPicPr/>
                  </pic:nvPicPr>
                  <pic:blipFill>
                    <a:blip r:embed="rId15"/>
                    <a:stretch>
                      <a:fillRect/>
                    </a:stretch>
                  </pic:blipFill>
                  <pic:spPr>
                    <a:xfrm>
                      <a:off x="0" y="0"/>
                      <a:ext cx="5669280" cy="1889760"/>
                    </a:xfrm>
                    <a:prstGeom prst="rect"/>
                  </pic:spPr>
                </pic:pic>
              </a:graphicData>
            </a:graphic>
          </wp:inline>
        </w:drawing>
      </w:r>
    </w:p>
    <w:p>
      <w:pPr>
        <w:spacing w:before="40" w:after="160"/>
        <w:jc w:val="center"/>
      </w:pPr>
      <w:r>
        <w:rPr>
          <w:i/>
          <w:color w:val="2C5282"/>
          <w:sz w:val="19"/>
        </w:rPr>
        <w:t>Figure 4: Multi-Signal Feature Importance Profiles (Top 20 Features across Benchmark Datasets).</w:t>
      </w:r>
    </w:p>
    <w:p>
      <w:pPr>
        <w:spacing w:before="160" w:after="4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8_nf_v2_consistency.png"/>
                    <pic:cNvPicPr/>
                  </pic:nvPicPr>
                  <pic:blipFill>
                    <a:blip r:embed="rId16"/>
                    <a:stretch>
                      <a:fillRect/>
                    </a:stretch>
                  </pic:blipFill>
                  <pic:spPr>
                    <a:xfrm>
                      <a:off x="0" y="0"/>
                      <a:ext cx="5486400" cy="2743200"/>
                    </a:xfrm>
                    <a:prstGeom prst="rect"/>
                  </pic:spPr>
                </pic:pic>
              </a:graphicData>
            </a:graphic>
          </wp:inline>
        </w:drawing>
      </w:r>
    </w:p>
    <w:p>
      <w:pPr>
        <w:spacing w:before="40" w:after="160"/>
        <w:jc w:val="center"/>
      </w:pPr>
      <w:r>
        <w:rPr>
          <w:i/>
          <w:color w:val="2C5282"/>
          <w:sz w:val="19"/>
        </w:rPr>
        <w:t>Figure 5: Cross-Dataset Feature Rank Consistency between NF-CSE-CIC-IDS2018-v2 and NF-UNSW-NB15-v2.</w:t>
      </w:r>
    </w:p>
    <w:p>
      <w:pPr>
        <w:spacing w:before="160" w:after="40"/>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4_correlation_cse_cic_ids2018.png"/>
                    <pic:cNvPicPr/>
                  </pic:nvPicPr>
                  <pic:blipFill>
                    <a:blip r:embed="rId17"/>
                    <a:stretch>
                      <a:fillRect/>
                    </a:stretch>
                  </pic:blipFill>
                  <pic:spPr>
                    <a:xfrm>
                      <a:off x="0" y="0"/>
                      <a:ext cx="5486400" cy="4389120"/>
                    </a:xfrm>
                    <a:prstGeom prst="rect"/>
                  </pic:spPr>
                </pic:pic>
              </a:graphicData>
            </a:graphic>
          </wp:inline>
        </w:drawing>
      </w:r>
    </w:p>
    <w:p>
      <w:pPr>
        <w:spacing w:before="40" w:after="160"/>
        <w:jc w:val="center"/>
      </w:pPr>
      <w:r>
        <w:rPr>
          <w:i/>
          <w:color w:val="2C5282"/>
          <w:sz w:val="19"/>
        </w:rPr>
        <w:t>Figure 6: Feature Correlation Heatmap (Pearson Correlation Matrix) for CSE-CIC-IDS2018.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267712"/>
                  <wp:docPr id="8" name="Picture 8"/>
                  <wp:cNvGraphicFramePr>
                    <a:graphicFrameLocks noChangeAspect="1"/>
                  </wp:cNvGraphicFramePr>
                  <a:graphic>
                    <a:graphicData uri="http://schemas.openxmlformats.org/drawingml/2006/picture">
                      <pic:pic>
                        <pic:nvPicPr>
                          <pic:cNvPr id="0" name="4_correlation_nf_cse_cic_ids2018_v2.png"/>
                          <pic:cNvPicPr/>
                        </pic:nvPicPr>
                        <pic:blipFill>
                          <a:blip r:embed="rId18"/>
                          <a:stretch>
                            <a:fillRect/>
                          </a:stretch>
                        </pic:blipFill>
                        <pic:spPr>
                          <a:xfrm>
                            <a:off x="0" y="0"/>
                            <a:ext cx="2834640" cy="2267712"/>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267712"/>
                  <wp:docPr id="9" name="Picture 9"/>
                  <wp:cNvGraphicFramePr>
                    <a:graphicFrameLocks noChangeAspect="1"/>
                  </wp:cNvGraphicFramePr>
                  <a:graphic>
                    <a:graphicData uri="http://schemas.openxmlformats.org/drawingml/2006/picture">
                      <pic:pic>
                        <pic:nvPicPr>
                          <pic:cNvPr id="0" name="4_correlation_nf_unsw_nb15_v2.png"/>
                          <pic:cNvPicPr/>
                        </pic:nvPicPr>
                        <pic:blipFill>
                          <a:blip r:embed="rId19"/>
                          <a:stretch>
                            <a:fillRect/>
                          </a:stretch>
                        </pic:blipFill>
                        <pic:spPr>
                          <a:xfrm>
                            <a:off x="0" y="0"/>
                            <a:ext cx="2834640" cy="2267712"/>
                          </a:xfrm>
                          <a:prstGeom prst="rect"/>
                        </pic:spPr>
                      </pic:pic>
                    </a:graphicData>
                  </a:graphic>
                </wp:inline>
              </w:drawing>
            </w:r>
          </w:p>
        </w:tc>
      </w:tr>
    </w:tbl>
    <w:p>
      <w:pPr>
        <w:spacing w:before="40" w:after="160"/>
        <w:jc w:val="center"/>
      </w:pPr>
      <w:r>
        <w:rPr>
          <w:i/>
          <w:color w:val="2C5282"/>
          <w:sz w:val="19"/>
        </w:rPr>
        <w:t>Figure 7: Feature Correlation Heatmaps: (Left) NF-CSE-CIC-IDS2018-v2; (Right) NF-UNSW-NB15-v2.</w:t>
      </w:r>
    </w:p>
    <w:p>
      <w:pPr>
        <w:keepNext/>
        <w:spacing w:before="200" w:after="60"/>
      </w:pPr>
      <w:r>
        <w:rPr>
          <w:rFonts w:ascii="Calibri" w:hAnsi="Calibri"/>
          <w:b/>
          <w:color w:val="2C5282"/>
          <w:sz w:val="23"/>
        </w:rPr>
        <w:t>4.1 Benchmark Selection and Compatibility Analysis</w:t>
      </w:r>
    </w:p>
    <w:p>
      <w:pPr>
        <w:spacing w:after="80" w:line="276" w:lineRule="auto"/>
      </w:pPr>
      <w:r>
        <w:rPr>
          <w:sz w:val="21"/>
        </w:rPr>
        <w:t>Three widely used benchmark datasets were selected to evaluate the proposed framework across distinct feature dimensions, network topologies, and imbalance ratios:</w:t>
      </w:r>
    </w:p>
    <w:p>
      <w:pPr>
        <w:pStyle w:val="ListNumber"/>
        <w:spacing w:after="40"/>
      </w:pPr>
      <w:r>
        <w:rPr>
          <w:color w:val="2D3748"/>
          <w:sz w:val="20"/>
        </w:rPr>
      </w:r>
      <w:r>
        <w:rPr>
          <w:b/>
          <w:color w:val="1B365D"/>
          <w:sz w:val="20"/>
        </w:rPr>
        <w:t>CSE-CIC-IDS2018</w:t>
      </w:r>
      <w:r>
        <w:rPr>
          <w:color w:val="2D3748"/>
          <w:sz w:val="20"/>
        </w:rPr>
        <w:t xml:space="preserve"> [39]: Captured over 10 days on AWS infrastructure using CICFlowMeter-v3, comprising 84 statistical flow features across </w:t>
      </w:r>
      <w:r>
        <w:rPr>
          <w:b/>
          <w:color w:val="1B365D"/>
          <w:sz w:val="20"/>
        </w:rPr>
        <w:t>16,232,943 raw records</w:t>
      </w:r>
      <w:r>
        <w:rPr>
          <w:color w:val="2D3748"/>
          <w:sz w:val="20"/>
        </w:rPr>
        <w:t xml:space="preserve"> and 15 classes (14 attack classes + Benign). Imbalance ratio: 154,996:1.</w:t>
      </w:r>
    </w:p>
    <w:p>
      <w:pPr>
        <w:pStyle w:val="ListNumber"/>
        <w:spacing w:after="40"/>
      </w:pPr>
      <w:r>
        <w:rPr>
          <w:color w:val="2D3748"/>
          <w:sz w:val="20"/>
        </w:rPr>
      </w:r>
      <w:r>
        <w:rPr>
          <w:b/>
          <w:color w:val="1B365D"/>
          <w:sz w:val="20"/>
        </w:rPr>
        <w:t>NF-CSE-CIC-IDS2018-v2</w:t>
      </w:r>
      <w:r>
        <w:rPr>
          <w:color w:val="2D3748"/>
          <w:sz w:val="20"/>
        </w:rPr>
        <w:t xml:space="preserve"> [37]: Standardized NetFlow v9/IPFIX re-extraction of the CSE-CIC-IDS2018 capture using nProbe, comprising 43 canonical features across </w:t>
      </w:r>
      <w:r>
        <w:rPr>
          <w:b/>
          <w:color w:val="1B365D"/>
          <w:sz w:val="20"/>
        </w:rPr>
        <w:t>18,892,842 raw records</w:t>
      </w:r>
      <w:r>
        <w:rPr>
          <w:color w:val="2D3748"/>
          <w:sz w:val="20"/>
        </w:rPr>
        <w:t xml:space="preserve"> in binary format. Imbalance ratio: 7.37:1.</w:t>
      </w:r>
    </w:p>
    <w:p>
      <w:pPr>
        <w:pStyle w:val="ListNumber"/>
        <w:spacing w:after="40"/>
      </w:pPr>
      <w:r>
        <w:rPr>
          <w:color w:val="2D3748"/>
          <w:sz w:val="20"/>
        </w:rPr>
      </w:r>
      <w:r>
        <w:rPr>
          <w:b/>
          <w:color w:val="1B365D"/>
          <w:sz w:val="20"/>
        </w:rPr>
        <w:t>NF-UNSW-NB15-v2</w:t>
      </w:r>
      <w:r>
        <w:rPr>
          <w:color w:val="2D3748"/>
          <w:sz w:val="20"/>
        </w:rPr>
        <w:t xml:space="preserve"> [37, 38]: Standardized NetFlow v9/IPFIX re-extraction of the UNSW-NB15 cyber-range capture, comprising 43 canonical features across </w:t>
      </w:r>
      <w:r>
        <w:rPr>
          <w:b/>
          <w:color w:val="1B365D"/>
          <w:sz w:val="20"/>
        </w:rPr>
        <w:t>2,390,275 raw records</w:t>
      </w:r>
      <w:r>
        <w:rPr>
          <w:color w:val="2D3748"/>
          <w:sz w:val="20"/>
        </w:rPr>
        <w:t xml:space="preserve"> in binary format. Imbalance ratio: 24.15:1.</w:t>
      </w:r>
    </w:p>
    <w:p>
      <w:pPr>
        <w:spacing w:after="80" w:line="276" w:lineRule="auto"/>
      </w:pPr>
      <w:r>
        <w:rPr>
          <w:sz w:val="21"/>
        </w:rPr>
        <w:t>A researcher-defined dataset compatibility score was used to guide dataset selection based on temporal fidelity ($T$), relational identifier availability ($R$), feature richness ($F$), attack diversity ($A$), data quality ($Q$), label quality ($L$), provenance ($P$), and non-stationarity potential ($C$):</w:t>
      </w:r>
    </w:p>
    <w:p>
      <w:pPr>
        <w:spacing w:before="120" w:after="120"/>
        <w:jc w:val="center"/>
      </w:pPr>
      <w:r>
        <w:drawing>
          <wp:inline xmlns:a="http://schemas.openxmlformats.org/drawingml/2006/main" xmlns:pic="http://schemas.openxmlformats.org/drawingml/2006/picture">
            <wp:extent cx="3069515"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069515" cy="365760"/>
                    </a:xfrm>
                    <a:prstGeom prst="rect"/>
                  </pic:spPr>
                </pic:pic>
              </a:graphicData>
            </a:graphic>
          </wp:inline>
        </w:drawing>
      </w:r>
    </w:p>
    <w:p>
      <w:pPr>
        <w:spacing w:after="80" w:line="276" w:lineRule="auto"/>
      </w:pPr>
      <w:r>
        <w:rPr>
          <w:sz w:val="21"/>
        </w:rPr>
        <w:t>The criterion weights were specified according to the requirements of the present study and are intended to support dataset selection rather than provide a universal ranking of NIDS datasets.</w:t>
      </w:r>
    </w:p>
    <w:p>
      <w:pPr>
        <w:keepNext/>
        <w:spacing w:after="60" w:line="276" w:lineRule="auto" w:before="160"/>
        <w:jc w:val="center"/>
      </w:pPr>
      <w:r>
        <w:rPr>
          <w:b/>
          <w:color w:val="1B365D"/>
          <w:sz w:val="20"/>
        </w:rPr>
        <w:t>Table 1: Researcher-Defined Dataset Compatibility Score Matrix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851"/>
        <w:gridCol w:w="851"/>
        <w:gridCol w:w="851"/>
        <w:gridCol w:w="851"/>
        <w:gridCol w:w="851"/>
        <w:gridCol w:w="851"/>
        <w:gridCol w:w="851"/>
        <w:gridCol w:w="851"/>
        <w:gridCol w:w="851"/>
        <w:gridCol w:w="851"/>
        <w:gridCol w:w="851"/>
      </w:tblGrid>
      <w:tr>
        <w:trPr>
          <w:tblHeader/>
          <w:cantSplit/>
        </w:trPr>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Dataset</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T(20)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R(20)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F(15)</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A(10)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Q(10)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L(10)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P(10)</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C(5)</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Total</w:t>
            </w:r>
          </w:p>
        </w:tc>
        <w:tc>
          <w:tcPr>
            <w:tcW w:type="dxa" w:w="851"/>
            <w:shd w:val="clear" w:color="auto" w:fill="1B365D"/>
            <w:tcMar>
              <w:top w:w="140" w:type="dxa"/>
              <w:bottom w:w="140" w:type="dxa"/>
              <w:left w:w="140" w:type="dxa"/>
              <w:right w:w="140" w:type="dxa"/>
            </w:tcMar>
          </w:tcPr>
          <w:p>
            <w:pPr>
              <w:spacing w:after="0"/>
              <w:jc w:val="center"/>
            </w:pPr>
            <w:r>
              <w:rPr>
                <w:rFonts w:ascii="Calibri" w:hAnsi="Calibri"/>
                <w:b/>
                <w:color w:val="FFFFFF"/>
                <w:sz w:val="18"/>
              </w:rPr>
              <w:t>Selection Tier</w:t>
            </w:r>
          </w:p>
        </w:tc>
      </w:tr>
      <w:tr>
        <w:trPr>
          <w:cantSplit/>
        </w:trPr>
        <w:tc>
          <w:tcPr>
            <w:tcW w:type="dxa" w:w="851"/>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851"/>
            <w:tcMar>
              <w:top w:w="100" w:type="dxa"/>
              <w:bottom w:w="100" w:type="dxa"/>
              <w:left w:w="120" w:type="dxa"/>
              <w:right w:w="120" w:type="dxa"/>
            </w:tcMar>
          </w:tcPr>
          <w:p>
            <w:pPr>
              <w:spacing w:after="0"/>
              <w:jc w:val="right"/>
            </w:pPr>
            <w:r>
              <w:rPr>
                <w:rFonts w:ascii="Calibri" w:hAnsi="Calibri"/>
                <w:color w:val="2D3748"/>
                <w:sz w:val="17"/>
              </w:rPr>
              <w:t>19</w:t>
            </w:r>
          </w:p>
        </w:tc>
        <w:tc>
          <w:tcPr>
            <w:tcW w:type="dxa" w:w="851"/>
            <w:tcMar>
              <w:top w:w="100" w:type="dxa"/>
              <w:bottom w:w="100" w:type="dxa"/>
              <w:left w:w="120" w:type="dxa"/>
              <w:right w:w="120" w:type="dxa"/>
            </w:tcMar>
          </w:tcPr>
          <w:p>
            <w:pPr>
              <w:spacing w:after="0"/>
              <w:jc w:val="right"/>
            </w:pPr>
            <w:r>
              <w:rPr>
                <w:rFonts w:ascii="Calibri" w:hAnsi="Calibri"/>
                <w:color w:val="2D3748"/>
                <w:sz w:val="17"/>
              </w:rPr>
              <w:t>19</w:t>
            </w:r>
          </w:p>
        </w:tc>
        <w:tc>
          <w:tcPr>
            <w:tcW w:type="dxa" w:w="851"/>
            <w:tcMar>
              <w:top w:w="100" w:type="dxa"/>
              <w:bottom w:w="100" w:type="dxa"/>
              <w:left w:w="120" w:type="dxa"/>
              <w:right w:w="120" w:type="dxa"/>
            </w:tcMar>
          </w:tcPr>
          <w:p>
            <w:pPr>
              <w:spacing w:after="0"/>
              <w:jc w:val="right"/>
            </w:pPr>
            <w:r>
              <w:rPr>
                <w:rFonts w:ascii="Calibri" w:hAnsi="Calibri"/>
                <w:color w:val="2D3748"/>
                <w:sz w:val="17"/>
              </w:rPr>
              <w:t>15</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5</w:t>
            </w:r>
          </w:p>
        </w:tc>
        <w:tc>
          <w:tcPr>
            <w:tcW w:type="dxa" w:w="851"/>
            <w:tcMar>
              <w:top w:w="100" w:type="dxa"/>
              <w:bottom w:w="100" w:type="dxa"/>
              <w:left w:w="120" w:type="dxa"/>
              <w:right w:w="120" w:type="dxa"/>
            </w:tcMar>
          </w:tcPr>
          <w:p>
            <w:pPr>
              <w:spacing w:after="0"/>
              <w:jc w:val="right"/>
            </w:pPr>
            <w:r>
              <w:rPr>
                <w:rFonts w:ascii="Calibri" w:hAnsi="Calibri"/>
                <w:b/>
                <w:color w:val="1B365D"/>
                <w:sz w:val="17"/>
              </w:rPr>
              <w:t>93.0</w:t>
            </w:r>
          </w:p>
        </w:tc>
        <w:tc>
          <w:tcPr>
            <w:tcW w:type="dxa" w:w="851"/>
            <w:tcMar>
              <w:top w:w="100" w:type="dxa"/>
              <w:bottom w:w="100" w:type="dxa"/>
              <w:left w:w="120" w:type="dxa"/>
              <w:right w:w="120" w:type="dxa"/>
            </w:tcMar>
          </w:tcPr>
          <w:p>
            <w:pPr>
              <w:spacing w:after="0"/>
              <w:jc w:val="center"/>
            </w:pPr>
            <w:r>
              <w:rPr>
                <w:rFonts w:ascii="Calibri" w:hAnsi="Calibri"/>
                <w:color w:val="2D3748"/>
                <w:sz w:val="17"/>
              </w:rPr>
              <w:t>Primary Benchmark</w:t>
            </w:r>
          </w:p>
        </w:tc>
      </w:tr>
      <w:tr>
        <w:trPr>
          <w:cantSplit/>
        </w:trPr>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15</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4</w:t>
            </w:r>
          </w:p>
        </w:tc>
        <w:tc>
          <w:tcPr>
            <w:tcW w:type="dxa" w:w="851"/>
            <w:shd w:val="clear" w:color="auto" w:fill="F7FAFC"/>
            <w:tcMar>
              <w:top w:w="100" w:type="dxa"/>
              <w:bottom w:w="100" w:type="dxa"/>
              <w:left w:w="120" w:type="dxa"/>
              <w:right w:w="120" w:type="dxa"/>
            </w:tcMar>
          </w:tcPr>
          <w:p>
            <w:pPr>
              <w:spacing w:after="0"/>
              <w:jc w:val="right"/>
            </w:pPr>
            <w:r>
              <w:rPr>
                <w:rFonts w:ascii="Calibri" w:hAnsi="Calibri"/>
                <w:b/>
                <w:color w:val="1B365D"/>
                <w:sz w:val="17"/>
              </w:rPr>
              <w:t>92.0</w:t>
            </w:r>
          </w:p>
        </w:tc>
        <w:tc>
          <w:tcPr>
            <w:tcW w:type="dxa" w:w="851"/>
            <w:shd w:val="clear" w:color="auto" w:fill="F7FAFC"/>
            <w:tcMar>
              <w:top w:w="100" w:type="dxa"/>
              <w:bottom w:w="100" w:type="dxa"/>
              <w:left w:w="120" w:type="dxa"/>
              <w:right w:w="120" w:type="dxa"/>
            </w:tcMar>
          </w:tcPr>
          <w:p>
            <w:pPr>
              <w:spacing w:after="0"/>
              <w:jc w:val="center"/>
            </w:pPr>
            <w:r>
              <w:rPr>
                <w:rFonts w:ascii="Calibri" w:hAnsi="Calibri"/>
                <w:color w:val="2D3748"/>
                <w:sz w:val="17"/>
              </w:rPr>
              <w:t>Primary Benchmark</w:t>
            </w:r>
          </w:p>
        </w:tc>
      </w:tr>
      <w:tr>
        <w:trPr>
          <w:cantSplit/>
        </w:trPr>
        <w:tc>
          <w:tcPr>
            <w:tcW w:type="dxa" w:w="851"/>
            <w:tcMar>
              <w:top w:w="100" w:type="dxa"/>
              <w:bottom w:w="100" w:type="dxa"/>
              <w:left w:w="120" w:type="dxa"/>
              <w:right w:w="120" w:type="dxa"/>
            </w:tcMar>
          </w:tcPr>
          <w:p>
            <w:pPr>
              <w:spacing w:after="0"/>
              <w:jc w:val="left"/>
            </w:pPr>
            <w:r>
              <w:rPr>
                <w:rFonts w:ascii="Calibri" w:hAnsi="Calibri"/>
                <w:color w:val="2D3748"/>
                <w:sz w:val="17"/>
              </w:rPr>
              <w:t>CSE-CIC-IDS2018 (Original)</w:t>
            </w:r>
          </w:p>
        </w:tc>
        <w:tc>
          <w:tcPr>
            <w:tcW w:type="dxa" w:w="851"/>
            <w:tcMar>
              <w:top w:w="100" w:type="dxa"/>
              <w:bottom w:w="100" w:type="dxa"/>
              <w:left w:w="120" w:type="dxa"/>
              <w:right w:w="120" w:type="dxa"/>
            </w:tcMar>
          </w:tcPr>
          <w:p>
            <w:pPr>
              <w:spacing w:after="0"/>
              <w:jc w:val="right"/>
            </w:pPr>
            <w:r>
              <w:rPr>
                <w:rFonts w:ascii="Calibri" w:hAnsi="Calibri"/>
                <w:color w:val="2D3748"/>
                <w:sz w:val="17"/>
              </w:rPr>
              <w:t>18</w:t>
            </w:r>
          </w:p>
        </w:tc>
        <w:tc>
          <w:tcPr>
            <w:tcW w:type="dxa" w:w="851"/>
            <w:tcMar>
              <w:top w:w="100" w:type="dxa"/>
              <w:bottom w:w="100" w:type="dxa"/>
              <w:left w:w="120" w:type="dxa"/>
              <w:right w:w="120" w:type="dxa"/>
            </w:tcMar>
          </w:tcPr>
          <w:p>
            <w:pPr>
              <w:spacing w:after="0"/>
              <w:jc w:val="right"/>
            </w:pPr>
            <w:r>
              <w:rPr>
                <w:rFonts w:ascii="Calibri" w:hAnsi="Calibri"/>
                <w:color w:val="2D3748"/>
                <w:sz w:val="17"/>
              </w:rPr>
              <w:t>19</w:t>
            </w:r>
          </w:p>
        </w:tc>
        <w:tc>
          <w:tcPr>
            <w:tcW w:type="dxa" w:w="851"/>
            <w:tcMar>
              <w:top w:w="100" w:type="dxa"/>
              <w:bottom w:w="100" w:type="dxa"/>
              <w:left w:w="120" w:type="dxa"/>
              <w:right w:w="120" w:type="dxa"/>
            </w:tcMar>
          </w:tcPr>
          <w:p>
            <w:pPr>
              <w:spacing w:after="0"/>
              <w:jc w:val="right"/>
            </w:pPr>
            <w:r>
              <w:rPr>
                <w:rFonts w:ascii="Calibri" w:hAnsi="Calibri"/>
                <w:color w:val="2D3748"/>
                <w:sz w:val="17"/>
              </w:rPr>
              <w:t>14</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7</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5</w:t>
            </w:r>
          </w:p>
        </w:tc>
        <w:tc>
          <w:tcPr>
            <w:tcW w:type="dxa" w:w="851"/>
            <w:tcMar>
              <w:top w:w="100" w:type="dxa"/>
              <w:bottom w:w="100" w:type="dxa"/>
              <w:left w:w="120" w:type="dxa"/>
              <w:right w:w="120" w:type="dxa"/>
            </w:tcMar>
          </w:tcPr>
          <w:p>
            <w:pPr>
              <w:spacing w:after="0"/>
              <w:jc w:val="right"/>
            </w:pPr>
            <w:r>
              <w:rPr>
                <w:rFonts w:ascii="Calibri" w:hAnsi="Calibri"/>
                <w:b/>
                <w:color w:val="1B365D"/>
                <w:sz w:val="17"/>
              </w:rPr>
              <w:t>89.0</w:t>
            </w:r>
          </w:p>
        </w:tc>
        <w:tc>
          <w:tcPr>
            <w:tcW w:type="dxa" w:w="851"/>
            <w:tcMar>
              <w:top w:w="100" w:type="dxa"/>
              <w:bottom w:w="100" w:type="dxa"/>
              <w:left w:w="120" w:type="dxa"/>
              <w:right w:w="120" w:type="dxa"/>
            </w:tcMar>
          </w:tcPr>
          <w:p>
            <w:pPr>
              <w:spacing w:after="0"/>
              <w:jc w:val="center"/>
            </w:pPr>
            <w:r>
              <w:rPr>
                <w:rFonts w:ascii="Calibri" w:hAnsi="Calibri"/>
                <w:color w:val="2D3748"/>
                <w:sz w:val="17"/>
              </w:rPr>
              <w:t>Primary Benchmark</w:t>
            </w:r>
          </w:p>
        </w:tc>
      </w:tr>
      <w:tr>
        <w:trPr>
          <w:cantSplit/>
        </w:trPr>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NF-ToN-IoT-v2</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15</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4</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88.0</w:t>
            </w:r>
          </w:p>
        </w:tc>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Auxiliary Reference</w:t>
            </w:r>
          </w:p>
        </w:tc>
      </w:tr>
      <w:tr>
        <w:trPr>
          <w:cantSplit/>
        </w:trPr>
        <w:tc>
          <w:tcPr>
            <w:tcW w:type="dxa" w:w="851"/>
            <w:tcMar>
              <w:top w:w="100" w:type="dxa"/>
              <w:bottom w:w="100" w:type="dxa"/>
              <w:left w:w="120" w:type="dxa"/>
              <w:right w:w="120" w:type="dxa"/>
            </w:tcMar>
          </w:tcPr>
          <w:p>
            <w:pPr>
              <w:spacing w:after="0"/>
              <w:jc w:val="left"/>
            </w:pPr>
            <w:r>
              <w:rPr>
                <w:rFonts w:ascii="Calibri" w:hAnsi="Calibri"/>
                <w:color w:val="2D3748"/>
                <w:sz w:val="17"/>
              </w:rPr>
              <w:t>LYCOS-IDS2017</w:t>
            </w:r>
          </w:p>
        </w:tc>
        <w:tc>
          <w:tcPr>
            <w:tcW w:type="dxa" w:w="851"/>
            <w:tcMar>
              <w:top w:w="100" w:type="dxa"/>
              <w:bottom w:w="100" w:type="dxa"/>
              <w:left w:w="120" w:type="dxa"/>
              <w:right w:w="120" w:type="dxa"/>
            </w:tcMar>
          </w:tcPr>
          <w:p>
            <w:pPr>
              <w:spacing w:after="0"/>
              <w:jc w:val="right"/>
            </w:pPr>
            <w:r>
              <w:rPr>
                <w:rFonts w:ascii="Calibri" w:hAnsi="Calibri"/>
                <w:color w:val="2D3748"/>
                <w:sz w:val="17"/>
              </w:rPr>
              <w:t>18</w:t>
            </w:r>
          </w:p>
        </w:tc>
        <w:tc>
          <w:tcPr>
            <w:tcW w:type="dxa" w:w="851"/>
            <w:tcMar>
              <w:top w:w="100" w:type="dxa"/>
              <w:bottom w:w="100" w:type="dxa"/>
              <w:left w:w="120" w:type="dxa"/>
              <w:right w:w="120" w:type="dxa"/>
            </w:tcMar>
          </w:tcPr>
          <w:p>
            <w:pPr>
              <w:spacing w:after="0"/>
              <w:jc w:val="right"/>
            </w:pPr>
            <w:r>
              <w:rPr>
                <w:rFonts w:ascii="Calibri" w:hAnsi="Calibri"/>
                <w:color w:val="2D3748"/>
                <w:sz w:val="17"/>
              </w:rPr>
              <w:t>19</w:t>
            </w:r>
          </w:p>
        </w:tc>
        <w:tc>
          <w:tcPr>
            <w:tcW w:type="dxa" w:w="851"/>
            <w:tcMar>
              <w:top w:w="100" w:type="dxa"/>
              <w:bottom w:w="100" w:type="dxa"/>
              <w:left w:w="120" w:type="dxa"/>
              <w:right w:w="120" w:type="dxa"/>
            </w:tcMar>
          </w:tcPr>
          <w:p>
            <w:pPr>
              <w:spacing w:after="0"/>
              <w:jc w:val="right"/>
            </w:pPr>
            <w:r>
              <w:rPr>
                <w:rFonts w:ascii="Calibri" w:hAnsi="Calibri"/>
                <w:color w:val="2D3748"/>
                <w:sz w:val="17"/>
              </w:rPr>
              <w:t>14</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9</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4</w:t>
            </w:r>
          </w:p>
        </w:tc>
        <w:tc>
          <w:tcPr>
            <w:tcW w:type="dxa" w:w="851"/>
            <w:tcMar>
              <w:top w:w="100" w:type="dxa"/>
              <w:bottom w:w="100" w:type="dxa"/>
              <w:left w:w="120" w:type="dxa"/>
              <w:right w:w="120" w:type="dxa"/>
            </w:tcMar>
          </w:tcPr>
          <w:p>
            <w:pPr>
              <w:spacing w:after="0"/>
              <w:jc w:val="right"/>
            </w:pPr>
            <w:r>
              <w:rPr>
                <w:rFonts w:ascii="Calibri" w:hAnsi="Calibri"/>
                <w:color w:val="2D3748"/>
                <w:sz w:val="17"/>
              </w:rPr>
              <w:t>88.0</w:t>
            </w:r>
          </w:p>
        </w:tc>
        <w:tc>
          <w:tcPr>
            <w:tcW w:type="dxa" w:w="851"/>
            <w:tcMar>
              <w:top w:w="100" w:type="dxa"/>
              <w:bottom w:w="100" w:type="dxa"/>
              <w:left w:w="120" w:type="dxa"/>
              <w:right w:w="120" w:type="dxa"/>
            </w:tcMar>
          </w:tcPr>
          <w:p>
            <w:pPr>
              <w:spacing w:after="0"/>
              <w:jc w:val="left"/>
            </w:pPr>
            <w:r>
              <w:rPr>
                <w:rFonts w:ascii="Calibri" w:hAnsi="Calibri"/>
                <w:color w:val="2D3748"/>
                <w:sz w:val="17"/>
              </w:rPr>
              <w:t>Sensitivity Reference</w:t>
            </w:r>
          </w:p>
        </w:tc>
      </w:tr>
      <w:tr>
        <w:trPr>
          <w:cantSplit/>
        </w:trPr>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UNSW-NB15 (Original)</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17</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13</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9</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7</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7</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3</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82.0</w:t>
            </w:r>
          </w:p>
        </w:tc>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Auxiliary Reference</w:t>
            </w:r>
          </w:p>
        </w:tc>
      </w:tr>
      <w:tr>
        <w:trPr>
          <w:cantSplit/>
        </w:trPr>
        <w:tc>
          <w:tcPr>
            <w:tcW w:type="dxa" w:w="851"/>
            <w:tcMar>
              <w:top w:w="100" w:type="dxa"/>
              <w:bottom w:w="100" w:type="dxa"/>
              <w:left w:w="120" w:type="dxa"/>
              <w:right w:w="120" w:type="dxa"/>
            </w:tcMar>
          </w:tcPr>
          <w:p>
            <w:pPr>
              <w:spacing w:after="0"/>
              <w:jc w:val="left"/>
            </w:pPr>
            <w:r>
              <w:rPr>
                <w:rFonts w:ascii="Calibri" w:hAnsi="Calibri"/>
                <w:color w:val="2D3748"/>
                <w:sz w:val="17"/>
              </w:rPr>
              <w:t>CIC-IDS2017</w:t>
            </w:r>
          </w:p>
        </w:tc>
        <w:tc>
          <w:tcPr>
            <w:tcW w:type="dxa" w:w="851"/>
            <w:tcMar>
              <w:top w:w="100" w:type="dxa"/>
              <w:bottom w:w="100" w:type="dxa"/>
              <w:left w:w="120" w:type="dxa"/>
              <w:right w:w="120" w:type="dxa"/>
            </w:tcMar>
          </w:tcPr>
          <w:p>
            <w:pPr>
              <w:spacing w:after="0"/>
              <w:jc w:val="right"/>
            </w:pPr>
            <w:r>
              <w:rPr>
                <w:rFonts w:ascii="Calibri" w:hAnsi="Calibri"/>
                <w:color w:val="2D3748"/>
                <w:sz w:val="17"/>
              </w:rPr>
              <w:t>18</w:t>
            </w:r>
          </w:p>
        </w:tc>
        <w:tc>
          <w:tcPr>
            <w:tcW w:type="dxa" w:w="851"/>
            <w:tcMar>
              <w:top w:w="100" w:type="dxa"/>
              <w:bottom w:w="100" w:type="dxa"/>
              <w:left w:w="120" w:type="dxa"/>
              <w:right w:w="120" w:type="dxa"/>
            </w:tcMar>
          </w:tcPr>
          <w:p>
            <w:pPr>
              <w:spacing w:after="0"/>
              <w:jc w:val="right"/>
            </w:pPr>
            <w:r>
              <w:rPr>
                <w:rFonts w:ascii="Calibri" w:hAnsi="Calibri"/>
                <w:color w:val="2D3748"/>
                <w:sz w:val="17"/>
              </w:rPr>
              <w:t>19</w:t>
            </w:r>
          </w:p>
        </w:tc>
        <w:tc>
          <w:tcPr>
            <w:tcW w:type="dxa" w:w="851"/>
            <w:tcMar>
              <w:top w:w="100" w:type="dxa"/>
              <w:bottom w:w="100" w:type="dxa"/>
              <w:left w:w="120" w:type="dxa"/>
              <w:right w:w="120" w:type="dxa"/>
            </w:tcMar>
          </w:tcPr>
          <w:p>
            <w:pPr>
              <w:spacing w:after="0"/>
              <w:jc w:val="right"/>
            </w:pPr>
            <w:r>
              <w:rPr>
                <w:rFonts w:ascii="Calibri" w:hAnsi="Calibri"/>
                <w:color w:val="2D3748"/>
                <w:sz w:val="17"/>
              </w:rPr>
              <w:t>13</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5</w:t>
            </w:r>
          </w:p>
        </w:tc>
        <w:tc>
          <w:tcPr>
            <w:tcW w:type="dxa" w:w="851"/>
            <w:tcMar>
              <w:top w:w="100" w:type="dxa"/>
              <w:bottom w:w="100" w:type="dxa"/>
              <w:left w:w="120" w:type="dxa"/>
              <w:right w:w="120" w:type="dxa"/>
            </w:tcMar>
          </w:tcPr>
          <w:p>
            <w:pPr>
              <w:spacing w:after="0"/>
              <w:jc w:val="right"/>
            </w:pPr>
            <w:r>
              <w:rPr>
                <w:rFonts w:ascii="Calibri" w:hAnsi="Calibri"/>
                <w:color w:val="2D3748"/>
                <w:sz w:val="17"/>
              </w:rPr>
              <w:t>6</w:t>
            </w:r>
          </w:p>
        </w:tc>
        <w:tc>
          <w:tcPr>
            <w:tcW w:type="dxa" w:w="851"/>
            <w:tcMar>
              <w:top w:w="100" w:type="dxa"/>
              <w:bottom w:w="100" w:type="dxa"/>
              <w:left w:w="120" w:type="dxa"/>
              <w:right w:w="120" w:type="dxa"/>
            </w:tcMar>
          </w:tcPr>
          <w:p>
            <w:pPr>
              <w:spacing w:after="0"/>
              <w:jc w:val="right"/>
            </w:pPr>
            <w:r>
              <w:rPr>
                <w:rFonts w:ascii="Calibri" w:hAnsi="Calibri"/>
                <w:color w:val="2D3748"/>
                <w:sz w:val="17"/>
              </w:rPr>
              <w:t>8</w:t>
            </w:r>
          </w:p>
        </w:tc>
        <w:tc>
          <w:tcPr>
            <w:tcW w:type="dxa" w:w="851"/>
            <w:tcMar>
              <w:top w:w="100" w:type="dxa"/>
              <w:bottom w:w="100" w:type="dxa"/>
              <w:left w:w="120" w:type="dxa"/>
              <w:right w:w="120" w:type="dxa"/>
            </w:tcMar>
          </w:tcPr>
          <w:p>
            <w:pPr>
              <w:spacing w:after="0"/>
              <w:jc w:val="right"/>
            </w:pPr>
            <w:r>
              <w:rPr>
                <w:rFonts w:ascii="Calibri" w:hAnsi="Calibri"/>
                <w:color w:val="2D3748"/>
                <w:sz w:val="17"/>
              </w:rPr>
              <w:t>4</w:t>
            </w:r>
          </w:p>
        </w:tc>
        <w:tc>
          <w:tcPr>
            <w:tcW w:type="dxa" w:w="851"/>
            <w:tcMar>
              <w:top w:w="100" w:type="dxa"/>
              <w:bottom w:w="100" w:type="dxa"/>
              <w:left w:w="120" w:type="dxa"/>
              <w:right w:w="120" w:type="dxa"/>
            </w:tcMar>
          </w:tcPr>
          <w:p>
            <w:pPr>
              <w:spacing w:after="0"/>
              <w:jc w:val="right"/>
            </w:pPr>
            <w:r>
              <w:rPr>
                <w:rFonts w:ascii="Calibri" w:hAnsi="Calibri"/>
                <w:color w:val="2D3748"/>
                <w:sz w:val="17"/>
              </w:rPr>
              <w:t>81.0</w:t>
            </w:r>
          </w:p>
        </w:tc>
        <w:tc>
          <w:tcPr>
            <w:tcW w:type="dxa" w:w="851"/>
            <w:tcMar>
              <w:top w:w="100" w:type="dxa"/>
              <w:bottom w:w="100" w:type="dxa"/>
              <w:left w:w="120" w:type="dxa"/>
              <w:right w:w="120" w:type="dxa"/>
            </w:tcMar>
          </w:tcPr>
          <w:p>
            <w:pPr>
              <w:spacing w:after="0"/>
              <w:jc w:val="left"/>
            </w:pPr>
            <w:r>
              <w:rPr>
                <w:rFonts w:ascii="Calibri" w:hAnsi="Calibri"/>
                <w:color w:val="2D3748"/>
                <w:sz w:val="17"/>
              </w:rPr>
              <w:t>Sensitivity Reference</w:t>
            </w:r>
          </w:p>
        </w:tc>
      </w:tr>
      <w:tr>
        <w:trPr>
          <w:cantSplit/>
        </w:trPr>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CICIoT2023</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17</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12</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7</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3</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81.0</w:t>
            </w:r>
          </w:p>
        </w:tc>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Auxiliary IoT</w:t>
            </w:r>
          </w:p>
        </w:tc>
      </w:tr>
      <w:tr>
        <w:trPr>
          <w:cantSplit/>
        </w:trPr>
        <w:tc>
          <w:tcPr>
            <w:tcW w:type="dxa" w:w="851"/>
            <w:tcMar>
              <w:top w:w="100" w:type="dxa"/>
              <w:bottom w:w="100" w:type="dxa"/>
              <w:left w:w="120" w:type="dxa"/>
              <w:right w:w="120" w:type="dxa"/>
            </w:tcMar>
          </w:tcPr>
          <w:p>
            <w:pPr>
              <w:spacing w:after="0"/>
              <w:jc w:val="left"/>
            </w:pPr>
            <w:r>
              <w:rPr>
                <w:rFonts w:ascii="Calibri" w:hAnsi="Calibri"/>
                <w:color w:val="2D3748"/>
                <w:sz w:val="17"/>
              </w:rPr>
              <w:t>InSDN</w:t>
            </w:r>
          </w:p>
        </w:tc>
        <w:tc>
          <w:tcPr>
            <w:tcW w:type="dxa" w:w="851"/>
            <w:tcMar>
              <w:top w:w="100" w:type="dxa"/>
              <w:bottom w:w="100" w:type="dxa"/>
              <w:left w:w="120" w:type="dxa"/>
              <w:right w:w="120" w:type="dxa"/>
            </w:tcMar>
          </w:tcPr>
          <w:p>
            <w:pPr>
              <w:spacing w:after="0"/>
              <w:jc w:val="right"/>
            </w:pPr>
            <w:r>
              <w:rPr>
                <w:rFonts w:ascii="Calibri" w:hAnsi="Calibri"/>
                <w:color w:val="2D3748"/>
                <w:sz w:val="17"/>
              </w:rPr>
              <w:t>14</w:t>
            </w:r>
          </w:p>
        </w:tc>
        <w:tc>
          <w:tcPr>
            <w:tcW w:type="dxa" w:w="851"/>
            <w:tcMar>
              <w:top w:w="100" w:type="dxa"/>
              <w:bottom w:w="100" w:type="dxa"/>
              <w:left w:w="120" w:type="dxa"/>
              <w:right w:w="120" w:type="dxa"/>
            </w:tcMar>
          </w:tcPr>
          <w:p>
            <w:pPr>
              <w:spacing w:after="0"/>
              <w:jc w:val="right"/>
            </w:pPr>
            <w:r>
              <w:rPr>
                <w:rFonts w:ascii="Calibri" w:hAnsi="Calibri"/>
                <w:color w:val="2D3748"/>
                <w:sz w:val="17"/>
              </w:rPr>
              <w:t>14</w:t>
            </w:r>
          </w:p>
        </w:tc>
        <w:tc>
          <w:tcPr>
            <w:tcW w:type="dxa" w:w="851"/>
            <w:tcMar>
              <w:top w:w="100" w:type="dxa"/>
              <w:bottom w:w="100" w:type="dxa"/>
              <w:left w:w="120" w:type="dxa"/>
              <w:right w:w="120" w:type="dxa"/>
            </w:tcMar>
          </w:tcPr>
          <w:p>
            <w:pPr>
              <w:spacing w:after="0"/>
              <w:jc w:val="right"/>
            </w:pPr>
            <w:r>
              <w:rPr>
                <w:rFonts w:ascii="Calibri" w:hAnsi="Calibri"/>
                <w:color w:val="2D3748"/>
                <w:sz w:val="17"/>
              </w:rPr>
              <w:t>11</w:t>
            </w:r>
          </w:p>
        </w:tc>
        <w:tc>
          <w:tcPr>
            <w:tcW w:type="dxa" w:w="851"/>
            <w:tcMar>
              <w:top w:w="100" w:type="dxa"/>
              <w:bottom w:w="100" w:type="dxa"/>
              <w:left w:w="120" w:type="dxa"/>
              <w:right w:w="120" w:type="dxa"/>
            </w:tcMar>
          </w:tcPr>
          <w:p>
            <w:pPr>
              <w:spacing w:after="0"/>
              <w:jc w:val="right"/>
            </w:pPr>
            <w:r>
              <w:rPr>
                <w:rFonts w:ascii="Calibri" w:hAnsi="Calibri"/>
                <w:color w:val="2D3748"/>
                <w:sz w:val="17"/>
              </w:rPr>
              <w:t>6</w:t>
            </w:r>
          </w:p>
        </w:tc>
        <w:tc>
          <w:tcPr>
            <w:tcW w:type="dxa" w:w="851"/>
            <w:tcMar>
              <w:top w:w="100" w:type="dxa"/>
              <w:bottom w:w="100" w:type="dxa"/>
              <w:left w:w="120" w:type="dxa"/>
              <w:right w:w="120" w:type="dxa"/>
            </w:tcMar>
          </w:tcPr>
          <w:p>
            <w:pPr>
              <w:spacing w:after="0"/>
              <w:jc w:val="right"/>
            </w:pPr>
            <w:r>
              <w:rPr>
                <w:rFonts w:ascii="Calibri" w:hAnsi="Calibri"/>
                <w:color w:val="2D3748"/>
                <w:sz w:val="17"/>
              </w:rPr>
              <w:t>7</w:t>
            </w:r>
          </w:p>
        </w:tc>
        <w:tc>
          <w:tcPr>
            <w:tcW w:type="dxa" w:w="851"/>
            <w:tcMar>
              <w:top w:w="100" w:type="dxa"/>
              <w:bottom w:w="100" w:type="dxa"/>
              <w:left w:w="120" w:type="dxa"/>
              <w:right w:w="120" w:type="dxa"/>
            </w:tcMar>
          </w:tcPr>
          <w:p>
            <w:pPr>
              <w:spacing w:after="0"/>
              <w:jc w:val="right"/>
            </w:pPr>
            <w:r>
              <w:rPr>
                <w:rFonts w:ascii="Calibri" w:hAnsi="Calibri"/>
                <w:color w:val="2D3748"/>
                <w:sz w:val="17"/>
              </w:rPr>
              <w:t>7</w:t>
            </w:r>
          </w:p>
        </w:tc>
        <w:tc>
          <w:tcPr>
            <w:tcW w:type="dxa" w:w="851"/>
            <w:tcMar>
              <w:top w:w="100" w:type="dxa"/>
              <w:bottom w:w="100" w:type="dxa"/>
              <w:left w:w="120" w:type="dxa"/>
              <w:right w:w="120" w:type="dxa"/>
            </w:tcMar>
          </w:tcPr>
          <w:p>
            <w:pPr>
              <w:spacing w:after="0"/>
              <w:jc w:val="right"/>
            </w:pPr>
            <w:r>
              <w:rPr>
                <w:rFonts w:ascii="Calibri" w:hAnsi="Calibri"/>
                <w:color w:val="2D3748"/>
                <w:sz w:val="17"/>
              </w:rPr>
              <w:t>7</w:t>
            </w:r>
          </w:p>
        </w:tc>
        <w:tc>
          <w:tcPr>
            <w:tcW w:type="dxa" w:w="851"/>
            <w:tcMar>
              <w:top w:w="100" w:type="dxa"/>
              <w:bottom w:w="100" w:type="dxa"/>
              <w:left w:w="120" w:type="dxa"/>
              <w:right w:w="120" w:type="dxa"/>
            </w:tcMar>
          </w:tcPr>
          <w:p>
            <w:pPr>
              <w:spacing w:after="0"/>
              <w:jc w:val="right"/>
            </w:pPr>
            <w:r>
              <w:rPr>
                <w:rFonts w:ascii="Calibri" w:hAnsi="Calibri"/>
                <w:color w:val="2D3748"/>
                <w:sz w:val="17"/>
              </w:rPr>
              <w:t>2</w:t>
            </w:r>
          </w:p>
        </w:tc>
        <w:tc>
          <w:tcPr>
            <w:tcW w:type="dxa" w:w="851"/>
            <w:tcMar>
              <w:top w:w="100" w:type="dxa"/>
              <w:bottom w:w="100" w:type="dxa"/>
              <w:left w:w="120" w:type="dxa"/>
              <w:right w:w="120" w:type="dxa"/>
            </w:tcMar>
          </w:tcPr>
          <w:p>
            <w:pPr>
              <w:spacing w:after="0"/>
              <w:jc w:val="right"/>
            </w:pPr>
            <w:r>
              <w:rPr>
                <w:rFonts w:ascii="Calibri" w:hAnsi="Calibri"/>
                <w:color w:val="2D3748"/>
                <w:sz w:val="17"/>
              </w:rPr>
              <w:t>68.0</w:t>
            </w:r>
          </w:p>
        </w:tc>
        <w:tc>
          <w:tcPr>
            <w:tcW w:type="dxa" w:w="851"/>
            <w:tcMar>
              <w:top w:w="100" w:type="dxa"/>
              <w:bottom w:w="100" w:type="dxa"/>
              <w:left w:w="120" w:type="dxa"/>
              <w:right w:w="120" w:type="dxa"/>
            </w:tcMar>
          </w:tcPr>
          <w:p>
            <w:pPr>
              <w:spacing w:after="0"/>
              <w:jc w:val="left"/>
            </w:pPr>
            <w:r>
              <w:rPr>
                <w:rFonts w:ascii="Calibri" w:hAnsi="Calibri"/>
                <w:color w:val="2D3748"/>
                <w:sz w:val="17"/>
              </w:rPr>
              <w:t>SDN Reference</w:t>
            </w:r>
          </w:p>
        </w:tc>
      </w:tr>
      <w:tr>
        <w:trPr>
          <w:cantSplit/>
        </w:trPr>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NSL-KDD</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2</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2</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5</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4</w:t>
            </w:r>
          </w:p>
        </w:tc>
        <w:tc>
          <w:tcPr>
            <w:tcW w:type="dxa" w:w="851"/>
            <w:shd w:val="clear" w:color="auto" w:fill="F7FAFC"/>
            <w:tcMar>
              <w:top w:w="100" w:type="dxa"/>
              <w:bottom w:w="100" w:type="dxa"/>
              <w:left w:w="120" w:type="dxa"/>
              <w:right w:w="120" w:type="dxa"/>
            </w:tcMar>
          </w:tcPr>
          <w:p>
            <w:pPr>
              <w:spacing w:after="0"/>
              <w:jc w:val="right"/>
            </w:pPr>
            <w:r>
              <w:rPr>
                <w:rFonts w:ascii="Calibri" w:hAnsi="Calibri"/>
                <w:color w:val="2D3748"/>
                <w:sz w:val="17"/>
              </w:rPr>
              <w:t>1</w:t>
            </w:r>
          </w:p>
        </w:tc>
        <w:tc>
          <w:tcPr>
            <w:tcW w:type="dxa" w:w="851"/>
            <w:shd w:val="clear" w:color="auto" w:fill="F7FAFC"/>
            <w:tcMar>
              <w:top w:w="100" w:type="dxa"/>
              <w:bottom w:w="100" w:type="dxa"/>
              <w:left w:w="120" w:type="dxa"/>
              <w:right w:w="120" w:type="dxa"/>
            </w:tcMar>
          </w:tcPr>
          <w:p>
            <w:pPr>
              <w:spacing w:after="0"/>
              <w:jc w:val="right"/>
            </w:pPr>
            <w:r>
              <w:rPr>
                <w:rFonts w:ascii="Calibri" w:hAnsi="Calibri"/>
                <w:b/>
                <w:color w:val="1B365D"/>
                <w:sz w:val="17"/>
              </w:rPr>
              <w:t>32.0</w:t>
            </w:r>
          </w:p>
        </w:tc>
        <w:tc>
          <w:tcPr>
            <w:tcW w:type="dxa" w:w="851"/>
            <w:shd w:val="clear" w:color="auto" w:fill="F7FAFC"/>
            <w:tcMar>
              <w:top w:w="100" w:type="dxa"/>
              <w:bottom w:w="100" w:type="dxa"/>
              <w:left w:w="120" w:type="dxa"/>
              <w:right w:w="120" w:type="dxa"/>
            </w:tcMar>
          </w:tcPr>
          <w:p>
            <w:pPr>
              <w:spacing w:after="0"/>
              <w:jc w:val="left"/>
            </w:pPr>
            <w:r>
              <w:rPr>
                <w:rFonts w:ascii="Calibri" w:hAnsi="Calibri"/>
                <w:color w:val="2D3748"/>
                <w:sz w:val="17"/>
              </w:rPr>
              <w:t>Excluded</w:t>
            </w:r>
          </w:p>
        </w:tc>
      </w:tr>
    </w:tbl>
    <w:p>
      <w:pPr>
        <w:spacing w:after="80"/>
      </w:pPr>
    </w:p>
    <w:p>
      <w:pPr>
        <w:keepNext/>
        <w:spacing w:after="60" w:line="276" w:lineRule="auto" w:before="160"/>
        <w:jc w:val="center"/>
      </w:pPr>
      <w:r>
        <w:rPr>
          <w:b/>
          <w:color w:val="1B365D"/>
          <w:sz w:val="20"/>
        </w:rPr>
        <w:t>Table 2: Dataset Provenance and Lineage Matrix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tblHeader/>
          <w:cantSplit/>
        </w:trPr>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Dataset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Underlying Capture</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Extraction Engine</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Feature Count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Shared Packet Stream With</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CIC-IDS2017</w:t>
            </w:r>
          </w:p>
        </w:tc>
        <w:tc>
          <w:tcPr>
            <w:tcW w:type="dxa" w:w="1872"/>
            <w:tcMar>
              <w:top w:w="100" w:type="dxa"/>
              <w:bottom w:w="100" w:type="dxa"/>
              <w:left w:w="120" w:type="dxa"/>
              <w:right w:w="120" w:type="dxa"/>
            </w:tcMar>
          </w:tcPr>
          <w:p>
            <w:pPr>
              <w:spacing w:after="0"/>
              <w:jc w:val="left"/>
            </w:pPr>
            <w:r>
              <w:rPr>
                <w:rFonts w:ascii="Calibri" w:hAnsi="Calibri"/>
                <w:color w:val="2D3748"/>
                <w:sz w:val="17"/>
              </w:rPr>
              <w:t>ISCX B-Profile PCAP (2017)</w:t>
            </w:r>
          </w:p>
        </w:tc>
        <w:tc>
          <w:tcPr>
            <w:tcW w:type="dxa" w:w="1872"/>
            <w:tcMar>
              <w:top w:w="100" w:type="dxa"/>
              <w:bottom w:w="100" w:type="dxa"/>
              <w:left w:w="120" w:type="dxa"/>
              <w:right w:w="120" w:type="dxa"/>
            </w:tcMar>
          </w:tcPr>
          <w:p>
            <w:pPr>
              <w:spacing w:after="0"/>
              <w:jc w:val="left"/>
            </w:pPr>
            <w:r>
              <w:rPr>
                <w:rFonts w:ascii="Calibri" w:hAnsi="Calibri"/>
                <w:color w:val="2D3748"/>
                <w:sz w:val="17"/>
              </w:rPr>
              <w:t>CICFlowMeter v1</w:t>
            </w:r>
          </w:p>
        </w:tc>
        <w:tc>
          <w:tcPr>
            <w:tcW w:type="dxa" w:w="1872"/>
            <w:tcMar>
              <w:top w:w="100" w:type="dxa"/>
              <w:bottom w:w="100" w:type="dxa"/>
              <w:left w:w="120" w:type="dxa"/>
              <w:right w:w="120" w:type="dxa"/>
            </w:tcMar>
          </w:tcPr>
          <w:p>
            <w:pPr>
              <w:spacing w:after="0"/>
              <w:jc w:val="right"/>
            </w:pPr>
            <w:r>
              <w:rPr>
                <w:rFonts w:ascii="Calibri" w:hAnsi="Calibri"/>
                <w:color w:val="2D3748"/>
                <w:sz w:val="17"/>
              </w:rPr>
              <w:t>80+</w:t>
            </w:r>
          </w:p>
        </w:tc>
        <w:tc>
          <w:tcPr>
            <w:tcW w:type="dxa" w:w="1872"/>
            <w:tcMar>
              <w:top w:w="100" w:type="dxa"/>
              <w:bottom w:w="100" w:type="dxa"/>
              <w:left w:w="120" w:type="dxa"/>
              <w:right w:w="120" w:type="dxa"/>
            </w:tcMar>
          </w:tcPr>
          <w:p>
            <w:pPr>
              <w:spacing w:after="0"/>
              <w:jc w:val="left"/>
            </w:pPr>
            <w:r>
              <w:rPr>
                <w:rFonts w:ascii="Calibri" w:hAnsi="Calibri"/>
                <w:color w:val="2D3748"/>
                <w:sz w:val="17"/>
              </w:rPr>
              <w:t>LYCOS-IDS2017</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LYCOS-IDS2017</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ISCX B-Profile PCAP (2017)</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LycoSTand (corrected)</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80+</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CIC-IDS2017</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1872"/>
            <w:tcMar>
              <w:top w:w="100" w:type="dxa"/>
              <w:bottom w:w="100" w:type="dxa"/>
              <w:left w:w="120" w:type="dxa"/>
              <w:right w:w="120" w:type="dxa"/>
            </w:tcMar>
          </w:tcPr>
          <w:p>
            <w:pPr>
              <w:spacing w:after="0"/>
              <w:jc w:val="left"/>
            </w:pPr>
            <w:r>
              <w:rPr>
                <w:rFonts w:ascii="Calibri" w:hAnsi="Calibri"/>
                <w:color w:val="2D3748"/>
                <w:sz w:val="17"/>
              </w:rPr>
              <w:t>AWS Infrastructure PCAP (2018)</w:t>
            </w:r>
          </w:p>
        </w:tc>
        <w:tc>
          <w:tcPr>
            <w:tcW w:type="dxa" w:w="1872"/>
            <w:tcMar>
              <w:top w:w="100" w:type="dxa"/>
              <w:bottom w:w="100" w:type="dxa"/>
              <w:left w:w="120" w:type="dxa"/>
              <w:right w:w="120" w:type="dxa"/>
            </w:tcMar>
          </w:tcPr>
          <w:p>
            <w:pPr>
              <w:spacing w:after="0"/>
              <w:jc w:val="left"/>
            </w:pPr>
            <w:r>
              <w:rPr>
                <w:rFonts w:ascii="Calibri" w:hAnsi="Calibri"/>
                <w:color w:val="2D3748"/>
                <w:sz w:val="17"/>
              </w:rPr>
              <w:t>CICFlowMeter v3</w:t>
            </w:r>
          </w:p>
        </w:tc>
        <w:tc>
          <w:tcPr>
            <w:tcW w:type="dxa" w:w="1872"/>
            <w:tcMar>
              <w:top w:w="100" w:type="dxa"/>
              <w:bottom w:w="100" w:type="dxa"/>
              <w:left w:w="120" w:type="dxa"/>
              <w:right w:w="120" w:type="dxa"/>
            </w:tcMar>
          </w:tcPr>
          <w:p>
            <w:pPr>
              <w:spacing w:after="0"/>
              <w:jc w:val="right"/>
            </w:pPr>
            <w:r>
              <w:rPr>
                <w:rFonts w:ascii="Calibri" w:hAnsi="Calibri"/>
                <w:color w:val="2D3748"/>
                <w:sz w:val="17"/>
              </w:rPr>
              <w:t>84</w:t>
            </w:r>
          </w:p>
        </w:tc>
        <w:tc>
          <w:tcPr>
            <w:tcW w:type="dxa" w:w="1872"/>
            <w:tcMar>
              <w:top w:w="100" w:type="dxa"/>
              <w:bottom w:w="100" w:type="dxa"/>
              <w:left w:w="120" w:type="dxa"/>
              <w:right w:w="120" w:type="dxa"/>
            </w:tcMar>
          </w:tcPr>
          <w:p>
            <w:pPr>
              <w:spacing w:after="0"/>
              <w:jc w:val="left"/>
            </w:pPr>
            <w:r>
              <w:rPr>
                <w:rFonts w:ascii="Calibri" w:hAnsi="Calibri"/>
                <w:color w:val="2D3748"/>
                <w:sz w:val="17"/>
              </w:rPr>
              <w:t>NF-CSE-CIC-IDS2018</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AWS Infrastructure PCAP (2018)</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nProbe (NetFlow v9/IPFIX)</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43</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CSE-CIC-IDS2018</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UNSW-NB15</w:t>
            </w:r>
          </w:p>
        </w:tc>
        <w:tc>
          <w:tcPr>
            <w:tcW w:type="dxa" w:w="1872"/>
            <w:tcMar>
              <w:top w:w="100" w:type="dxa"/>
              <w:bottom w:w="100" w:type="dxa"/>
              <w:left w:w="120" w:type="dxa"/>
              <w:right w:w="120" w:type="dxa"/>
            </w:tcMar>
          </w:tcPr>
          <w:p>
            <w:pPr>
              <w:spacing w:after="0"/>
              <w:jc w:val="left"/>
            </w:pPr>
            <w:r>
              <w:rPr>
                <w:rFonts w:ascii="Calibri" w:hAnsi="Calibri"/>
                <w:color w:val="2D3748"/>
                <w:sz w:val="17"/>
              </w:rPr>
              <w:t>Ixia PerfectStorm Cyber Range</w:t>
            </w:r>
          </w:p>
        </w:tc>
        <w:tc>
          <w:tcPr>
            <w:tcW w:type="dxa" w:w="1872"/>
            <w:tcMar>
              <w:top w:w="100" w:type="dxa"/>
              <w:bottom w:w="100" w:type="dxa"/>
              <w:left w:w="120" w:type="dxa"/>
              <w:right w:w="120" w:type="dxa"/>
            </w:tcMar>
          </w:tcPr>
          <w:p>
            <w:pPr>
              <w:spacing w:after="0"/>
              <w:jc w:val="left"/>
            </w:pPr>
            <w:r>
              <w:rPr>
                <w:rFonts w:ascii="Calibri" w:hAnsi="Calibri"/>
                <w:color w:val="2D3748"/>
                <w:sz w:val="17"/>
              </w:rPr>
              <w:t>Argus/Bro-IDS</w:t>
            </w:r>
          </w:p>
        </w:tc>
        <w:tc>
          <w:tcPr>
            <w:tcW w:type="dxa" w:w="1872"/>
            <w:tcMar>
              <w:top w:w="100" w:type="dxa"/>
              <w:bottom w:w="100" w:type="dxa"/>
              <w:left w:w="120" w:type="dxa"/>
              <w:right w:w="120" w:type="dxa"/>
            </w:tcMar>
          </w:tcPr>
          <w:p>
            <w:pPr>
              <w:spacing w:after="0"/>
              <w:jc w:val="right"/>
            </w:pPr>
            <w:r>
              <w:rPr>
                <w:rFonts w:ascii="Calibri" w:hAnsi="Calibri"/>
                <w:color w:val="2D3748"/>
                <w:sz w:val="17"/>
              </w:rPr>
              <w:t>49</w:t>
            </w:r>
          </w:p>
        </w:tc>
        <w:tc>
          <w:tcPr>
            <w:tcW w:type="dxa" w:w="1872"/>
            <w:tcMar>
              <w:top w:w="100" w:type="dxa"/>
              <w:bottom w:w="100" w:type="dxa"/>
              <w:left w:w="120" w:type="dxa"/>
              <w:right w:w="120" w:type="dxa"/>
            </w:tcMar>
          </w:tcPr>
          <w:p>
            <w:pPr>
              <w:spacing w:after="0"/>
              <w:jc w:val="left"/>
            </w:pPr>
            <w:r>
              <w:rPr>
                <w:rFonts w:ascii="Calibri" w:hAnsi="Calibri"/>
                <w:color w:val="2D3748"/>
                <w:sz w:val="17"/>
              </w:rPr>
              <w:t>NF-UNSW-NB15</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Ixia PerfectStorm Cyber Range</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nProbe (NetFlow v9/IPFIX)</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43</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UNSW-NB15</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NSL-KDD</w:t>
            </w:r>
          </w:p>
        </w:tc>
        <w:tc>
          <w:tcPr>
            <w:tcW w:type="dxa" w:w="1872"/>
            <w:tcMar>
              <w:top w:w="100" w:type="dxa"/>
              <w:bottom w:w="100" w:type="dxa"/>
              <w:left w:w="120" w:type="dxa"/>
              <w:right w:w="120" w:type="dxa"/>
            </w:tcMar>
          </w:tcPr>
          <w:p>
            <w:pPr>
              <w:spacing w:after="0"/>
              <w:jc w:val="left"/>
            </w:pPr>
            <w:r>
              <w:rPr>
                <w:rFonts w:ascii="Calibri" w:hAnsi="Calibri"/>
                <w:color w:val="2D3748"/>
                <w:sz w:val="17"/>
              </w:rPr>
              <w:t>DARPA 1998/1999 (Synthetic)</w:t>
            </w:r>
          </w:p>
        </w:tc>
        <w:tc>
          <w:tcPr>
            <w:tcW w:type="dxa" w:w="1872"/>
            <w:tcMar>
              <w:top w:w="100" w:type="dxa"/>
              <w:bottom w:w="100" w:type="dxa"/>
              <w:left w:w="120" w:type="dxa"/>
              <w:right w:w="120" w:type="dxa"/>
            </w:tcMar>
          </w:tcPr>
          <w:p>
            <w:pPr>
              <w:spacing w:after="0"/>
              <w:jc w:val="left"/>
            </w:pPr>
            <w:r>
              <w:rPr>
                <w:rFonts w:ascii="Calibri" w:hAnsi="Calibri"/>
                <w:color w:val="2D3748"/>
                <w:sz w:val="17"/>
              </w:rPr>
              <w:t>Custom/Bro</w:t>
            </w:r>
          </w:p>
        </w:tc>
        <w:tc>
          <w:tcPr>
            <w:tcW w:type="dxa" w:w="1872"/>
            <w:tcMar>
              <w:top w:w="100" w:type="dxa"/>
              <w:bottom w:w="100" w:type="dxa"/>
              <w:left w:w="120" w:type="dxa"/>
              <w:right w:w="120" w:type="dxa"/>
            </w:tcMar>
          </w:tcPr>
          <w:p>
            <w:pPr>
              <w:spacing w:after="0"/>
              <w:jc w:val="right"/>
            </w:pPr>
            <w:r>
              <w:rPr>
                <w:rFonts w:ascii="Calibri" w:hAnsi="Calibri"/>
                <w:color w:val="2D3748"/>
                <w:sz w:val="17"/>
              </w:rPr>
              <w:t>41</w:t>
            </w:r>
          </w:p>
        </w:tc>
        <w:tc>
          <w:tcPr>
            <w:tcW w:type="dxa" w:w="1872"/>
            <w:tcMar>
              <w:top w:w="100" w:type="dxa"/>
              <w:bottom w:w="100" w:type="dxa"/>
              <w:left w:w="120" w:type="dxa"/>
              <w:right w:w="120" w:type="dxa"/>
            </w:tcMar>
          </w:tcPr>
          <w:p>
            <w:pPr>
              <w:spacing w:after="0"/>
              <w:jc w:val="left"/>
            </w:pPr>
            <w:r>
              <w:rPr>
                <w:rFonts w:ascii="Calibri" w:hAnsi="Calibri"/>
                <w:color w:val="2D3748"/>
                <w:sz w:val="17"/>
              </w:rPr>
              <w:t>KDD'99</w:t>
            </w:r>
          </w:p>
        </w:tc>
      </w:tr>
    </w:tbl>
    <w:p>
      <w:pPr>
        <w:spacing w:after="80"/>
      </w:pPr>
    </w:p>
    <w:p>
      <w:pPr>
        <w:keepNext/>
        <w:spacing w:before="200" w:after="60"/>
      </w:pPr>
      <w:r>
        <w:rPr>
          <w:rFonts w:ascii="Calibri" w:hAnsi="Calibri"/>
          <w:b/>
          <w:color w:val="2C5282"/>
          <w:sz w:val="23"/>
        </w:rPr>
        <w:t>4.2 Raw-Data Overlap Audit Prior to Corrective Processing</w:t>
      </w:r>
    </w:p>
    <w:p>
      <w:pPr>
        <w:spacing w:after="80" w:line="276" w:lineRule="auto"/>
      </w:pPr>
      <w:r>
        <w:rPr>
          <w:sz w:val="21"/>
        </w:rPr>
        <w:t>Prior to sample partitioning and model training, a forensic data quality audit was conducted across all 37.5 million records.</w:t>
      </w:r>
    </w:p>
    <w:tbl>
      <w:tblPr>
        <w:tblW w:type="auto" w:w="0"/>
        <w:jc w:val="center"/>
        <w:tblLook w:firstColumn="1" w:firstRow="1" w:lastColumn="0" w:lastRow="0" w:noHBand="0" w:noVBand="1" w:val="04A0"/>
      </w:tblPr>
      <w:tblGrid>
        <w:gridCol w:w="9360"/>
      </w:tblGrid>
      <w:tr>
        <w:tc>
          <w:tcPr>
            <w:tcW w:type="dxa" w:w="9360"/>
            <w:shd w:val="clear" w:color="auto" w:fill="EDF2F7"/>
            <w:tcMar>
              <w:top w:w="100" w:type="dxa"/>
              <w:bottom w:w="100" w:type="dxa"/>
              <w:left w:w="160" w:type="dxa"/>
              <w:right w:w="140" w:type="dxa"/>
            </w:tcMar>
            <w:tcBorders>
              <w:left w:val="single" w:sz="24" w:space="0" w:color="1B365D"/>
              <w:top w:val="none"/>
              <w:right w:val="none"/>
              <w:bottom w:val="none"/>
            </w:tcBorders>
          </w:tcPr>
          <w:p>
            <w:pPr>
              <w:spacing w:after="0"/>
            </w:pPr>
            <w:r>
              <w:rPr>
                <w:i/>
                <w:color w:val="2D3748"/>
                <w:sz w:val="19"/>
              </w:rPr>
              <w:t>Audit Context: The overlap statistics reported in this subsection characterize artifacts identified during the raw pre-processing audit and should not be interpreted as performance results from the final evaluation partitions.</w:t>
            </w:r>
          </w:p>
        </w:tc>
      </w:tr>
    </w:tbl>
    <w:p>
      <w:pPr>
        <w:spacing w:after="80"/>
      </w:pPr>
    </w:p>
    <w:p>
      <w:pPr>
        <w:keepNext/>
        <w:spacing w:after="60" w:line="276" w:lineRule="auto" w:before="160"/>
        <w:jc w:val="center"/>
      </w:pPr>
      <w:r>
        <w:rPr>
          <w:b/>
          <w:color w:val="1B365D"/>
          <w:sz w:val="20"/>
        </w:rPr>
        <w:t>Table 3: Raw Pre-Processing Data Quality Audit Summary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tblHeader/>
          <w:cantSplit/>
        </w:trPr>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Metric / Artifact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CSE-CIC-IDS2018</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NF-CSE-CIC-IDS2018-v2</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NF-UNSW-NB15-v2</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Total Records</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Total Raw Records</w:t>
            </w:r>
          </w:p>
        </w:tc>
        <w:tc>
          <w:tcPr>
            <w:tcW w:type="dxa" w:w="1872"/>
            <w:tcMar>
              <w:top w:w="100" w:type="dxa"/>
              <w:bottom w:w="100" w:type="dxa"/>
              <w:left w:w="120" w:type="dxa"/>
              <w:right w:w="120" w:type="dxa"/>
            </w:tcMar>
          </w:tcPr>
          <w:p>
            <w:pPr>
              <w:spacing w:after="0"/>
              <w:jc w:val="right"/>
            </w:pPr>
            <w:r>
              <w:rPr>
                <w:rFonts w:ascii="Calibri" w:hAnsi="Calibri"/>
                <w:color w:val="2D3748"/>
                <w:sz w:val="17"/>
              </w:rPr>
              <w:t>16,232,943</w:t>
            </w:r>
          </w:p>
        </w:tc>
        <w:tc>
          <w:tcPr>
            <w:tcW w:type="dxa" w:w="1872"/>
            <w:tcMar>
              <w:top w:w="100" w:type="dxa"/>
              <w:bottom w:w="100" w:type="dxa"/>
              <w:left w:w="120" w:type="dxa"/>
              <w:right w:w="120" w:type="dxa"/>
            </w:tcMar>
          </w:tcPr>
          <w:p>
            <w:pPr>
              <w:spacing w:after="0"/>
              <w:jc w:val="right"/>
            </w:pPr>
            <w:r>
              <w:rPr>
                <w:rFonts w:ascii="Calibri" w:hAnsi="Calibri"/>
                <w:color w:val="2D3748"/>
                <w:sz w:val="17"/>
              </w:rPr>
              <w:t>18,892,842</w:t>
            </w:r>
          </w:p>
        </w:tc>
        <w:tc>
          <w:tcPr>
            <w:tcW w:type="dxa" w:w="1872"/>
            <w:tcMar>
              <w:top w:w="100" w:type="dxa"/>
              <w:bottom w:w="100" w:type="dxa"/>
              <w:left w:w="120" w:type="dxa"/>
              <w:right w:w="120" w:type="dxa"/>
            </w:tcMar>
          </w:tcPr>
          <w:p>
            <w:pPr>
              <w:spacing w:after="0"/>
              <w:jc w:val="right"/>
            </w:pPr>
            <w:r>
              <w:rPr>
                <w:rFonts w:ascii="Calibri" w:hAnsi="Calibri"/>
                <w:color w:val="2D3748"/>
                <w:sz w:val="17"/>
              </w:rPr>
              <w:t>2,390,275</w:t>
            </w:r>
          </w:p>
        </w:tc>
        <w:tc>
          <w:tcPr>
            <w:tcW w:type="dxa" w:w="1872"/>
            <w:tcMar>
              <w:top w:w="100" w:type="dxa"/>
              <w:bottom w:w="100" w:type="dxa"/>
              <w:left w:w="120" w:type="dxa"/>
              <w:right w:w="120" w:type="dxa"/>
            </w:tcMar>
          </w:tcPr>
          <w:p>
            <w:pPr>
              <w:spacing w:after="0"/>
              <w:jc w:val="right"/>
            </w:pPr>
            <w:r>
              <w:rPr>
                <w:rFonts w:ascii="Calibri" w:hAnsi="Calibri"/>
                <w:b/>
                <w:color w:val="1B365D"/>
                <w:sz w:val="17"/>
              </w:rPr>
              <w:t>37,516,426</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Missing / NaN Values</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51.0% (columns)</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0.0%</w:t>
            </w:r>
          </w:p>
        </w:tc>
        <w:tc>
          <w:tcPr>
            <w:tcW w:type="dxa" w:w="1872"/>
            <w:shd w:val="clear" w:color="auto" w:fill="F7FAFC"/>
            <w:tcMar>
              <w:top w:w="100" w:type="dxa"/>
              <w:bottom w:w="100" w:type="dxa"/>
              <w:left w:w="120" w:type="dxa"/>
              <w:right w:w="120" w:type="dxa"/>
            </w:tcMar>
          </w:tcPr>
          <w:p>
            <w:pPr>
              <w:spacing w:after="0"/>
              <w:jc w:val="center"/>
            </w:pPr>
            <w:r>
              <w:rPr>
                <w:rFonts w:ascii="Calibri" w:hAnsi="Calibri"/>
                <w:color w:val="2D3748"/>
                <w:sz w:val="17"/>
              </w:rPr>
              <w:t>—</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Infinite Value Records</w:t>
            </w:r>
          </w:p>
        </w:tc>
        <w:tc>
          <w:tcPr>
            <w:tcW w:type="dxa" w:w="1872"/>
            <w:tcMar>
              <w:top w:w="100" w:type="dxa"/>
              <w:bottom w:w="100" w:type="dxa"/>
              <w:left w:w="120" w:type="dxa"/>
              <w:right w:w="120" w:type="dxa"/>
            </w:tcMar>
          </w:tcPr>
          <w:p>
            <w:pPr>
              <w:spacing w:after="0"/>
              <w:jc w:val="left"/>
            </w:pPr>
            <w:r>
              <w:rPr>
                <w:rFonts w:ascii="Calibri" w:hAnsi="Calibri"/>
                <w:color w:val="2D3748"/>
                <w:sz w:val="17"/>
              </w:rPr>
              <w:t>0.598% (97,345 rows)</w:t>
            </w:r>
          </w:p>
        </w:tc>
        <w:tc>
          <w:tcPr>
            <w:tcW w:type="dxa" w:w="1872"/>
            <w:tcMar>
              <w:top w:w="100" w:type="dxa"/>
              <w:bottom w:w="100" w:type="dxa"/>
              <w:left w:w="120" w:type="dxa"/>
              <w:right w:w="120" w:type="dxa"/>
            </w:tcMar>
          </w:tcPr>
          <w:p>
            <w:pPr>
              <w:spacing w:after="0"/>
              <w:jc w:val="right"/>
            </w:pPr>
            <w:r>
              <w:rPr>
                <w:rFonts w:ascii="Calibri" w:hAnsi="Calibri"/>
                <w:color w:val="2D3748"/>
                <w:sz w:val="17"/>
              </w:rPr>
              <w:t>0.0%</w:t>
            </w:r>
          </w:p>
        </w:tc>
        <w:tc>
          <w:tcPr>
            <w:tcW w:type="dxa" w:w="1872"/>
            <w:tcMar>
              <w:top w:w="100" w:type="dxa"/>
              <w:bottom w:w="100" w:type="dxa"/>
              <w:left w:w="120" w:type="dxa"/>
              <w:right w:w="120" w:type="dxa"/>
            </w:tcMar>
          </w:tcPr>
          <w:p>
            <w:pPr>
              <w:spacing w:after="0"/>
              <w:jc w:val="right"/>
            </w:pPr>
            <w:r>
              <w:rPr>
                <w:rFonts w:ascii="Calibri" w:hAnsi="Calibri"/>
                <w:color w:val="2D3748"/>
                <w:sz w:val="17"/>
              </w:rPr>
              <w:t>0.0%</w:t>
            </w:r>
          </w:p>
        </w:tc>
        <w:tc>
          <w:tcPr>
            <w:tcW w:type="dxa" w:w="1872"/>
            <w:tcMar>
              <w:top w:w="100" w:type="dxa"/>
              <w:bottom w:w="100" w:type="dxa"/>
              <w:left w:w="120" w:type="dxa"/>
              <w:right w:w="120" w:type="dxa"/>
            </w:tcMar>
          </w:tcPr>
          <w:p>
            <w:pPr>
              <w:spacing w:after="0"/>
              <w:jc w:val="right"/>
            </w:pPr>
            <w:r>
              <w:rPr>
                <w:rFonts w:ascii="Calibri" w:hAnsi="Calibri"/>
                <w:color w:val="2D3748"/>
                <w:sz w:val="17"/>
              </w:rPr>
              <w:t>97,345</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Duplicate Feature Vectors</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29.37% (4,767,615 rows)</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0.0% (post-dedup)</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0.0% (post-dedup)</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4,767,615</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Conflicting-Label Groups</w:t>
            </w:r>
          </w:p>
        </w:tc>
        <w:tc>
          <w:tcPr>
            <w:tcW w:type="dxa" w:w="1872"/>
            <w:tcMar>
              <w:top w:w="100" w:type="dxa"/>
              <w:bottom w:w="100" w:type="dxa"/>
              <w:left w:w="120" w:type="dxa"/>
              <w:right w:w="120" w:type="dxa"/>
            </w:tcMar>
          </w:tcPr>
          <w:p>
            <w:pPr>
              <w:spacing w:after="0"/>
              <w:jc w:val="left"/>
            </w:pPr>
            <w:r>
              <w:rPr>
                <w:rFonts w:ascii="Calibri" w:hAnsi="Calibri"/>
                <w:color w:val="2D3748"/>
                <w:sz w:val="17"/>
              </w:rPr>
              <w:t>1,570,760 rows</w:t>
            </w:r>
          </w:p>
        </w:tc>
        <w:tc>
          <w:tcPr>
            <w:tcW w:type="dxa" w:w="1872"/>
            <w:tcMar>
              <w:top w:w="100" w:type="dxa"/>
              <w:bottom w:w="100" w:type="dxa"/>
              <w:left w:w="120" w:type="dxa"/>
              <w:right w:w="120" w:type="dxa"/>
            </w:tcMar>
          </w:tcPr>
          <w:p>
            <w:pPr>
              <w:spacing w:after="0"/>
              <w:jc w:val="left"/>
            </w:pPr>
            <w:r>
              <w:rPr>
                <w:rFonts w:ascii="Calibri" w:hAnsi="Calibri"/>
                <w:color w:val="2D3748"/>
                <w:sz w:val="17"/>
              </w:rPr>
              <w:t>Resolved</w:t>
            </w:r>
          </w:p>
        </w:tc>
        <w:tc>
          <w:tcPr>
            <w:tcW w:type="dxa" w:w="1872"/>
            <w:tcMar>
              <w:top w:w="100" w:type="dxa"/>
              <w:bottom w:w="100" w:type="dxa"/>
              <w:left w:w="120" w:type="dxa"/>
              <w:right w:w="120" w:type="dxa"/>
            </w:tcMar>
          </w:tcPr>
          <w:p>
            <w:pPr>
              <w:spacing w:after="0"/>
              <w:jc w:val="left"/>
            </w:pPr>
            <w:r>
              <w:rPr>
                <w:rFonts w:ascii="Calibri" w:hAnsi="Calibri"/>
                <w:color w:val="2D3748"/>
                <w:sz w:val="17"/>
              </w:rPr>
              <w:t>Resolved</w:t>
            </w:r>
          </w:p>
        </w:tc>
        <w:tc>
          <w:tcPr>
            <w:tcW w:type="dxa" w:w="1872"/>
            <w:tcMar>
              <w:top w:w="100" w:type="dxa"/>
              <w:bottom w:w="100" w:type="dxa"/>
              <w:left w:w="120" w:type="dxa"/>
              <w:right w:w="120" w:type="dxa"/>
            </w:tcMar>
          </w:tcPr>
          <w:p>
            <w:pPr>
              <w:spacing w:after="0"/>
              <w:jc w:val="right"/>
            </w:pPr>
            <w:r>
              <w:rPr>
                <w:rFonts w:ascii="Calibri" w:hAnsi="Calibri"/>
                <w:color w:val="2D3748"/>
                <w:sz w:val="17"/>
              </w:rPr>
              <w:t>1,570,760</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Numerical Overflow Hazards</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Resolved ([-10^12, +10^12])</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Clean</w:t>
            </w:r>
          </w:p>
        </w:tc>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Clean</w:t>
            </w:r>
          </w:p>
        </w:tc>
        <w:tc>
          <w:tcPr>
            <w:tcW w:type="dxa" w:w="1872"/>
            <w:shd w:val="clear" w:color="auto" w:fill="F7FAFC"/>
            <w:tcMar>
              <w:top w:w="100" w:type="dxa"/>
              <w:bottom w:w="100" w:type="dxa"/>
              <w:left w:w="120" w:type="dxa"/>
              <w:right w:w="120" w:type="dxa"/>
            </w:tcMar>
          </w:tcPr>
          <w:p>
            <w:pPr>
              <w:spacing w:after="0"/>
              <w:jc w:val="center"/>
            </w:pPr>
            <w:r>
              <w:rPr>
                <w:rFonts w:ascii="Calibri" w:hAnsi="Calibri"/>
                <w:color w:val="2D3748"/>
                <w:sz w:val="17"/>
              </w:rPr>
              <w:t>—</w:t>
            </w:r>
          </w:p>
        </w:tc>
      </w:tr>
    </w:tbl>
    <w:p>
      <w:pPr>
        <w:spacing w:after="80"/>
      </w:pPr>
    </w:p>
    <w:p>
      <w:pPr>
        <w:keepNext/>
        <w:spacing w:after="60" w:line="276" w:lineRule="auto" w:before="160"/>
        <w:jc w:val="center"/>
      </w:pPr>
      <w:r>
        <w:rPr>
          <w:b/>
          <w:color w:val="1B365D"/>
          <w:sz w:val="20"/>
        </w:rPr>
        <w:t>Table 4: Label Mapping Matrix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rPr>
          <w:tblHeader/>
          <w:cantSplit/>
        </w:trPr>
        <w:tc>
          <w:tcPr>
            <w:tcW w:type="dxa" w:w="2340"/>
            <w:shd w:val="clear" w:color="auto" w:fill="1B365D"/>
            <w:tcMar>
              <w:top w:w="140" w:type="dxa"/>
              <w:bottom w:w="140" w:type="dxa"/>
              <w:left w:w="140" w:type="dxa"/>
              <w:right w:w="140" w:type="dxa"/>
            </w:tcMar>
          </w:tcPr>
          <w:p>
            <w:pPr>
              <w:spacing w:after="0"/>
              <w:jc w:val="center"/>
            </w:pPr>
            <w:r>
              <w:rPr>
                <w:rFonts w:ascii="Calibri" w:hAnsi="Calibri"/>
                <w:b/>
                <w:color w:val="FFFFFF"/>
                <w:sz w:val="18"/>
              </w:rPr>
              <w:t>Canonical Attack Family</w:t>
            </w:r>
          </w:p>
        </w:tc>
        <w:tc>
          <w:tcPr>
            <w:tcW w:type="dxa" w:w="2340"/>
            <w:shd w:val="clear" w:color="auto" w:fill="1B365D"/>
            <w:tcMar>
              <w:top w:w="140" w:type="dxa"/>
              <w:bottom w:w="140" w:type="dxa"/>
              <w:left w:w="140" w:type="dxa"/>
              <w:right w:w="140" w:type="dxa"/>
            </w:tcMar>
          </w:tcPr>
          <w:p>
            <w:pPr>
              <w:spacing w:after="0"/>
              <w:jc w:val="center"/>
            </w:pPr>
            <w:r>
              <w:rPr>
                <w:rFonts w:ascii="Calibri" w:hAnsi="Calibri"/>
                <w:b/>
                <w:color w:val="FFFFFF"/>
                <w:sz w:val="18"/>
              </w:rPr>
              <w:t>CSE-CIC-IDS2018 Labels</w:t>
            </w:r>
          </w:p>
        </w:tc>
        <w:tc>
          <w:tcPr>
            <w:tcW w:type="dxa" w:w="2340"/>
            <w:shd w:val="clear" w:color="auto" w:fill="1B365D"/>
            <w:tcMar>
              <w:top w:w="140" w:type="dxa"/>
              <w:bottom w:w="140" w:type="dxa"/>
              <w:left w:w="140" w:type="dxa"/>
              <w:right w:w="140" w:type="dxa"/>
            </w:tcMar>
          </w:tcPr>
          <w:p>
            <w:pPr>
              <w:spacing w:after="0"/>
              <w:jc w:val="center"/>
            </w:pPr>
            <w:r>
              <w:rPr>
                <w:rFonts w:ascii="Calibri" w:hAnsi="Calibri"/>
                <w:b/>
                <w:color w:val="FFFFFF"/>
                <w:sz w:val="18"/>
              </w:rPr>
              <w:t>UNSW-NB15 Labels</w:t>
            </w:r>
          </w:p>
        </w:tc>
        <w:tc>
          <w:tcPr>
            <w:tcW w:type="dxa" w:w="2340"/>
            <w:shd w:val="clear" w:color="auto" w:fill="1B365D"/>
            <w:tcMar>
              <w:top w:w="140" w:type="dxa"/>
              <w:bottom w:w="140" w:type="dxa"/>
              <w:left w:w="140" w:type="dxa"/>
              <w:right w:w="140" w:type="dxa"/>
            </w:tcMar>
          </w:tcPr>
          <w:p>
            <w:pPr>
              <w:spacing w:after="0"/>
              <w:jc w:val="center"/>
            </w:pPr>
            <w:r>
              <w:rPr>
                <w:rFonts w:ascii="Calibri" w:hAnsi="Calibri"/>
                <w:b/>
                <w:color w:val="FFFFFF"/>
                <w:sz w:val="18"/>
              </w:rPr>
              <w:t>NF-v2 Binary Label</w:t>
            </w:r>
          </w:p>
        </w:tc>
      </w:tr>
      <w:tr>
        <w:trPr>
          <w:cantSplit/>
        </w:trPr>
        <w:tc>
          <w:tcPr>
            <w:tcW w:type="dxa" w:w="2340"/>
            <w:tcMar>
              <w:top w:w="100" w:type="dxa"/>
              <w:bottom w:w="100" w:type="dxa"/>
              <w:left w:w="120" w:type="dxa"/>
              <w:right w:w="120" w:type="dxa"/>
            </w:tcMar>
          </w:tcPr>
          <w:p>
            <w:pPr>
              <w:spacing w:after="0"/>
              <w:jc w:val="left"/>
            </w:pPr>
            <w:r>
              <w:rPr>
                <w:rFonts w:ascii="Calibri" w:hAnsi="Calibri"/>
                <w:color w:val="2D3748"/>
                <w:sz w:val="17"/>
              </w:rPr>
              <w:t>BENIGN</w:t>
            </w:r>
          </w:p>
        </w:tc>
        <w:tc>
          <w:tcPr>
            <w:tcW w:type="dxa" w:w="2340"/>
            <w:tcMar>
              <w:top w:w="100" w:type="dxa"/>
              <w:bottom w:w="100" w:type="dxa"/>
              <w:left w:w="120" w:type="dxa"/>
              <w:right w:w="120" w:type="dxa"/>
            </w:tcMar>
          </w:tcPr>
          <w:p>
            <w:pPr>
              <w:spacing w:after="0"/>
              <w:jc w:val="left"/>
            </w:pPr>
            <w:r>
              <w:rPr>
                <w:rFonts w:ascii="Calibri" w:hAnsi="Calibri"/>
                <w:color w:val="2D3748"/>
                <w:sz w:val="17"/>
              </w:rPr>
              <w:t>Benign</w:t>
            </w:r>
          </w:p>
        </w:tc>
        <w:tc>
          <w:tcPr>
            <w:tcW w:type="dxa" w:w="2340"/>
            <w:tcMar>
              <w:top w:w="100" w:type="dxa"/>
              <w:bottom w:w="100" w:type="dxa"/>
              <w:left w:w="120" w:type="dxa"/>
              <w:right w:w="120" w:type="dxa"/>
            </w:tcMar>
          </w:tcPr>
          <w:p>
            <w:pPr>
              <w:spacing w:after="0"/>
              <w:jc w:val="left"/>
            </w:pPr>
            <w:r>
              <w:rPr>
                <w:rFonts w:ascii="Calibri" w:hAnsi="Calibri"/>
                <w:color w:val="2D3748"/>
                <w:sz w:val="17"/>
              </w:rPr>
              <w:t>Normal</w:t>
            </w:r>
          </w:p>
        </w:tc>
        <w:tc>
          <w:tcPr>
            <w:tcW w:type="dxa" w:w="2340"/>
            <w:tcMar>
              <w:top w:w="100" w:type="dxa"/>
              <w:bottom w:w="100" w:type="dxa"/>
              <w:left w:w="120" w:type="dxa"/>
              <w:right w:w="120" w:type="dxa"/>
            </w:tcMar>
          </w:tcPr>
          <w:p>
            <w:pPr>
              <w:spacing w:after="0"/>
              <w:jc w:val="right"/>
            </w:pPr>
            <w:r>
              <w:rPr>
                <w:rFonts w:ascii="Calibri" w:hAnsi="Calibri"/>
                <w:color w:val="2D3748"/>
                <w:sz w:val="17"/>
              </w:rPr>
              <w:t>0</w:t>
            </w:r>
          </w:p>
        </w:tc>
      </w:tr>
      <w:tr>
        <w:trPr>
          <w:cantSplit/>
        </w:trPr>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DoS</w:t>
            </w:r>
          </w:p>
        </w:tc>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DoS-Slowloris, SlowHTTPTest, Hulk, GoldenEye</w:t>
            </w:r>
          </w:p>
        </w:tc>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DoS</w:t>
            </w:r>
          </w:p>
        </w:tc>
        <w:tc>
          <w:tcPr>
            <w:tcW w:type="dxa" w:w="2340"/>
            <w:shd w:val="clear" w:color="auto" w:fill="F7FAFC"/>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tcMar>
              <w:top w:w="100" w:type="dxa"/>
              <w:bottom w:w="100" w:type="dxa"/>
              <w:left w:w="120" w:type="dxa"/>
              <w:right w:w="120" w:type="dxa"/>
            </w:tcMar>
          </w:tcPr>
          <w:p>
            <w:pPr>
              <w:spacing w:after="0"/>
              <w:jc w:val="left"/>
            </w:pPr>
            <w:r>
              <w:rPr>
                <w:rFonts w:ascii="Calibri" w:hAnsi="Calibri"/>
                <w:color w:val="2D3748"/>
                <w:sz w:val="17"/>
              </w:rPr>
              <w:t>DDoS</w:t>
            </w:r>
          </w:p>
        </w:tc>
        <w:tc>
          <w:tcPr>
            <w:tcW w:type="dxa" w:w="2340"/>
            <w:tcMar>
              <w:top w:w="100" w:type="dxa"/>
              <w:bottom w:w="100" w:type="dxa"/>
              <w:left w:w="120" w:type="dxa"/>
              <w:right w:w="120" w:type="dxa"/>
            </w:tcMar>
          </w:tcPr>
          <w:p>
            <w:pPr>
              <w:spacing w:after="0"/>
              <w:jc w:val="left"/>
            </w:pPr>
            <w:r>
              <w:rPr>
                <w:rFonts w:ascii="Calibri" w:hAnsi="Calibri"/>
                <w:color w:val="2D3748"/>
                <w:sz w:val="17"/>
              </w:rPr>
              <w:t>DDoS-LOIC-HTTP, HOIC, LOIC-UDP</w:t>
            </w:r>
          </w:p>
        </w:tc>
        <w:tc>
          <w:tcPr>
            <w:tcW w:type="dxa" w:w="2340"/>
            <w:tcMar>
              <w:top w:w="100" w:type="dxa"/>
              <w:bottom w:w="100" w:type="dxa"/>
              <w:left w:w="120" w:type="dxa"/>
              <w:right w:w="120" w:type="dxa"/>
            </w:tcMar>
          </w:tcPr>
          <w:p>
            <w:pPr>
              <w:spacing w:after="0"/>
              <w:jc w:val="center"/>
            </w:pPr>
            <w:r>
              <w:rPr>
                <w:rFonts w:ascii="Calibri" w:hAnsi="Calibri"/>
                <w:color w:val="2D3748"/>
                <w:sz w:val="17"/>
              </w:rPr>
              <w:t>—</w:t>
            </w:r>
          </w:p>
        </w:tc>
        <w:tc>
          <w:tcPr>
            <w:tcW w:type="dxa" w:w="2340"/>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BRUTE_FORCE</w:t>
            </w:r>
          </w:p>
        </w:tc>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FTP-BruteForce, SSH-Bruteforce</w:t>
            </w:r>
          </w:p>
        </w:tc>
        <w:tc>
          <w:tcPr>
            <w:tcW w:type="dxa" w:w="2340"/>
            <w:shd w:val="clear" w:color="auto" w:fill="F7FAFC"/>
            <w:tcMar>
              <w:top w:w="100" w:type="dxa"/>
              <w:bottom w:w="100" w:type="dxa"/>
              <w:left w:w="120" w:type="dxa"/>
              <w:right w:w="120" w:type="dxa"/>
            </w:tcMar>
          </w:tcPr>
          <w:p>
            <w:pPr>
              <w:spacing w:after="0"/>
              <w:jc w:val="center"/>
            </w:pPr>
            <w:r>
              <w:rPr>
                <w:rFonts w:ascii="Calibri" w:hAnsi="Calibri"/>
                <w:color w:val="2D3748"/>
                <w:sz w:val="17"/>
              </w:rPr>
              <w:t>—</w:t>
            </w:r>
          </w:p>
        </w:tc>
        <w:tc>
          <w:tcPr>
            <w:tcW w:type="dxa" w:w="2340"/>
            <w:shd w:val="clear" w:color="auto" w:fill="F7FAFC"/>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tcMar>
              <w:top w:w="100" w:type="dxa"/>
              <w:bottom w:w="100" w:type="dxa"/>
              <w:left w:w="120" w:type="dxa"/>
              <w:right w:w="120" w:type="dxa"/>
            </w:tcMar>
          </w:tcPr>
          <w:p>
            <w:pPr>
              <w:spacing w:after="0"/>
              <w:jc w:val="left"/>
            </w:pPr>
            <w:r>
              <w:rPr>
                <w:rFonts w:ascii="Calibri" w:hAnsi="Calibri"/>
                <w:color w:val="2D3748"/>
                <w:sz w:val="17"/>
              </w:rPr>
              <w:t>WEB_ATTACK</w:t>
            </w:r>
          </w:p>
        </w:tc>
        <w:tc>
          <w:tcPr>
            <w:tcW w:type="dxa" w:w="2340"/>
            <w:tcMar>
              <w:top w:w="100" w:type="dxa"/>
              <w:bottom w:w="100" w:type="dxa"/>
              <w:left w:w="120" w:type="dxa"/>
              <w:right w:w="120" w:type="dxa"/>
            </w:tcMar>
          </w:tcPr>
          <w:p>
            <w:pPr>
              <w:spacing w:after="0"/>
              <w:jc w:val="left"/>
            </w:pPr>
            <w:r>
              <w:rPr>
                <w:rFonts w:ascii="Calibri" w:hAnsi="Calibri"/>
                <w:color w:val="2D3748"/>
                <w:sz w:val="17"/>
              </w:rPr>
              <w:t>Brute Force -Web, Brute Force -XSS, SQL Injection</w:t>
            </w:r>
          </w:p>
        </w:tc>
        <w:tc>
          <w:tcPr>
            <w:tcW w:type="dxa" w:w="2340"/>
            <w:tcMar>
              <w:top w:w="100" w:type="dxa"/>
              <w:bottom w:w="100" w:type="dxa"/>
              <w:left w:w="120" w:type="dxa"/>
              <w:right w:w="120" w:type="dxa"/>
            </w:tcMar>
          </w:tcPr>
          <w:p>
            <w:pPr>
              <w:spacing w:after="0"/>
              <w:jc w:val="center"/>
            </w:pPr>
            <w:r>
              <w:rPr>
                <w:rFonts w:ascii="Calibri" w:hAnsi="Calibri"/>
                <w:color w:val="2D3748"/>
                <w:sz w:val="17"/>
              </w:rPr>
              <w:t>—</w:t>
            </w:r>
          </w:p>
        </w:tc>
        <w:tc>
          <w:tcPr>
            <w:tcW w:type="dxa" w:w="2340"/>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BOTNET</w:t>
            </w:r>
          </w:p>
        </w:tc>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Bot</w:t>
            </w:r>
          </w:p>
        </w:tc>
        <w:tc>
          <w:tcPr>
            <w:tcW w:type="dxa" w:w="2340"/>
            <w:shd w:val="clear" w:color="auto" w:fill="F7FAFC"/>
            <w:tcMar>
              <w:top w:w="100" w:type="dxa"/>
              <w:bottom w:w="100" w:type="dxa"/>
              <w:left w:w="120" w:type="dxa"/>
              <w:right w:w="120" w:type="dxa"/>
            </w:tcMar>
          </w:tcPr>
          <w:p>
            <w:pPr>
              <w:spacing w:after="0"/>
              <w:jc w:val="center"/>
            </w:pPr>
            <w:r>
              <w:rPr>
                <w:rFonts w:ascii="Calibri" w:hAnsi="Calibri"/>
                <w:color w:val="2D3748"/>
                <w:sz w:val="17"/>
              </w:rPr>
              <w:t>—</w:t>
            </w:r>
          </w:p>
        </w:tc>
        <w:tc>
          <w:tcPr>
            <w:tcW w:type="dxa" w:w="2340"/>
            <w:shd w:val="clear" w:color="auto" w:fill="F7FAFC"/>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tcMar>
              <w:top w:w="100" w:type="dxa"/>
              <w:bottom w:w="100" w:type="dxa"/>
              <w:left w:w="120" w:type="dxa"/>
              <w:right w:w="120" w:type="dxa"/>
            </w:tcMar>
          </w:tcPr>
          <w:p>
            <w:pPr>
              <w:spacing w:after="0"/>
              <w:jc w:val="left"/>
            </w:pPr>
            <w:r>
              <w:rPr>
                <w:rFonts w:ascii="Calibri" w:hAnsi="Calibri"/>
                <w:color w:val="2D3748"/>
                <w:sz w:val="17"/>
              </w:rPr>
              <w:t>INFILTRATION</w:t>
            </w:r>
          </w:p>
        </w:tc>
        <w:tc>
          <w:tcPr>
            <w:tcW w:type="dxa" w:w="2340"/>
            <w:tcMar>
              <w:top w:w="100" w:type="dxa"/>
              <w:bottom w:w="100" w:type="dxa"/>
              <w:left w:w="120" w:type="dxa"/>
              <w:right w:w="120" w:type="dxa"/>
            </w:tcMar>
          </w:tcPr>
          <w:p>
            <w:pPr>
              <w:spacing w:after="0"/>
              <w:jc w:val="left"/>
            </w:pPr>
            <w:r>
              <w:rPr>
                <w:rFonts w:ascii="Calibri" w:hAnsi="Calibri"/>
                <w:color w:val="2D3748"/>
                <w:sz w:val="17"/>
              </w:rPr>
              <w:t>Infilteration</w:t>
            </w:r>
          </w:p>
        </w:tc>
        <w:tc>
          <w:tcPr>
            <w:tcW w:type="dxa" w:w="2340"/>
            <w:tcMar>
              <w:top w:w="100" w:type="dxa"/>
              <w:bottom w:w="100" w:type="dxa"/>
              <w:left w:w="120" w:type="dxa"/>
              <w:right w:w="120" w:type="dxa"/>
            </w:tcMar>
          </w:tcPr>
          <w:p>
            <w:pPr>
              <w:spacing w:after="0"/>
              <w:jc w:val="center"/>
            </w:pPr>
            <w:r>
              <w:rPr>
                <w:rFonts w:ascii="Calibri" w:hAnsi="Calibri"/>
                <w:color w:val="2D3748"/>
                <w:sz w:val="17"/>
              </w:rPr>
              <w:t>—</w:t>
            </w:r>
          </w:p>
        </w:tc>
        <w:tc>
          <w:tcPr>
            <w:tcW w:type="dxa" w:w="2340"/>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EXPLOITS</w:t>
            </w:r>
          </w:p>
        </w:tc>
        <w:tc>
          <w:tcPr>
            <w:tcW w:type="dxa" w:w="2340"/>
            <w:shd w:val="clear" w:color="auto" w:fill="F7FAFC"/>
            <w:tcMar>
              <w:top w:w="100" w:type="dxa"/>
              <w:bottom w:w="100" w:type="dxa"/>
              <w:left w:w="120" w:type="dxa"/>
              <w:right w:w="120" w:type="dxa"/>
            </w:tcMar>
          </w:tcPr>
          <w:p>
            <w:pPr>
              <w:spacing w:after="0"/>
              <w:jc w:val="center"/>
            </w:pPr>
            <w:r>
              <w:rPr>
                <w:rFonts w:ascii="Calibri" w:hAnsi="Calibri"/>
                <w:color w:val="2D3748"/>
                <w:sz w:val="17"/>
              </w:rPr>
              <w:t>—</w:t>
            </w:r>
          </w:p>
        </w:tc>
        <w:tc>
          <w:tcPr>
            <w:tcW w:type="dxa" w:w="2340"/>
            <w:shd w:val="clear" w:color="auto" w:fill="F7FAFC"/>
            <w:tcMar>
              <w:top w:w="100" w:type="dxa"/>
              <w:bottom w:w="100" w:type="dxa"/>
              <w:left w:w="120" w:type="dxa"/>
              <w:right w:w="120" w:type="dxa"/>
            </w:tcMar>
          </w:tcPr>
          <w:p>
            <w:pPr>
              <w:spacing w:after="0"/>
              <w:jc w:val="left"/>
            </w:pPr>
            <w:r>
              <w:rPr>
                <w:rFonts w:ascii="Calibri" w:hAnsi="Calibri"/>
                <w:color w:val="2D3748"/>
                <w:sz w:val="17"/>
              </w:rPr>
              <w:t>Exploits, Fuzzers, Generic</w:t>
            </w:r>
          </w:p>
        </w:tc>
        <w:tc>
          <w:tcPr>
            <w:tcW w:type="dxa" w:w="2340"/>
            <w:shd w:val="clear" w:color="auto" w:fill="F7FAFC"/>
            <w:tcMar>
              <w:top w:w="100" w:type="dxa"/>
              <w:bottom w:w="100" w:type="dxa"/>
              <w:left w:w="120" w:type="dxa"/>
              <w:right w:w="120" w:type="dxa"/>
            </w:tcMar>
          </w:tcPr>
          <w:p>
            <w:pPr>
              <w:spacing w:after="0"/>
              <w:jc w:val="right"/>
            </w:pPr>
            <w:r>
              <w:rPr>
                <w:rFonts w:ascii="Calibri" w:hAnsi="Calibri"/>
                <w:color w:val="2D3748"/>
                <w:sz w:val="17"/>
              </w:rPr>
              <w:t>1</w:t>
            </w:r>
          </w:p>
        </w:tc>
      </w:tr>
      <w:tr>
        <w:trPr>
          <w:cantSplit/>
        </w:trPr>
        <w:tc>
          <w:tcPr>
            <w:tcW w:type="dxa" w:w="2340"/>
            <w:tcMar>
              <w:top w:w="100" w:type="dxa"/>
              <w:bottom w:w="100" w:type="dxa"/>
              <w:left w:w="120" w:type="dxa"/>
              <w:right w:w="120" w:type="dxa"/>
            </w:tcMar>
          </w:tcPr>
          <w:p>
            <w:pPr>
              <w:spacing w:after="0"/>
              <w:jc w:val="left"/>
            </w:pPr>
            <w:r>
              <w:rPr>
                <w:rFonts w:ascii="Calibri" w:hAnsi="Calibri"/>
                <w:color w:val="2D3748"/>
                <w:sz w:val="17"/>
              </w:rPr>
              <w:t>RECONNAISSANCE</w:t>
            </w:r>
          </w:p>
        </w:tc>
        <w:tc>
          <w:tcPr>
            <w:tcW w:type="dxa" w:w="2340"/>
            <w:tcMar>
              <w:top w:w="100" w:type="dxa"/>
              <w:bottom w:w="100" w:type="dxa"/>
              <w:left w:w="120" w:type="dxa"/>
              <w:right w:w="120" w:type="dxa"/>
            </w:tcMar>
          </w:tcPr>
          <w:p>
            <w:pPr>
              <w:spacing w:after="0"/>
              <w:jc w:val="center"/>
            </w:pPr>
            <w:r>
              <w:rPr>
                <w:rFonts w:ascii="Calibri" w:hAnsi="Calibri"/>
                <w:color w:val="2D3748"/>
                <w:sz w:val="17"/>
              </w:rPr>
              <w:t>—</w:t>
            </w:r>
          </w:p>
        </w:tc>
        <w:tc>
          <w:tcPr>
            <w:tcW w:type="dxa" w:w="2340"/>
            <w:tcMar>
              <w:top w:w="100" w:type="dxa"/>
              <w:bottom w:w="100" w:type="dxa"/>
              <w:left w:w="120" w:type="dxa"/>
              <w:right w:w="120" w:type="dxa"/>
            </w:tcMar>
          </w:tcPr>
          <w:p>
            <w:pPr>
              <w:spacing w:after="0"/>
              <w:jc w:val="left"/>
            </w:pPr>
            <w:r>
              <w:rPr>
                <w:rFonts w:ascii="Calibri" w:hAnsi="Calibri"/>
                <w:color w:val="2D3748"/>
                <w:sz w:val="17"/>
              </w:rPr>
              <w:t>Reconnaissance, Analysis</w:t>
            </w:r>
          </w:p>
        </w:tc>
        <w:tc>
          <w:tcPr>
            <w:tcW w:type="dxa" w:w="2340"/>
            <w:tcMar>
              <w:top w:w="100" w:type="dxa"/>
              <w:bottom w:w="100" w:type="dxa"/>
              <w:left w:w="120" w:type="dxa"/>
              <w:right w:w="120" w:type="dxa"/>
            </w:tcMar>
          </w:tcPr>
          <w:p>
            <w:pPr>
              <w:spacing w:after="0"/>
              <w:jc w:val="right"/>
            </w:pPr>
            <w:r>
              <w:rPr>
                <w:rFonts w:ascii="Calibri" w:hAnsi="Calibri"/>
                <w:color w:val="2D3748"/>
                <w:sz w:val="17"/>
              </w:rPr>
              <w:t>1</w:t>
            </w:r>
          </w:p>
        </w:tc>
      </w:tr>
    </w:tbl>
    <w:p>
      <w:pPr>
        <w:spacing w:after="80"/>
      </w:pPr>
    </w:p>
    <w:p>
      <w:pPr>
        <w:spacing w:after="80" w:line="276" w:lineRule="auto"/>
      </w:pPr>
      <w:r>
        <w:rPr>
          <w:sz w:val="21"/>
        </w:rPr>
        <w:t>Conflicting-label groups were resolved using a majority-label rule for the subsequent experimental pipeline.</w:t>
      </w:r>
    </w:p>
    <w:p>
      <w:pPr>
        <w:keepNext/>
        <w:spacing w:before="200" w:after="60"/>
      </w:pPr>
      <w:r>
        <w:rPr>
          <w:rFonts w:ascii="Calibri" w:hAnsi="Calibri"/>
          <w:b/>
          <w:color w:val="2C5282"/>
          <w:sz w:val="23"/>
        </w:rPr>
        <w:t>4.3 Feature Selection and Canonical Representation</w:t>
      </w:r>
    </w:p>
    <w:p>
      <w:pPr>
        <w:spacing w:after="80" w:line="276" w:lineRule="auto"/>
      </w:pPr>
      <w:r>
        <w:rPr>
          <w:sz w:val="21"/>
        </w:rPr>
        <w:t>Features were grouped into a 6-group semantic taxonomy (Identity/Relational, Temporal Dynamics, Volume Metrics, Directional Rates, Statistical Behavior, and Ground Truth Labels). Feature selection utilized a 5-signal ensemble (Mutual Information, ANOVA F-statistic, Random Forest Gini Importance, XGBoost Importance, and Permutation Importance) computed exclusively on the 70% training partition.</w:t>
      </w:r>
    </w:p>
    <w:p>
      <w:pPr>
        <w:keepNext/>
        <w:spacing w:after="60" w:line="276" w:lineRule="auto" w:before="160"/>
        <w:jc w:val="center"/>
      </w:pPr>
      <w:r>
        <w:rPr>
          <w:b/>
          <w:color w:val="1B365D"/>
          <w:sz w:val="20"/>
        </w:rPr>
        <w:t>Table 5: Feature Elimination Summary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tblHeader/>
          <w:cantSplit/>
        </w:trPr>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Dataset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Original Feature Count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Excluded Identifiers</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Removed Redundant Features</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Final Selected Features</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1872"/>
            <w:tcMar>
              <w:top w:w="100" w:type="dxa"/>
              <w:bottom w:w="100" w:type="dxa"/>
              <w:left w:w="120" w:type="dxa"/>
              <w:right w:w="120" w:type="dxa"/>
            </w:tcMar>
          </w:tcPr>
          <w:p>
            <w:pPr>
              <w:spacing w:after="0"/>
              <w:jc w:val="right"/>
            </w:pPr>
            <w:r>
              <w:rPr>
                <w:rFonts w:ascii="Calibri" w:hAnsi="Calibri"/>
                <w:color w:val="2D3748"/>
                <w:sz w:val="17"/>
              </w:rPr>
              <w:t>43</w:t>
            </w:r>
          </w:p>
        </w:tc>
        <w:tc>
          <w:tcPr>
            <w:tcW w:type="dxa" w:w="1872"/>
            <w:tcMar>
              <w:top w:w="100" w:type="dxa"/>
              <w:bottom w:w="100" w:type="dxa"/>
              <w:left w:w="120" w:type="dxa"/>
              <w:right w:w="120" w:type="dxa"/>
            </w:tcMar>
          </w:tcPr>
          <w:p>
            <w:pPr>
              <w:spacing w:after="0"/>
              <w:jc w:val="right"/>
            </w:pPr>
            <w:r>
              <w:rPr>
                <w:rFonts w:ascii="Calibri" w:hAnsi="Calibri"/>
                <w:color w:val="2D3748"/>
                <w:sz w:val="17"/>
              </w:rPr>
              <w:t>3</w:t>
            </w:r>
          </w:p>
        </w:tc>
        <w:tc>
          <w:tcPr>
            <w:tcW w:type="dxa" w:w="1872"/>
            <w:tcMar>
              <w:top w:w="100" w:type="dxa"/>
              <w:bottom w:w="100" w:type="dxa"/>
              <w:left w:w="120" w:type="dxa"/>
              <w:right w:w="120" w:type="dxa"/>
            </w:tcMar>
          </w:tcPr>
          <w:p>
            <w:pPr>
              <w:spacing w:after="0"/>
              <w:jc w:val="right"/>
            </w:pPr>
            <w:r>
              <w:rPr>
                <w:rFonts w:ascii="Calibri" w:hAnsi="Calibri"/>
                <w:color w:val="2D3748"/>
                <w:sz w:val="17"/>
              </w:rPr>
              <w:t>15</w:t>
            </w:r>
          </w:p>
        </w:tc>
        <w:tc>
          <w:tcPr>
            <w:tcW w:type="dxa" w:w="1872"/>
            <w:tcMar>
              <w:top w:w="100" w:type="dxa"/>
              <w:bottom w:w="100" w:type="dxa"/>
              <w:left w:w="120" w:type="dxa"/>
              <w:right w:w="120" w:type="dxa"/>
            </w:tcMar>
          </w:tcPr>
          <w:p>
            <w:pPr>
              <w:spacing w:after="0"/>
              <w:jc w:val="right"/>
            </w:pPr>
            <w:r>
              <w:rPr>
                <w:rFonts w:ascii="Calibri" w:hAnsi="Calibri"/>
                <w:b/>
                <w:color w:val="1B365D"/>
                <w:sz w:val="17"/>
              </w:rPr>
              <w:t>25</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43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15</w:t>
            </w:r>
          </w:p>
        </w:tc>
        <w:tc>
          <w:tcPr>
            <w:tcW w:type="dxa" w:w="1872"/>
            <w:shd w:val="clear" w:color="auto" w:fill="F7FAFC"/>
            <w:tcMar>
              <w:top w:w="100" w:type="dxa"/>
              <w:bottom w:w="100" w:type="dxa"/>
              <w:left w:w="120" w:type="dxa"/>
              <w:right w:w="120" w:type="dxa"/>
            </w:tcMar>
          </w:tcPr>
          <w:p>
            <w:pPr>
              <w:spacing w:after="0"/>
              <w:jc w:val="right"/>
            </w:pPr>
            <w:r>
              <w:rPr>
                <w:rFonts w:ascii="Calibri" w:hAnsi="Calibri"/>
                <w:b/>
                <w:color w:val="1B365D"/>
                <w:sz w:val="17"/>
              </w:rPr>
              <w:t>25</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1872"/>
            <w:tcMar>
              <w:top w:w="100" w:type="dxa"/>
              <w:bottom w:w="100" w:type="dxa"/>
              <w:left w:w="120" w:type="dxa"/>
              <w:right w:w="120" w:type="dxa"/>
            </w:tcMar>
          </w:tcPr>
          <w:p>
            <w:pPr>
              <w:spacing w:after="0"/>
              <w:jc w:val="right"/>
            </w:pPr>
            <w:r>
              <w:rPr>
                <w:rFonts w:ascii="Calibri" w:hAnsi="Calibri"/>
                <w:color w:val="2D3748"/>
                <w:sz w:val="17"/>
              </w:rPr>
              <w:t>83</w:t>
            </w:r>
          </w:p>
        </w:tc>
        <w:tc>
          <w:tcPr>
            <w:tcW w:type="dxa" w:w="1872"/>
            <w:tcMar>
              <w:top w:w="100" w:type="dxa"/>
              <w:bottom w:w="100" w:type="dxa"/>
              <w:left w:w="120" w:type="dxa"/>
              <w:right w:w="120" w:type="dxa"/>
            </w:tcMar>
          </w:tcPr>
          <w:p>
            <w:pPr>
              <w:spacing w:after="0"/>
              <w:jc w:val="right"/>
            </w:pPr>
            <w:r>
              <w:rPr>
                <w:rFonts w:ascii="Calibri" w:hAnsi="Calibri"/>
                <w:color w:val="2D3748"/>
                <w:sz w:val="17"/>
              </w:rPr>
              <w:t>4</w:t>
            </w:r>
          </w:p>
        </w:tc>
        <w:tc>
          <w:tcPr>
            <w:tcW w:type="dxa" w:w="1872"/>
            <w:tcMar>
              <w:top w:w="100" w:type="dxa"/>
              <w:bottom w:w="100" w:type="dxa"/>
              <w:left w:w="120" w:type="dxa"/>
              <w:right w:w="120" w:type="dxa"/>
            </w:tcMar>
          </w:tcPr>
          <w:p>
            <w:pPr>
              <w:spacing w:after="0"/>
              <w:jc w:val="right"/>
            </w:pPr>
            <w:r>
              <w:rPr>
                <w:rFonts w:ascii="Calibri" w:hAnsi="Calibri"/>
                <w:color w:val="2D3748"/>
                <w:sz w:val="17"/>
              </w:rPr>
              <w:t>51</w:t>
            </w:r>
          </w:p>
        </w:tc>
        <w:tc>
          <w:tcPr>
            <w:tcW w:type="dxa" w:w="1872"/>
            <w:tcMar>
              <w:top w:w="100" w:type="dxa"/>
              <w:bottom w:w="100" w:type="dxa"/>
              <w:left w:w="120" w:type="dxa"/>
              <w:right w:w="120" w:type="dxa"/>
            </w:tcMar>
          </w:tcPr>
          <w:p>
            <w:pPr>
              <w:spacing w:after="0"/>
              <w:jc w:val="right"/>
            </w:pPr>
            <w:r>
              <w:rPr>
                <w:rFonts w:ascii="Calibri" w:hAnsi="Calibri"/>
                <w:b/>
                <w:color w:val="1B365D"/>
                <w:sz w:val="17"/>
              </w:rPr>
              <w:t>28</w:t>
            </w:r>
          </w:p>
        </w:tc>
      </w:tr>
    </w:tbl>
    <w:p>
      <w:pPr>
        <w:spacing w:after="80"/>
      </w:pPr>
    </w:p>
    <w:p>
      <w:pPr>
        <w:keepNext/>
        <w:spacing w:after="60" w:line="276" w:lineRule="auto" w:before="160"/>
        <w:jc w:val="center"/>
      </w:pPr>
      <w:r>
        <w:rPr>
          <w:b/>
          <w:color w:val="1B365D"/>
          <w:sz w:val="20"/>
        </w:rPr>
        <w:t>Table 6: Feature Selection Validation Performance (LightGBM Baseline)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tblHeader/>
          <w:cantSplit/>
        </w:trPr>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Dataset</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Full-Feature Macro F1</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Selected-Feature Macro F1</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Retention %</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Status</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1872"/>
            <w:tcMar>
              <w:top w:w="100" w:type="dxa"/>
              <w:bottom w:w="100" w:type="dxa"/>
              <w:left w:w="120" w:type="dxa"/>
              <w:right w:w="120" w:type="dxa"/>
            </w:tcMar>
          </w:tcPr>
          <w:p>
            <w:pPr>
              <w:spacing w:after="0"/>
              <w:jc w:val="right"/>
            </w:pPr>
            <w:r>
              <w:rPr>
                <w:rFonts w:ascii="Calibri" w:hAnsi="Calibri"/>
                <w:color w:val="2D3748"/>
                <w:sz w:val="17"/>
              </w:rPr>
              <w:t>0.980321</w:t>
            </w:r>
          </w:p>
        </w:tc>
        <w:tc>
          <w:tcPr>
            <w:tcW w:type="dxa" w:w="1872"/>
            <w:tcMar>
              <w:top w:w="100" w:type="dxa"/>
              <w:bottom w:w="100" w:type="dxa"/>
              <w:left w:w="120" w:type="dxa"/>
              <w:right w:w="120" w:type="dxa"/>
            </w:tcMar>
          </w:tcPr>
          <w:p>
            <w:pPr>
              <w:spacing w:after="0"/>
              <w:jc w:val="right"/>
            </w:pPr>
            <w:r>
              <w:rPr>
                <w:rFonts w:ascii="Calibri" w:hAnsi="Calibri"/>
                <w:color w:val="2D3748"/>
                <w:sz w:val="17"/>
              </w:rPr>
              <w:t>0.980563</w:t>
            </w:r>
          </w:p>
        </w:tc>
        <w:tc>
          <w:tcPr>
            <w:tcW w:type="dxa" w:w="1872"/>
            <w:tcMar>
              <w:top w:w="100" w:type="dxa"/>
              <w:bottom w:w="100" w:type="dxa"/>
              <w:left w:w="120" w:type="dxa"/>
              <w:right w:w="120" w:type="dxa"/>
            </w:tcMar>
          </w:tcPr>
          <w:p>
            <w:pPr>
              <w:spacing w:after="0"/>
              <w:jc w:val="right"/>
            </w:pPr>
            <w:r>
              <w:rPr>
                <w:rFonts w:ascii="Calibri" w:hAnsi="Calibri"/>
                <w:color w:val="2D3748"/>
                <w:sz w:val="17"/>
              </w:rPr>
              <w:t>100.025%</w:t>
            </w:r>
          </w:p>
        </w:tc>
        <w:tc>
          <w:tcPr>
            <w:tcW w:type="dxa" w:w="1872"/>
            <w:tcMar>
              <w:top w:w="100" w:type="dxa"/>
              <w:bottom w:w="100" w:type="dxa"/>
              <w:left w:w="120" w:type="dxa"/>
              <w:right w:w="120" w:type="dxa"/>
            </w:tcMar>
          </w:tcPr>
          <w:p>
            <w:pPr>
              <w:spacing w:after="0"/>
              <w:jc w:val="center"/>
            </w:pPr>
            <w:r>
              <w:rPr>
                <w:rFonts w:ascii="Calibri" w:hAnsi="Calibri"/>
                <w:b/>
                <w:color w:val="166534"/>
                <w:sz w:val="17"/>
              </w:rPr>
              <w:t>Retained</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0.988432</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0.988384</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99.995%</w:t>
            </w:r>
          </w:p>
        </w:tc>
        <w:tc>
          <w:tcPr>
            <w:tcW w:type="dxa" w:w="1872"/>
            <w:shd w:val="clear" w:color="auto" w:fill="F7FAFC"/>
            <w:tcMar>
              <w:top w:w="100" w:type="dxa"/>
              <w:bottom w:w="100" w:type="dxa"/>
              <w:left w:w="120" w:type="dxa"/>
              <w:right w:w="120" w:type="dxa"/>
            </w:tcMar>
          </w:tcPr>
          <w:p>
            <w:pPr>
              <w:spacing w:after="0"/>
              <w:jc w:val="center"/>
            </w:pPr>
            <w:r>
              <w:rPr>
                <w:rFonts w:ascii="Calibri" w:hAnsi="Calibri"/>
                <w:b/>
                <w:color w:val="166534"/>
                <w:sz w:val="17"/>
              </w:rPr>
              <w:t>Retained</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1872"/>
            <w:tcMar>
              <w:top w:w="100" w:type="dxa"/>
              <w:bottom w:w="100" w:type="dxa"/>
              <w:left w:w="120" w:type="dxa"/>
              <w:right w:w="120" w:type="dxa"/>
            </w:tcMar>
          </w:tcPr>
          <w:p>
            <w:pPr>
              <w:spacing w:after="0"/>
              <w:jc w:val="right"/>
            </w:pPr>
            <w:r>
              <w:rPr>
                <w:rFonts w:ascii="Calibri" w:hAnsi="Calibri"/>
                <w:color w:val="2D3748"/>
                <w:sz w:val="17"/>
              </w:rPr>
              <w:t>0.638077</w:t>
            </w:r>
          </w:p>
        </w:tc>
        <w:tc>
          <w:tcPr>
            <w:tcW w:type="dxa" w:w="1872"/>
            <w:tcMar>
              <w:top w:w="100" w:type="dxa"/>
              <w:bottom w:w="100" w:type="dxa"/>
              <w:left w:w="120" w:type="dxa"/>
              <w:right w:w="120" w:type="dxa"/>
            </w:tcMar>
          </w:tcPr>
          <w:p>
            <w:pPr>
              <w:spacing w:after="0"/>
              <w:jc w:val="right"/>
            </w:pPr>
            <w:r>
              <w:rPr>
                <w:rFonts w:ascii="Calibri" w:hAnsi="Calibri"/>
                <w:color w:val="2D3748"/>
                <w:sz w:val="17"/>
              </w:rPr>
              <w:t>0.624055</w:t>
            </w:r>
          </w:p>
        </w:tc>
        <w:tc>
          <w:tcPr>
            <w:tcW w:type="dxa" w:w="1872"/>
            <w:tcMar>
              <w:top w:w="100" w:type="dxa"/>
              <w:bottom w:w="100" w:type="dxa"/>
              <w:left w:w="120" w:type="dxa"/>
              <w:right w:w="120" w:type="dxa"/>
            </w:tcMar>
          </w:tcPr>
          <w:p>
            <w:pPr>
              <w:spacing w:after="0"/>
              <w:jc w:val="right"/>
            </w:pPr>
            <w:r>
              <w:rPr>
                <w:rFonts w:ascii="Calibri" w:hAnsi="Calibri"/>
                <w:color w:val="2D3748"/>
                <w:sz w:val="17"/>
              </w:rPr>
              <w:t>97.803%</w:t>
            </w:r>
          </w:p>
        </w:tc>
        <w:tc>
          <w:tcPr>
            <w:tcW w:type="dxa" w:w="1872"/>
            <w:tcMar>
              <w:top w:w="100" w:type="dxa"/>
              <w:bottom w:w="100" w:type="dxa"/>
              <w:left w:w="120" w:type="dxa"/>
              <w:right w:w="120" w:type="dxa"/>
            </w:tcMar>
          </w:tcPr>
          <w:p>
            <w:pPr>
              <w:spacing w:after="0"/>
              <w:jc w:val="center"/>
            </w:pPr>
            <w:r>
              <w:rPr>
                <w:rFonts w:ascii="Calibri" w:hAnsi="Calibri"/>
                <w:b/>
                <w:color w:val="166534"/>
                <w:sz w:val="17"/>
              </w:rPr>
              <w:t>Retained</w:t>
            </w:r>
          </w:p>
        </w:tc>
      </w:tr>
    </w:tbl>
    <w:p>
      <w:pPr>
        <w:spacing w:after="80"/>
      </w:pPr>
    </w:p>
    <w:p>
      <w:pPr>
        <w:spacing w:after="80" w:line="276" w:lineRule="auto"/>
      </w:pPr>
      <w:r>
        <w:rPr>
          <w:sz w:val="21"/>
        </w:rPr>
        <w:t xml:space="preserve">Feature selection retained approximately </w:t>
      </w:r>
      <w:r>
        <w:rPr>
          <w:b/>
          <w:sz w:val="21"/>
        </w:rPr>
        <w:t>97.8–100.0%</w:t>
      </w:r>
      <w:r>
        <w:rPr>
          <w:sz w:val="21"/>
        </w:rPr>
        <w:t xml:space="preserve"> of the full-feature Macro F1 while reducing feature dimensionality by </w:t>
      </w:r>
      <w:r>
        <w:rPr>
          <w:b/>
          <w:sz w:val="21"/>
        </w:rPr>
        <w:t>41.9–66.3%</w:t>
      </w:r>
      <w:r>
        <w:rPr>
          <w:sz w:val="21"/>
        </w:rPr>
        <w:t xml:space="preserve"> across the evaluated datasets. The selected-feature configuration produced a marginally higher Macro F1 than the full-feature configuration on NF-UNSW-NB15-v2.</w:t>
      </w:r>
    </w:p>
    <w:p>
      <w:pPr>
        <w:spacing w:before="120" w:after="120"/>
      </w:pPr>
    </w:p>
    <w:p>
      <w:pPr>
        <w:keepNext/>
        <w:spacing w:before="280" w:after="80"/>
      </w:pPr>
      <w:r>
        <w:rPr>
          <w:rFonts w:ascii="Calibri" w:hAnsi="Calibri"/>
          <w:b/>
          <w:color w:val="1B365D"/>
          <w:sz w:val="27"/>
        </w:rPr>
        <w:t>5. Proposed Temporal-Relational Framework</w:t>
      </w:r>
    </w:p>
    <w:p>
      <w:pPr>
        <w:spacing w:before="160" w:after="40"/>
        <w:jc w:val="center"/>
      </w:pPr>
      <w:r>
        <w:drawing>
          <wp:inline xmlns:a="http://schemas.openxmlformats.org/drawingml/2006/main" xmlns:pic="http://schemas.openxmlformats.org/drawingml/2006/picture">
            <wp:extent cx="5669280" cy="2753650"/>
            <wp:docPr id="11" name="Picture 11"/>
            <wp:cNvGraphicFramePr>
              <a:graphicFrameLocks noChangeAspect="1"/>
            </wp:cNvGraphicFramePr>
            <a:graphic>
              <a:graphicData uri="http://schemas.openxmlformats.org/drawingml/2006/picture">
                <pic:pic>
                  <pic:nvPicPr>
                    <pic:cNvPr id="0" name="loss_pathology_resolution.png"/>
                    <pic:cNvPicPr/>
                  </pic:nvPicPr>
                  <pic:blipFill>
                    <a:blip r:embed="rId21"/>
                    <a:stretch>
                      <a:fillRect/>
                    </a:stretch>
                  </pic:blipFill>
                  <pic:spPr>
                    <a:xfrm>
                      <a:off x="0" y="0"/>
                      <a:ext cx="5669280" cy="2753650"/>
                    </a:xfrm>
                    <a:prstGeom prst="rect"/>
                  </pic:spPr>
                </pic:pic>
              </a:graphicData>
            </a:graphic>
          </wp:inline>
        </w:drawing>
      </w:r>
    </w:p>
    <w:p>
      <w:pPr>
        <w:spacing w:before="40" w:after="160"/>
        <w:jc w:val="center"/>
      </w:pPr>
      <w:r>
        <w:rPr>
          <w:i/>
          <w:color w:val="2C5282"/>
          <w:sz w:val="19"/>
        </w:rPr>
        <w:t>Figure 8: Theoretical and Empirical Loss Pathology Resolution under Extreme Multi-Class Imbalance.</w:t>
      </w:r>
    </w:p>
    <w:p>
      <w:pPr>
        <w:keepNext/>
        <w:spacing w:before="200" w:after="60"/>
      </w:pPr>
      <w:r>
        <w:rPr>
          <w:rFonts w:ascii="Calibri" w:hAnsi="Calibri"/>
          <w:b/>
          <w:color w:val="2C5282"/>
          <w:sz w:val="23"/>
        </w:rPr>
        <w:t>5.1 Formulation of Dual Representations</w:t>
      </w:r>
    </w:p>
    <w:p>
      <w:pPr>
        <w:spacing w:after="80" w:line="276" w:lineRule="auto"/>
      </w:pPr>
      <w:r>
        <w:rPr>
          <w:sz w:val="21"/>
        </w:rPr>
        <w:t>Let $F = \{f_1, f_2, \dots, f_N\}$ represent a chronologically ordered stream of flow records where each flow $f_i \in \mathbb{R}^d$ contains $d$ statistical features with timestamp $t_i$.</w:t>
      </w:r>
    </w:p>
    <w:p>
      <w:pPr>
        <w:pStyle w:val="ListBullet"/>
        <w:spacing w:after="40"/>
      </w:pPr>
      <w:r>
        <w:rPr>
          <w:color w:val="2D3748"/>
          <w:sz w:val="20"/>
        </w:rPr>
      </w:r>
      <w:r>
        <w:rPr>
          <w:b/>
          <w:color w:val="1B365D"/>
          <w:sz w:val="20"/>
        </w:rPr>
        <w:t>Temporal Sequence Window</w:t>
      </w:r>
      <w:r>
        <w:rPr>
          <w:color w:val="2D3748"/>
          <w:sz w:val="20"/>
        </w:rPr>
        <w:t>: For a sequence of $K$ consecutive flows ending at index $i$:</w:t>
      </w:r>
    </w:p>
    <w:p>
      <w:pPr>
        <w:spacing w:before="120" w:after="120"/>
        <w:jc w:val="center"/>
      </w:pPr>
      <w:r>
        <w:drawing>
          <wp:inline xmlns:a="http://schemas.openxmlformats.org/drawingml/2006/main" xmlns:pic="http://schemas.openxmlformats.org/drawingml/2006/picture">
            <wp:extent cx="3069515"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69515" cy="365760"/>
                    </a:xfrm>
                    <a:prstGeom prst="rect"/>
                  </pic:spPr>
                </pic:pic>
              </a:graphicData>
            </a:graphic>
          </wp:inline>
        </w:drawing>
      </w:r>
    </w:p>
    <w:p>
      <w:pPr>
        <w:spacing w:after="80" w:line="276" w:lineRule="auto"/>
      </w:pPr>
      <w:r>
        <w:rPr>
          <w:sz w:val="21"/>
        </w:rPr>
        <w:t>In the current implementation, the temporal encoder operates with $K=1$, functioning as a learned non-linear feature embedding encoder.</w:t>
      </w:r>
    </w:p>
    <w:p>
      <w:pPr>
        <w:pStyle w:val="ListBullet"/>
        <w:spacing w:after="40"/>
      </w:pPr>
      <w:r>
        <w:rPr>
          <w:color w:val="2D3748"/>
          <w:sz w:val="20"/>
        </w:rPr>
      </w:r>
      <w:r>
        <w:rPr>
          <w:b/>
          <w:color w:val="1B365D"/>
          <w:sz w:val="20"/>
        </w:rPr>
        <w:t>Windowed Communication Graph</w:t>
      </w:r>
      <w:r>
        <w:rPr>
          <w:color w:val="2D3748"/>
          <w:sz w:val="20"/>
        </w:rPr>
        <w:t>: For observation window $W_k = [t_k, t_k + \tau]$, network interactions are represented as a communication graph $G_k = (V_k, E_k, X_{v,k}, X_{e,k})$ where $V_k$ denotes active IP endpoints, $E_k$ denotes directed communication flows, $X_{v,k}$ contains node features, and $X_{e,k}$ contains edge features.</w:t>
      </w:r>
    </w:p>
    <w:p>
      <w:pPr>
        <w:spacing w:after="80" w:line="276" w:lineRule="auto"/>
      </w:pPr>
      <w:r>
        <w:rPr>
          <w:sz w:val="21"/>
        </w:rPr>
      </w:r>
      <w:r>
        <w:rPr>
          <w:b/>
          <w:sz w:val="21"/>
        </w:rPr>
        <w:t>Node and Edge Feature Formulations:</w:t>
      </w:r>
      <w:r>
        <w:rPr>
          <w:sz w:val="21"/>
        </w:rPr>
      </w:r>
    </w:p>
    <w:p>
      <w:pPr>
        <w:spacing w:before="120" w:after="120"/>
        <w:jc w:val="center"/>
      </w:pPr>
      <w:r>
        <w:drawing>
          <wp:inline xmlns:a="http://schemas.openxmlformats.org/drawingml/2006/main" xmlns:pic="http://schemas.openxmlformats.org/drawingml/2006/picture">
            <wp:extent cx="3069515"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069515" cy="365760"/>
                    </a:xfrm>
                    <a:prstGeom prst="rect"/>
                  </pic:spPr>
                </pic:pic>
              </a:graphicData>
            </a:graphic>
          </wp:inline>
        </w:drawing>
      </w:r>
    </w:p>
    <w:p>
      <w:pPr>
        <w:keepNext/>
        <w:spacing w:before="200" w:after="60"/>
      </w:pPr>
      <w:r>
        <w:rPr>
          <w:rFonts w:ascii="Calibri" w:hAnsi="Calibri"/>
          <w:b/>
          <w:color w:val="2C5282"/>
          <w:sz w:val="23"/>
        </w:rPr>
        <w:t>5.2 Architectural Components</w:t>
      </w:r>
    </w:p>
    <w:p>
      <w:pPr>
        <w:jc w:val="center"/>
      </w:pPr>
      <w:r>
        <w:drawing>
          <wp:inline xmlns:a="http://schemas.openxmlformats.org/drawingml/2006/main" xmlns:pic="http://schemas.openxmlformats.org/drawingml/2006/picture">
            <wp:extent cx="5669280" cy="3710585"/>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710585"/>
                    </a:xfrm>
                    <a:prstGeom prst="rect"/>
                  </pic:spPr>
                </pic:pic>
              </a:graphicData>
            </a:graphic>
          </wp:inline>
        </w:drawing>
      </w:r>
    </w:p>
    <w:p>
      <w:pPr>
        <w:jc w:val="center"/>
      </w:pPr>
      <w:r>
        <w:rPr>
          <w:i/>
          <w:color w:val="2C5282"/>
          <w:sz w:val="19"/>
        </w:rPr>
        <w:t>Figure 9: Architectural Diagram of the Proposed Dual-Branch Temporal-Relational Framework.</w:t>
      </w:r>
    </w:p>
    <w:p>
      <w:pPr>
        <w:spacing w:after="80" w:line="276" w:lineRule="auto"/>
      </w:pPr>
      <w:r>
        <w:rPr>
          <w:sz w:val="21"/>
        </w:rPr>
      </w:r>
      <w:r>
        <w:rPr>
          <w:b/>
          <w:sz w:val="21"/>
        </w:rPr>
        <w:t>Temporal Encoder Formulation:</w:t>
      </w:r>
      <w:r>
        <w:rPr>
          <w:sz w:val="21"/>
        </w:rPr>
      </w:r>
    </w:p>
    <w:p>
      <w:pPr>
        <w:spacing w:before="120" w:after="120"/>
        <w:jc w:val="center"/>
      </w:pPr>
      <w:r>
        <w:drawing>
          <wp:inline xmlns:a="http://schemas.openxmlformats.org/drawingml/2006/main" xmlns:pic="http://schemas.openxmlformats.org/drawingml/2006/picture">
            <wp:extent cx="3069515"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69515" cy="365760"/>
                    </a:xfrm>
                    <a:prstGeom prst="rect"/>
                  </pic:spPr>
                </pic:pic>
              </a:graphicData>
            </a:graphic>
          </wp:inline>
        </w:drawing>
      </w:r>
    </w:p>
    <w:p>
      <w:pPr>
        <w:spacing w:after="80" w:line="276" w:lineRule="auto"/>
      </w:pPr>
      <w:r>
        <w:rPr>
          <w:sz w:val="21"/>
        </w:rPr>
      </w:r>
      <w:r>
        <w:rPr>
          <w:b/>
          <w:sz w:val="21"/>
        </w:rPr>
        <w:t>Relational Encoder Formulation:</w:t>
      </w:r>
      <w:r>
        <w:rPr>
          <w:sz w:val="21"/>
        </w:rPr>
      </w:r>
    </w:p>
    <w:p>
      <w:pPr>
        <w:spacing w:before="120" w:after="120"/>
        <w:jc w:val="center"/>
      </w:pPr>
      <w:r>
        <w:drawing>
          <wp:inline xmlns:a="http://schemas.openxmlformats.org/drawingml/2006/main" xmlns:pic="http://schemas.openxmlformats.org/drawingml/2006/picture">
            <wp:extent cx="3069515"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069515" cy="365760"/>
                    </a:xfrm>
                    <a:prstGeom prst="rect"/>
                  </pic:spPr>
                </pic:pic>
              </a:graphicData>
            </a:graphic>
          </wp:inline>
        </w:drawing>
      </w:r>
    </w:p>
    <w:p>
      <w:pPr>
        <w:spacing w:after="80" w:line="276" w:lineRule="auto"/>
      </w:pPr>
      <w:r>
        <w:rPr>
          <w:sz w:val="21"/>
        </w:rPr>
      </w:r>
      <w:r>
        <w:rPr>
          <w:b/>
          <w:sz w:val="21"/>
        </w:rPr>
        <w:t>Classification Head:</w:t>
      </w:r>
      <w:r>
        <w:rPr>
          <w:sz w:val="21"/>
        </w:rPr>
      </w:r>
    </w:p>
    <w:p>
      <w:pPr>
        <w:spacing w:before="120" w:after="120"/>
        <w:jc w:val="center"/>
      </w:pPr>
      <w:r>
        <w:drawing>
          <wp:inline xmlns:a="http://schemas.openxmlformats.org/drawingml/2006/main" xmlns:pic="http://schemas.openxmlformats.org/drawingml/2006/picture">
            <wp:extent cx="3069515"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69515" cy="365760"/>
                    </a:xfrm>
                    <a:prstGeom prst="rect"/>
                  </pic:spPr>
                </pic:pic>
              </a:graphicData>
            </a:graphic>
          </wp:inline>
        </w:drawing>
      </w:r>
    </w:p>
    <w:p>
      <w:pPr>
        <w:keepNext/>
        <w:spacing w:before="200" w:after="60"/>
      </w:pPr>
      <w:r>
        <w:rPr>
          <w:rFonts w:ascii="Calibri" w:hAnsi="Calibri"/>
          <w:b/>
          <w:color w:val="2C5282"/>
          <w:sz w:val="23"/>
        </w:rPr>
        <w:t>5.3 Gradient-Adaptive Hybrid Loss Formulation</w:t>
      </w:r>
    </w:p>
    <w:p>
      <w:pPr>
        <w:spacing w:after="80" w:line="276" w:lineRule="auto"/>
      </w:pPr>
      <w:r>
        <w:rPr>
          <w:sz w:val="21"/>
        </w:rPr>
        <w:t>To mitigate the impact of extreme class imbalance without manual per-dataset loss-weight tuning during training, we formulate a gradient-adaptive hybrid loss combining three complementary objectives:</w:t>
      </w:r>
    </w:p>
    <w:p>
      <w:pPr>
        <w:spacing w:before="120" w:after="120"/>
        <w:jc w:val="center"/>
      </w:pPr>
      <w:r>
        <w:drawing>
          <wp:inline xmlns:a="http://schemas.openxmlformats.org/drawingml/2006/main" xmlns:pic="http://schemas.openxmlformats.org/drawingml/2006/picture">
            <wp:extent cx="3069515"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069515" cy="365760"/>
                    </a:xfrm>
                    <a:prstGeom prst="rect"/>
                  </pic:spPr>
                </pic:pic>
              </a:graphicData>
            </a:graphic>
          </wp:inline>
        </w:drawing>
      </w:r>
    </w:p>
    <w:p>
      <w:pPr>
        <w:spacing w:after="80" w:line="276" w:lineRule="auto"/>
      </w:pPr>
      <w:r>
        <w:rPr>
          <w:sz w:val="21"/>
        </w:rPr>
        <w:t>The hybrid objective is defined as:</w:t>
      </w:r>
    </w:p>
    <w:p>
      <w:pPr>
        <w:spacing w:before="120" w:after="120"/>
        <w:jc w:val="center"/>
      </w:pPr>
      <w:r>
        <w:drawing>
          <wp:inline xmlns:a="http://schemas.openxmlformats.org/drawingml/2006/main" xmlns:pic="http://schemas.openxmlformats.org/drawingml/2006/picture">
            <wp:extent cx="3069515"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069515" cy="365760"/>
                    </a:xfrm>
                    <a:prstGeom prst="rect"/>
                  </pic:spPr>
                </pic:pic>
              </a:graphicData>
            </a:graphic>
          </wp:inline>
        </w:drawing>
      </w:r>
    </w:p>
    <w:p>
      <w:pPr>
        <w:spacing w:after="80" w:line="276" w:lineRule="auto"/>
      </w:pPr>
      <w:r>
        <w:rPr>
          <w:sz w:val="21"/>
        </w:rPr>
        <w:t>subject to $\alpha + \beta + \gamma_w = 1$.</w:t>
      </w:r>
    </w:p>
    <w:p>
      <w:pPr>
        <w:spacing w:after="80" w:line="276" w:lineRule="auto"/>
      </w:pPr>
      <w:r>
        <w:rPr>
          <w:sz w:val="21"/>
        </w:rPr>
      </w:r>
      <w:r>
        <w:rPr>
          <w:b/>
          <w:sz w:val="21"/>
        </w:rPr>
        <w:t>Gradient Norm Feedback and Weight Update Algorithm:</w:t>
      </w:r>
      <w:r>
        <w:rPr>
          <w:sz w:val="21"/>
        </w:rPr>
      </w:r>
    </w:p>
    <w:p>
      <w:pPr>
        <w:pStyle w:val="ListNumber"/>
        <w:spacing w:after="40"/>
      </w:pPr>
      <w:r>
        <w:rPr>
          <w:color w:val="2D3748"/>
          <w:sz w:val="20"/>
        </w:rPr>
        <w:t>For each component $i \in \{\mathrm{CE}, \mathrm{Focal}, \mathrm{WCE}\}$, extract the L2 gradient norm over reference parameters $\Theta_{\mathrm{ref}}$:</w:t>
      </w:r>
    </w:p>
    <w:p>
      <w:pPr>
        <w:spacing w:before="120" w:after="120"/>
        <w:jc w:val="center"/>
      </w:pPr>
      <w:r>
        <w:drawing>
          <wp:inline xmlns:a="http://schemas.openxmlformats.org/drawingml/2006/main" xmlns:pic="http://schemas.openxmlformats.org/drawingml/2006/picture">
            <wp:extent cx="3069515"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069515" cy="365760"/>
                    </a:xfrm>
                    <a:prstGeom prst="rect"/>
                  </pic:spPr>
                </pic:pic>
              </a:graphicData>
            </a:graphic>
          </wp:inline>
        </w:drawing>
      </w:r>
    </w:p>
    <w:p>
      <w:pPr>
        <w:pStyle w:val="ListNumber"/>
        <w:spacing w:after="40"/>
      </w:pPr>
      <w:r>
        <w:rPr>
          <w:color w:val="2D3748"/>
          <w:sz w:val="20"/>
        </w:rPr>
        <w:t>Compute mean gradient norm and inverse sensitivity ratio:</w:t>
      </w:r>
    </w:p>
    <w:p>
      <w:pPr>
        <w:spacing w:before="120" w:after="120"/>
        <w:jc w:val="center"/>
      </w:pPr>
      <w:r>
        <w:drawing>
          <wp:inline xmlns:a="http://schemas.openxmlformats.org/drawingml/2006/main" xmlns:pic="http://schemas.openxmlformats.org/drawingml/2006/picture">
            <wp:extent cx="3069515"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069515" cy="365760"/>
                    </a:xfrm>
                    <a:prstGeom prst="rect"/>
                  </pic:spPr>
                </pic:pic>
              </a:graphicData>
            </a:graphic>
          </wp:inline>
        </w:drawing>
      </w:r>
    </w:p>
    <w:p>
      <w:pPr>
        <w:pStyle w:val="ListNumber"/>
        <w:spacing w:after="40"/>
      </w:pPr>
      <w:r>
        <w:rPr>
          <w:color w:val="2D3748"/>
          <w:sz w:val="20"/>
        </w:rPr>
        <w:t>Apply initial prior weighting $(p_{\mathrm{CE}}=0.50, p_{\mathrm{Focal}}=0.35, p_{\mathrm{WCE}}=0.15)$:</w:t>
      </w:r>
    </w:p>
    <w:p>
      <w:pPr>
        <w:spacing w:before="120" w:after="120"/>
        <w:jc w:val="center"/>
      </w:pPr>
      <w:r>
        <w:drawing>
          <wp:inline xmlns:a="http://schemas.openxmlformats.org/drawingml/2006/main" xmlns:pic="http://schemas.openxmlformats.org/drawingml/2006/picture">
            <wp:extent cx="3069515"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069515" cy="365760"/>
                    </a:xfrm>
                    <a:prstGeom prst="rect"/>
                  </pic:spPr>
                </pic:pic>
              </a:graphicData>
            </a:graphic>
          </wp:inline>
        </w:drawing>
      </w:r>
    </w:p>
    <w:p>
      <w:pPr>
        <w:pStyle w:val="ListNumber"/>
        <w:spacing w:after="40"/>
      </w:pPr>
      <w:r>
        <w:rPr>
          <w:color w:val="2D3748"/>
          <w:sz w:val="20"/>
        </w:rPr>
        <w:t>Safeguards (Weight Clipping and EMA Smoothing):</w:t>
      </w:r>
    </w:p>
    <w:p>
      <w:pPr>
        <w:spacing w:before="120" w:after="120"/>
        <w:jc w:val="center"/>
      </w:pPr>
      <w:r>
        <w:drawing>
          <wp:inline xmlns:a="http://schemas.openxmlformats.org/drawingml/2006/main" xmlns:pic="http://schemas.openxmlformats.org/drawingml/2006/picture">
            <wp:extent cx="3069515"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069515" cy="36576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3069515"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069515" cy="365760"/>
                    </a:xfrm>
                    <a:prstGeom prst="rect"/>
                  </pic:spPr>
                </pic:pic>
              </a:graphicData>
            </a:graphic>
          </wp:inline>
        </w:drawing>
      </w:r>
    </w:p>
    <w:p>
      <w:pPr>
        <w:pStyle w:val="ListNumber"/>
        <w:spacing w:after="40"/>
      </w:pPr>
      <w:r>
        <w:rPr>
          <w:color w:val="2D3748"/>
          <w:sz w:val="20"/>
        </w:rPr>
        <w:t>Weights $\alpha, \beta, \gamma_w$ are detached from the autograd graph prior to computing $L_{\mathrm{hybrid}}$.</w:t>
      </w:r>
    </w:p>
    <w:p>
      <w:pPr>
        <w:keepNext/>
        <w:spacing w:before="200" w:after="60"/>
      </w:pPr>
      <w:r>
        <w:rPr>
          <w:rFonts w:ascii="Calibri" w:hAnsi="Calibri"/>
          <w:b/>
          <w:color w:val="2C5282"/>
          <w:sz w:val="23"/>
        </w:rPr>
        <w:t>5.4 Multimodal Fusion Mechanisms</w:t>
      </w:r>
    </w:p>
    <w:p>
      <w:pPr>
        <w:spacing w:after="80" w:line="276" w:lineRule="auto"/>
      </w:pPr>
      <w:r>
        <w:rPr>
          <w:sz w:val="21"/>
        </w:rPr>
        <w:t>Six fusion strategies are evaluated under fixed temporal and relational encoder backbones:</w:t>
      </w:r>
    </w:p>
    <w:p>
      <w:pPr>
        <w:keepNext/>
        <w:spacing w:after="60" w:line="276" w:lineRule="auto" w:before="160"/>
        <w:jc w:val="center"/>
      </w:pPr>
      <w:r>
        <w:rPr>
          <w:b/>
          <w:color w:val="1B365D"/>
          <w:sz w:val="20"/>
        </w:rPr>
        <w:t>Table 7: Multimodal Fusion Mechanisms Formulations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rPr>
          <w:tblHeader/>
          <w:cantSplit/>
        </w:trPr>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Fusion Strategy</w:t>
            </w:r>
          </w:p>
        </w:tc>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Mathematical Formulation</w:t>
            </w:r>
          </w:p>
        </w:tc>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Trainable Parameters</w:t>
            </w:r>
          </w:p>
        </w:tc>
      </w:tr>
      <w:tr>
        <w:trPr>
          <w:cantSplit/>
        </w:trPr>
        <w:tc>
          <w:tcPr>
            <w:tcW w:type="dxa" w:w="3120"/>
            <w:tcMar>
              <w:top w:w="100" w:type="dxa"/>
              <w:bottom w:w="100" w:type="dxa"/>
              <w:left w:w="120" w:type="dxa"/>
              <w:right w:w="120" w:type="dxa"/>
            </w:tcMar>
          </w:tcPr>
          <w:p>
            <w:pPr>
              <w:spacing w:after="0"/>
              <w:jc w:val="left"/>
            </w:pPr>
            <w:r>
              <w:rPr>
                <w:rFonts w:ascii="Calibri" w:hAnsi="Calibri"/>
                <w:color w:val="2D3748"/>
                <w:sz w:val="17"/>
              </w:rPr>
              <w:t>Concatenation</w:t>
            </w:r>
          </w:p>
        </w:tc>
        <w:tc>
          <w:tcPr>
            <w:tcW w:type="dxa" w:w="3120"/>
            <w:tcMar>
              <w:top w:w="100" w:type="dxa"/>
              <w:bottom w:w="100" w:type="dxa"/>
              <w:left w:w="120" w:type="dxa"/>
              <w:right w:w="120" w:type="dxa"/>
            </w:tcMar>
          </w:tcPr>
          <w:p>
            <w:pPr>
              <w:spacing w:after="0"/>
              <w:jc w:val="left"/>
            </w:pPr>
            <w:r>
              <w:rPr>
                <w:rFonts w:ascii="Calibri" w:hAnsi="Calibri"/>
                <w:color w:val="2D3748"/>
                <w:sz w:val="17"/>
              </w:rPr>
              <w:t>$z = \mathrm{MLP}([h_{\mathrm{temp}} \parallel h_{\mathrm{rel}}])$</w:t>
            </w:r>
          </w:p>
        </w:tc>
        <w:tc>
          <w:tcPr>
            <w:tcW w:type="dxa" w:w="3120"/>
            <w:tcMar>
              <w:top w:w="100" w:type="dxa"/>
              <w:bottom w:w="100" w:type="dxa"/>
              <w:left w:w="120" w:type="dxa"/>
              <w:right w:w="120" w:type="dxa"/>
            </w:tcMar>
          </w:tcPr>
          <w:p>
            <w:pPr>
              <w:spacing w:after="0"/>
              <w:jc w:val="right"/>
            </w:pPr>
            <w:r>
              <w:rPr>
                <w:rFonts w:ascii="Calibri" w:hAnsi="Calibri"/>
                <w:color w:val="2D3748"/>
                <w:sz w:val="17"/>
              </w:rPr>
              <w:t>~8,300</w:t>
            </w:r>
          </w:p>
        </w:tc>
      </w:tr>
      <w:tr>
        <w:trPr>
          <w:cantSplit/>
        </w:trPr>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Gated Fusion</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$g = \sigma(W_g [h_{\mathrm{temp}} \parallel h_{\mathrm{rel}}] + b_g); \quad z = g \odot h_{\mathrm{temp}} + (1-g) \odot h_{\mathrm{rel}}$</w:t>
            </w:r>
          </w:p>
        </w:tc>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~8,300</w:t>
            </w:r>
          </w:p>
        </w:tc>
      </w:tr>
      <w:tr>
        <w:trPr>
          <w:cantSplit/>
        </w:trPr>
        <w:tc>
          <w:tcPr>
            <w:tcW w:type="dxa" w:w="3120"/>
            <w:tcMar>
              <w:top w:w="100" w:type="dxa"/>
              <w:bottom w:w="100" w:type="dxa"/>
              <w:left w:w="120" w:type="dxa"/>
              <w:right w:w="120" w:type="dxa"/>
            </w:tcMar>
          </w:tcPr>
          <w:p>
            <w:pPr>
              <w:spacing w:after="0"/>
              <w:jc w:val="left"/>
            </w:pPr>
            <w:r>
              <w:rPr>
                <w:rFonts w:ascii="Calibri" w:hAnsi="Calibri"/>
                <w:color w:val="2D3748"/>
                <w:sz w:val="17"/>
              </w:rPr>
              <w:t>Bilinear Fusion</w:t>
            </w:r>
          </w:p>
        </w:tc>
        <w:tc>
          <w:tcPr>
            <w:tcW w:type="dxa" w:w="3120"/>
            <w:tcMar>
              <w:top w:w="100" w:type="dxa"/>
              <w:bottom w:w="100" w:type="dxa"/>
              <w:left w:w="120" w:type="dxa"/>
              <w:right w:w="120" w:type="dxa"/>
            </w:tcMar>
          </w:tcPr>
          <w:p>
            <w:pPr>
              <w:spacing w:after="0"/>
              <w:jc w:val="left"/>
            </w:pPr>
            <w:r>
              <w:rPr>
                <w:rFonts w:ascii="Calibri" w:hAnsi="Calibri"/>
                <w:color w:val="2D3748"/>
                <w:sz w:val="17"/>
              </w:rPr>
              <w:t>$z = h_{\mathrm{temp}}^T W_b h_{\mathrm{rel}} + b, \quad W_b \in \mathbb{R}^{64 \times 64 \times 64}$</w:t>
            </w:r>
          </w:p>
        </w:tc>
        <w:tc>
          <w:tcPr>
            <w:tcW w:type="dxa" w:w="3120"/>
            <w:tcMar>
              <w:top w:w="100" w:type="dxa"/>
              <w:bottom w:w="100" w:type="dxa"/>
              <w:left w:w="120" w:type="dxa"/>
              <w:right w:w="120" w:type="dxa"/>
            </w:tcMar>
          </w:tcPr>
          <w:p>
            <w:pPr>
              <w:spacing w:after="0"/>
              <w:jc w:val="right"/>
            </w:pPr>
            <w:r>
              <w:rPr>
                <w:rFonts w:ascii="Calibri" w:hAnsi="Calibri"/>
                <w:color w:val="2D3748"/>
                <w:sz w:val="17"/>
              </w:rPr>
              <w:t>~262,000</w:t>
            </w:r>
          </w:p>
        </w:tc>
      </w:tr>
      <w:tr>
        <w:trPr>
          <w:cantSplit/>
        </w:trPr>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Cross-Attention</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$Q=W_Q h_{\mathrm{temp}}, K=W_K h_{\mathrm{rel}}, V=W_V h_{\mathrm{rel}}; \quad \mathrm{Attn} = \mathrm{Softmax}\left(\frac{QK^T}{\sqrt{d_k}}\right) V$</w:t>
            </w:r>
          </w:p>
        </w:tc>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~24,640</w:t>
            </w:r>
          </w:p>
        </w:tc>
      </w:tr>
      <w:tr>
        <w:trPr>
          <w:cantSplit/>
        </w:trPr>
        <w:tc>
          <w:tcPr>
            <w:tcW w:type="dxa" w:w="3120"/>
            <w:tcMar>
              <w:top w:w="100" w:type="dxa"/>
              <w:bottom w:w="100" w:type="dxa"/>
              <w:left w:w="120" w:type="dxa"/>
              <w:right w:w="120" w:type="dxa"/>
            </w:tcMar>
          </w:tcPr>
          <w:p>
            <w:pPr>
              <w:spacing w:after="0"/>
              <w:jc w:val="left"/>
            </w:pPr>
            <w:r>
              <w:rPr>
                <w:rFonts w:ascii="Calibri" w:hAnsi="Calibri"/>
                <w:color w:val="2D3748"/>
                <w:sz w:val="17"/>
              </w:rPr>
              <w:t>Decision Ensemble</w:t>
            </w:r>
          </w:p>
        </w:tc>
        <w:tc>
          <w:tcPr>
            <w:tcW w:type="dxa" w:w="3120"/>
            <w:tcMar>
              <w:top w:w="100" w:type="dxa"/>
              <w:bottom w:w="100" w:type="dxa"/>
              <w:left w:w="120" w:type="dxa"/>
              <w:right w:w="120" w:type="dxa"/>
            </w:tcMar>
          </w:tcPr>
          <w:p>
            <w:pPr>
              <w:spacing w:after="0"/>
              <w:jc w:val="left"/>
            </w:pPr>
            <w:r>
              <w:rPr>
                <w:rFonts w:ascii="Calibri" w:hAnsi="Calibri"/>
                <w:color w:val="2D3748"/>
                <w:sz w:val="17"/>
              </w:rPr>
              <w:t>$p = \mathrm{Softmax}(C_{\mathrm{temp}}(h_{\mathrm{temp}})) + \mathrm{Softmax}(C_{\mathrm{rel}}(h_{\mathrm{rel}}))$</w:t>
            </w:r>
          </w:p>
        </w:tc>
        <w:tc>
          <w:tcPr>
            <w:tcW w:type="dxa" w:w="3120"/>
            <w:tcMar>
              <w:top w:w="100" w:type="dxa"/>
              <w:bottom w:w="100" w:type="dxa"/>
              <w:left w:w="120" w:type="dxa"/>
              <w:right w:w="120" w:type="dxa"/>
            </w:tcMar>
          </w:tcPr>
          <w:p>
            <w:pPr>
              <w:spacing w:after="0"/>
              <w:jc w:val="right"/>
            </w:pPr>
            <w:r>
              <w:rPr>
                <w:rFonts w:ascii="Calibri" w:hAnsi="Calibri"/>
                <w:color w:val="2D3748"/>
                <w:sz w:val="17"/>
              </w:rPr>
              <w:t>~2,000</w:t>
            </w:r>
          </w:p>
        </w:tc>
      </w:tr>
      <w:tr>
        <w:trPr>
          <w:cantSplit/>
        </w:trPr>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Quantum PQC (Simulated)</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\psi\rangle = U_{\mathrm{PQC}}(\theta)</w:t>
            </w:r>
          </w:p>
        </w:tc>
      </w:tr>
    </w:tbl>
    <w:p>
      <w:pPr>
        <w:spacing w:after="80"/>
      </w:pPr>
    </w:p>
    <w:p>
      <w:pPr>
        <w:spacing w:after="80" w:line="276" w:lineRule="auto"/>
      </w:pPr>
      <w:r>
        <w:rPr>
          <w:sz w:val="21"/>
        </w:rPr>
      </w:r>
      <w:r>
        <w:rPr>
          <w:i/>
          <w:sz w:val="21"/>
        </w:rPr>
        <w:t>Simulated Quantum PQC Fusion</w:t>
      </w:r>
      <w:r>
        <w:rPr>
          <w:sz w:val="21"/>
        </w:rPr>
        <w:t>: All quantum-fusion experiments in this study were executed using classical simulation (PennyLane framework, $n=8$ qubits, $L=2$ variational layers); no physical quantum hardware was used.</w:t>
      </w:r>
    </w:p>
    <w:p>
      <w:pPr>
        <w:spacing w:before="120" w:after="120"/>
      </w:pPr>
    </w:p>
    <w:p>
      <w:pPr>
        <w:keepNext/>
        <w:spacing w:before="280" w:after="80"/>
      </w:pPr>
      <w:r>
        <w:rPr>
          <w:rFonts w:ascii="Calibri" w:hAnsi="Calibri"/>
          <w:b/>
          <w:color w:val="1B365D"/>
          <w:sz w:val="27"/>
        </w:rPr>
        <w:t>6. Experimental Protocol</w:t>
      </w:r>
    </w:p>
    <w:p>
      <w:pPr>
        <w:keepNext/>
        <w:spacing w:before="200" w:after="60"/>
      </w:pPr>
      <w:r>
        <w:rPr>
          <w:rFonts w:ascii="Calibri" w:hAnsi="Calibri"/>
          <w:b/>
          <w:color w:val="2C5282"/>
          <w:sz w:val="23"/>
        </w:rPr>
        <w:t>6.1 Training and Implementation Details</w:t>
      </w:r>
    </w:p>
    <w:p>
      <w:pPr>
        <w:pStyle w:val="ListBullet"/>
        <w:spacing w:after="40"/>
      </w:pPr>
      <w:r>
        <w:rPr>
          <w:color w:val="2D3748"/>
          <w:sz w:val="20"/>
        </w:rPr>
      </w:r>
      <w:r>
        <w:rPr>
          <w:b/>
          <w:color w:val="1B365D"/>
          <w:sz w:val="20"/>
        </w:rPr>
        <w:t>Data Partitions</w:t>
      </w:r>
      <w:r>
        <w:rPr>
          <w:color w:val="2D3748"/>
          <w:sz w:val="20"/>
        </w:rPr>
        <w:t>: 70% Training, 15% Validation, 15% Test (stratified sample limit: 100,000 flows per dataset).</w:t>
      </w:r>
    </w:p>
    <w:p>
      <w:pPr>
        <w:pStyle w:val="ListBullet"/>
        <w:spacing w:after="40"/>
      </w:pPr>
      <w:r>
        <w:rPr>
          <w:color w:val="2D3748"/>
          <w:sz w:val="20"/>
        </w:rPr>
      </w:r>
      <w:r>
        <w:rPr>
          <w:b/>
          <w:color w:val="1B365D"/>
          <w:sz w:val="20"/>
        </w:rPr>
        <w:t>Optimization</w:t>
      </w:r>
      <w:r>
        <w:rPr>
          <w:color w:val="2D3748"/>
          <w:sz w:val="20"/>
        </w:rPr>
        <w:t>: Adam optimizer ($\beta_1=0.9, \beta_2=0.999, \varepsilon=10^{-8}$), initial learning rate $1\times 10^{-3}$, batch size 128, maximum 15 epochs with early stopping patience of 5 on validation loss.</w:t>
      </w:r>
    </w:p>
    <w:p>
      <w:pPr>
        <w:pStyle w:val="ListBullet"/>
        <w:spacing w:after="40"/>
      </w:pPr>
      <w:r>
        <w:rPr>
          <w:color w:val="2D3748"/>
          <w:sz w:val="20"/>
        </w:rPr>
      </w:r>
      <w:r>
        <w:rPr>
          <w:b/>
          <w:color w:val="1B365D"/>
          <w:sz w:val="20"/>
        </w:rPr>
        <w:t>Hardware &amp; Framework</w:t>
      </w:r>
      <w:r>
        <w:rPr>
          <w:color w:val="2D3748"/>
          <w:sz w:val="20"/>
        </w:rPr>
        <w:t>: PyTorch 2.0+, PennyLane 0.30+ for quantum simulation, NVIDIA RTX-enabled execution environment.</w:t>
      </w:r>
    </w:p>
    <w:p>
      <w:pPr>
        <w:pStyle w:val="ListBullet"/>
        <w:spacing w:after="40"/>
      </w:pPr>
      <w:r>
        <w:rPr>
          <w:color w:val="2D3748"/>
          <w:sz w:val="20"/>
        </w:rPr>
      </w:r>
      <w:r>
        <w:rPr>
          <w:b/>
          <w:color w:val="1B365D"/>
          <w:sz w:val="20"/>
        </w:rPr>
        <w:t>Evaluation Metrics</w:t>
      </w:r>
      <w:r>
        <w:rPr>
          <w:color w:val="2D3748"/>
          <w:sz w:val="20"/>
        </w:rPr>
        <w:t>: Macro F1 (primary metric), Weighted F1, Macro Precision, Macro Recall, Accuracy, False Positive Rate (FPR), and False Negative Rate (FNR).</w:t>
      </w:r>
    </w:p>
    <w:p>
      <w:pPr>
        <w:keepNext/>
        <w:spacing w:before="200" w:after="60"/>
      </w:pPr>
      <w:r>
        <w:rPr>
          <w:rFonts w:ascii="Calibri" w:hAnsi="Calibri"/>
          <w:b/>
          <w:color w:val="2C5282"/>
          <w:sz w:val="23"/>
        </w:rPr>
        <w:t>6.2 Experimental Scope</w:t>
      </w:r>
    </w:p>
    <w:p>
      <w:pPr>
        <w:spacing w:after="80" w:line="276" w:lineRule="auto"/>
      </w:pPr>
      <w:r>
        <w:rPr>
          <w:sz w:val="21"/>
        </w:rPr>
      </w:r>
      <w:r>
        <w:rPr>
          <w:b/>
          <w:sz w:val="21"/>
        </w:rPr>
        <w:t>Experimental Scope</w:t>
      </w:r>
      <w:r>
        <w:rPr>
          <w:sz w:val="21"/>
        </w:rPr>
        <w:t>: The study evaluates supervised intrusion detection on three benchmark datasets under the specified train-test protocols. The experiments do not evaluate online concept drift, continual learning, attack-family holdout zero-day detection, cross-dataset transfer, production deployment throughput, or physical quantum hardware. Accordingly, empirical conclusions are restricted to the evaluated benchmark settings.</w:t>
      </w:r>
    </w:p>
    <w:p>
      <w:pPr>
        <w:spacing w:before="120" w:after="120"/>
      </w:pPr>
    </w:p>
    <w:p>
      <w:pPr>
        <w:keepNext/>
        <w:spacing w:before="280" w:after="80"/>
      </w:pPr>
      <w:r>
        <w:rPr>
          <w:rFonts w:ascii="Calibri" w:hAnsi="Calibri"/>
          <w:b/>
          <w:color w:val="1B365D"/>
          <w:sz w:val="27"/>
        </w:rPr>
        <w:t>7. Results</w:t>
      </w:r>
    </w:p>
    <w:p>
      <w:pPr>
        <w:spacing w:before="160" w:after="40"/>
        <w:jc w:val="center"/>
      </w:pPr>
      <w:r>
        <w:drawing>
          <wp:inline xmlns:a="http://schemas.openxmlformats.org/drawingml/2006/main" xmlns:pic="http://schemas.openxmlformats.org/drawingml/2006/picture">
            <wp:extent cx="5669280" cy="2591671"/>
            <wp:docPr id="37" name="Picture 37"/>
            <wp:cNvGraphicFramePr>
              <a:graphicFrameLocks noChangeAspect="1"/>
            </wp:cNvGraphicFramePr>
            <a:graphic>
              <a:graphicData uri="http://schemas.openxmlformats.org/drawingml/2006/picture">
                <pic:pic>
                  <pic:nvPicPr>
                    <pic:cNvPr id="0" name="dynamic_weight_trajectories.png"/>
                    <pic:cNvPicPr/>
                  </pic:nvPicPr>
                  <pic:blipFill>
                    <a:blip r:embed="rId47"/>
                    <a:stretch>
                      <a:fillRect/>
                    </a:stretch>
                  </pic:blipFill>
                  <pic:spPr>
                    <a:xfrm>
                      <a:off x="0" y="0"/>
                      <a:ext cx="5669280" cy="2591671"/>
                    </a:xfrm>
                    <a:prstGeom prst="rect"/>
                  </pic:spPr>
                </pic:pic>
              </a:graphicData>
            </a:graphic>
          </wp:inline>
        </w:drawing>
      </w:r>
    </w:p>
    <w:p>
      <w:pPr>
        <w:spacing w:before="40" w:after="160"/>
        <w:jc w:val="center"/>
      </w:pPr>
      <w:r>
        <w:rPr>
          <w:i/>
          <w:color w:val="2C5282"/>
          <w:sz w:val="19"/>
        </w:rPr>
        <w:t>Figure 10: Dynamic Loss Weight Trajectories (alpha, beta, gamma_w) converging over 23,265 optimization steps across 6 fusion architectures.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38" name="Picture 38"/>
                  <wp:cNvGraphicFramePr>
                    <a:graphicFrameLocks noChangeAspect="1"/>
                  </wp:cNvGraphicFramePr>
                  <a:graphic>
                    <a:graphicData uri="http://schemas.openxmlformats.org/drawingml/2006/picture">
                      <pic:pic>
                        <pic:nvPicPr>
                          <pic:cNvPr id="0" name="cse_cic_ids2018_standard_ce_loss_curve.png"/>
                          <pic:cNvPicPr/>
                        </pic:nvPicPr>
                        <pic:blipFill>
                          <a:blip r:embed="rId48"/>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39" name="Picture 39"/>
                  <wp:cNvGraphicFramePr>
                    <a:graphicFrameLocks noChangeAspect="1"/>
                  </wp:cNvGraphicFramePr>
                  <a:graphic>
                    <a:graphicData uri="http://schemas.openxmlformats.org/drawingml/2006/picture">
                      <pic:pic>
                        <pic:nvPicPr>
                          <pic:cNvPr id="0" name="cse_cic_ids2018_standard_ce_cm.png"/>
                          <pic:cNvPicPr/>
                        </pic:nvPicPr>
                        <pic:blipFill>
                          <a:blip r:embed="rId49"/>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11: CSE-CIC-IDS2018 Standard Cross-Entropy Baseline: (Left) Loss Curve; (Right) 15-Class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40" name="Picture 40"/>
                  <wp:cNvGraphicFramePr>
                    <a:graphicFrameLocks noChangeAspect="1"/>
                  </wp:cNvGraphicFramePr>
                  <a:graphic>
                    <a:graphicData uri="http://schemas.openxmlformats.org/drawingml/2006/picture">
                      <pic:pic>
                        <pic:nvPicPr>
                          <pic:cNvPr id="0" name="cse_cic_ids2018_focal_loss_loss_curve.png"/>
                          <pic:cNvPicPr/>
                        </pic:nvPicPr>
                        <pic:blipFill>
                          <a:blip r:embed="rId50"/>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41" name="Picture 41"/>
                  <wp:cNvGraphicFramePr>
                    <a:graphicFrameLocks noChangeAspect="1"/>
                  </wp:cNvGraphicFramePr>
                  <a:graphic>
                    <a:graphicData uri="http://schemas.openxmlformats.org/drawingml/2006/picture">
                      <pic:pic>
                        <pic:nvPicPr>
                          <pic:cNvPr id="0" name="cse_cic_ids2018_focal_loss_cm.png"/>
                          <pic:cNvPicPr/>
                        </pic:nvPicPr>
                        <pic:blipFill>
                          <a:blip r:embed="rId51"/>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12: CSE-CIC-IDS2018 Focal Loss Baseline (gamma=2.0): (Left) Loss Curve; (Right) 15-Class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42" name="Picture 42"/>
                  <wp:cNvGraphicFramePr>
                    <a:graphicFrameLocks noChangeAspect="1"/>
                  </wp:cNvGraphicFramePr>
                  <a:graphic>
                    <a:graphicData uri="http://schemas.openxmlformats.org/drawingml/2006/picture">
                      <pic:pic>
                        <pic:nvPicPr>
                          <pic:cNvPr id="0" name="cse_cic_ids2018_weighted_ce_loss_curve.png"/>
                          <pic:cNvPicPr/>
                        </pic:nvPicPr>
                        <pic:blipFill>
                          <a:blip r:embed="rId52"/>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43" name="Picture 43"/>
                  <wp:cNvGraphicFramePr>
                    <a:graphicFrameLocks noChangeAspect="1"/>
                  </wp:cNvGraphicFramePr>
                  <a:graphic>
                    <a:graphicData uri="http://schemas.openxmlformats.org/drawingml/2006/picture">
                      <pic:pic>
                        <pic:nvPicPr>
                          <pic:cNvPr id="0" name="cse_cic_ids2018_weighted_ce_cm.png"/>
                          <pic:cNvPicPr/>
                        </pic:nvPicPr>
                        <pic:blipFill>
                          <a:blip r:embed="rId53"/>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13: CSE-CIC-IDS2018 Weighted Cross-Entropy Baseline: (Left) Loss Curve; (Right) 15-Class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44" name="Picture 44"/>
                  <wp:cNvGraphicFramePr>
                    <a:graphicFrameLocks noChangeAspect="1"/>
                  </wp:cNvGraphicFramePr>
                  <a:graphic>
                    <a:graphicData uri="http://schemas.openxmlformats.org/drawingml/2006/picture">
                      <pic:pic>
                        <pic:nvPicPr>
                          <pic:cNvPr id="0" name="nf_cse_cic_ids2018_v2_standard_ce_loss_curve.png"/>
                          <pic:cNvPicPr/>
                        </pic:nvPicPr>
                        <pic:blipFill>
                          <a:blip r:embed="rId54"/>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45" name="Picture 45"/>
                  <wp:cNvGraphicFramePr>
                    <a:graphicFrameLocks noChangeAspect="1"/>
                  </wp:cNvGraphicFramePr>
                  <a:graphic>
                    <a:graphicData uri="http://schemas.openxmlformats.org/drawingml/2006/picture">
                      <pic:pic>
                        <pic:nvPicPr>
                          <pic:cNvPr id="0" name="nf_cse_cic_ids2018_v2_standard_ce_cm.png"/>
                          <pic:cNvPicPr/>
                        </pic:nvPicPr>
                        <pic:blipFill>
                          <a:blip r:embed="rId55"/>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14: NF-CSE-CIC-IDS2018-v2 Standard CE Baseline: (Left) Loss Curve; (Right) Binary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46" name="Picture 46"/>
                  <wp:cNvGraphicFramePr>
                    <a:graphicFrameLocks noChangeAspect="1"/>
                  </wp:cNvGraphicFramePr>
                  <a:graphic>
                    <a:graphicData uri="http://schemas.openxmlformats.org/drawingml/2006/picture">
                      <pic:pic>
                        <pic:nvPicPr>
                          <pic:cNvPr id="0" name="nf_unsw_nb15_v2_focal_loss_loss_curve.png"/>
                          <pic:cNvPicPr/>
                        </pic:nvPicPr>
                        <pic:blipFill>
                          <a:blip r:embed="rId56"/>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47" name="Picture 47"/>
                  <wp:cNvGraphicFramePr>
                    <a:graphicFrameLocks noChangeAspect="1"/>
                  </wp:cNvGraphicFramePr>
                  <a:graphic>
                    <a:graphicData uri="http://schemas.openxmlformats.org/drawingml/2006/picture">
                      <pic:pic>
                        <pic:nvPicPr>
                          <pic:cNvPr id="0" name="nf_unsw_nb15_v2_focal_loss_cm.png"/>
                          <pic:cNvPicPr/>
                        </pic:nvPicPr>
                        <pic:blipFill>
                          <a:blip r:embed="rId57"/>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15: NF-UNSW-NB15-v2 Focal Loss Baseline: (Left) Loss Curve; (Right) Binary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48" name="Picture 48"/>
                  <wp:cNvGraphicFramePr>
                    <a:graphicFrameLocks noChangeAspect="1"/>
                  </wp:cNvGraphicFramePr>
                  <a:graphic>
                    <a:graphicData uri="http://schemas.openxmlformats.org/drawingml/2006/picture">
                      <pic:pic>
                        <pic:nvPicPr>
                          <pic:cNvPr id="0" name="cse_cic_ids2018_gated_loss_curve.png"/>
                          <pic:cNvPicPr/>
                        </pic:nvPicPr>
                        <pic:blipFill>
                          <a:blip r:embed="rId58"/>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49" name="Picture 49"/>
                  <wp:cNvGraphicFramePr>
                    <a:graphicFrameLocks noChangeAspect="1"/>
                  </wp:cNvGraphicFramePr>
                  <a:graphic>
                    <a:graphicData uri="http://schemas.openxmlformats.org/drawingml/2006/picture">
                      <pic:pic>
                        <pic:nvPicPr>
                          <pic:cNvPr id="0" name="cse_cic_ids2018_gated_cm.png"/>
                          <pic:cNvPicPr/>
                        </pic:nvPicPr>
                        <pic:blipFill>
                          <a:blip r:embed="rId59"/>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16: CSE-CIC-IDS2018 Gradient-Adaptive Gated Fusion (Top Multi-Class Performer, Macro F1=0.8347): (Left) Loss Curve; (Right)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50" name="Picture 50"/>
                  <wp:cNvGraphicFramePr>
                    <a:graphicFrameLocks noChangeAspect="1"/>
                  </wp:cNvGraphicFramePr>
                  <a:graphic>
                    <a:graphicData uri="http://schemas.openxmlformats.org/drawingml/2006/picture">
                      <pic:pic>
                        <pic:nvPicPr>
                          <pic:cNvPr id="0" name="cse_cic_ids2018_cross_attention_loss_curve.png"/>
                          <pic:cNvPicPr/>
                        </pic:nvPicPr>
                        <pic:blipFill>
                          <a:blip r:embed="rId60"/>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1" name="Picture 51"/>
                  <wp:cNvGraphicFramePr>
                    <a:graphicFrameLocks noChangeAspect="1"/>
                  </wp:cNvGraphicFramePr>
                  <a:graphic>
                    <a:graphicData uri="http://schemas.openxmlformats.org/drawingml/2006/picture">
                      <pic:pic>
                        <pic:nvPicPr>
                          <pic:cNvPr id="0" name="cse_cic_ids2018_cross_attention_cm.png"/>
                          <pic:cNvPicPr/>
                        </pic:nvPicPr>
                        <pic:blipFill>
                          <a:blip r:embed="rId61"/>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17: CSE-CIC-IDS2018 Gradient-Adaptive Cross-Attention Fusion: (Left) Loss Curve; (Right)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52" name="Picture 52"/>
                  <wp:cNvGraphicFramePr>
                    <a:graphicFrameLocks noChangeAspect="1"/>
                  </wp:cNvGraphicFramePr>
                  <a:graphic>
                    <a:graphicData uri="http://schemas.openxmlformats.org/drawingml/2006/picture">
                      <pic:pic>
                        <pic:nvPicPr>
                          <pic:cNvPr id="0" name="cse_cic_ids2018_bilinear_loss_curve.png"/>
                          <pic:cNvPicPr/>
                        </pic:nvPicPr>
                        <pic:blipFill>
                          <a:blip r:embed="rId62"/>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3" name="Picture 53"/>
                  <wp:cNvGraphicFramePr>
                    <a:graphicFrameLocks noChangeAspect="1"/>
                  </wp:cNvGraphicFramePr>
                  <a:graphic>
                    <a:graphicData uri="http://schemas.openxmlformats.org/drawingml/2006/picture">
                      <pic:pic>
                        <pic:nvPicPr>
                          <pic:cNvPr id="0" name="cse_cic_ids2018_bilinear_cm.png"/>
                          <pic:cNvPicPr/>
                        </pic:nvPicPr>
                        <pic:blipFill>
                          <a:blip r:embed="rId63"/>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18: CSE-CIC-IDS2018 Gradient-Adaptive Bilinear Fusion: (Left) Loss Curve; (Right)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4" name="Picture 54"/>
                  <wp:cNvGraphicFramePr>
                    <a:graphicFrameLocks noChangeAspect="1"/>
                  </wp:cNvGraphicFramePr>
                  <a:graphic>
                    <a:graphicData uri="http://schemas.openxmlformats.org/drawingml/2006/picture">
                      <pic:pic>
                        <pic:nvPicPr>
                          <pic:cNvPr id="0" name="cse_cic_ids2018_decision_ensemble_cm.png"/>
                          <pic:cNvPicPr/>
                        </pic:nvPicPr>
                        <pic:blipFill>
                          <a:blip r:embed="rId64"/>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5" name="Picture 55"/>
                  <wp:cNvGraphicFramePr>
                    <a:graphicFrameLocks noChangeAspect="1"/>
                  </wp:cNvGraphicFramePr>
                  <a:graphic>
                    <a:graphicData uri="http://schemas.openxmlformats.org/drawingml/2006/picture">
                      <pic:pic>
                        <pic:nvPicPr>
                          <pic:cNvPr id="0" name="cse_cic_ids2018_concat_cm.png"/>
                          <pic:cNvPicPr/>
                        </pic:nvPicPr>
                        <pic:blipFill>
                          <a:blip r:embed="rId65"/>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19: CSE-CIC-IDS2018 Multimodal Fusions: (Left) Decision Ensemble Confusion Matrix; (Right) Concatenation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56" name="Picture 56"/>
                  <wp:cNvGraphicFramePr>
                    <a:graphicFrameLocks noChangeAspect="1"/>
                  </wp:cNvGraphicFramePr>
                  <a:graphic>
                    <a:graphicData uri="http://schemas.openxmlformats.org/drawingml/2006/picture">
                      <pic:pic>
                        <pic:nvPicPr>
                          <pic:cNvPr id="0" name="cse_cic_ids2018_quantum_pqc_loss_curve.png"/>
                          <pic:cNvPicPr/>
                        </pic:nvPicPr>
                        <pic:blipFill>
                          <a:blip r:embed="rId66"/>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7" name="Picture 57"/>
                  <wp:cNvGraphicFramePr>
                    <a:graphicFrameLocks noChangeAspect="1"/>
                  </wp:cNvGraphicFramePr>
                  <a:graphic>
                    <a:graphicData uri="http://schemas.openxmlformats.org/drawingml/2006/picture">
                      <pic:pic>
                        <pic:nvPicPr>
                          <pic:cNvPr id="0" name="cse_cic_ids2018_quantum_pqc_cm.png"/>
                          <pic:cNvPicPr/>
                        </pic:nvPicPr>
                        <pic:blipFill>
                          <a:blip r:embed="rId67"/>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20: CSE-CIC-IDS2018 Quantum PQC Parameterized Circuit Fusion: (Left) Loss Curve; (Right)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8" name="Picture 58"/>
                  <wp:cNvGraphicFramePr>
                    <a:graphicFrameLocks noChangeAspect="1"/>
                  </wp:cNvGraphicFramePr>
                  <a:graphic>
                    <a:graphicData uri="http://schemas.openxmlformats.org/drawingml/2006/picture">
                      <pic:pic>
                        <pic:nvPicPr>
                          <pic:cNvPr id="0" name="nf_cse_cic_ids2018_v2_gated_cm.png"/>
                          <pic:cNvPicPr/>
                        </pic:nvPicPr>
                        <pic:blipFill>
                          <a:blip r:embed="rId68"/>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59" name="Picture 59"/>
                  <wp:cNvGraphicFramePr>
                    <a:graphicFrameLocks noChangeAspect="1"/>
                  </wp:cNvGraphicFramePr>
                  <a:graphic>
                    <a:graphicData uri="http://schemas.openxmlformats.org/drawingml/2006/picture">
                      <pic:pic>
                        <pic:nvPicPr>
                          <pic:cNvPr id="0" name="nf_cse_cic_ids2018_v2_bilinear_cm.png"/>
                          <pic:cNvPicPr/>
                        </pic:nvPicPr>
                        <pic:blipFill>
                          <a:blip r:embed="rId69"/>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21: NF-CSE-CIC-IDS2018-v2 Hybrid Fusions: (Left) Gated Fusion CM (Macro F1=0.9871); (Right) Bilinear Fusion CM.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771650"/>
                  <wp:docPr id="60" name="Picture 60"/>
                  <wp:cNvGraphicFramePr>
                    <a:graphicFrameLocks noChangeAspect="1"/>
                  </wp:cNvGraphicFramePr>
                  <a:graphic>
                    <a:graphicData uri="http://schemas.openxmlformats.org/drawingml/2006/picture">
                      <pic:pic>
                        <pic:nvPicPr>
                          <pic:cNvPr id="0" name="nf_unsw_nb15_v2_bilinear_loss_curve.png"/>
                          <pic:cNvPicPr/>
                        </pic:nvPicPr>
                        <pic:blipFill>
                          <a:blip r:embed="rId70"/>
                          <a:stretch>
                            <a:fillRect/>
                          </a:stretch>
                        </pic:blipFill>
                        <pic:spPr>
                          <a:xfrm>
                            <a:off x="0" y="0"/>
                            <a:ext cx="2834640" cy="1771650"/>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1" name="Picture 61"/>
                  <wp:cNvGraphicFramePr>
                    <a:graphicFrameLocks noChangeAspect="1"/>
                  </wp:cNvGraphicFramePr>
                  <a:graphic>
                    <a:graphicData uri="http://schemas.openxmlformats.org/drawingml/2006/picture">
                      <pic:pic>
                        <pic:nvPicPr>
                          <pic:cNvPr id="0" name="nf_unsw_nb15_v2_bilinear_cm.png"/>
                          <pic:cNvPicPr/>
                        </pic:nvPicPr>
                        <pic:blipFill>
                          <a:blip r:embed="rId71"/>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22: NF-UNSW-NB15-v2 Gradient-Adaptive Bilinear Fusion (Top Performer, Macro F1=0.9203): (Left) Loss Curve; (Right) Confusion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2" name="Picture 62"/>
                  <wp:cNvGraphicFramePr>
                    <a:graphicFrameLocks noChangeAspect="1"/>
                  </wp:cNvGraphicFramePr>
                  <a:graphic>
                    <a:graphicData uri="http://schemas.openxmlformats.org/drawingml/2006/picture">
                      <pic:pic>
                        <pic:nvPicPr>
                          <pic:cNvPr id="0" name="nf_unsw_nb15_v2_gated_cm.png"/>
                          <pic:cNvPicPr/>
                        </pic:nvPicPr>
                        <pic:blipFill>
                          <a:blip r:embed="rId72"/>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3" name="Picture 63"/>
                  <wp:cNvGraphicFramePr>
                    <a:graphicFrameLocks noChangeAspect="1"/>
                  </wp:cNvGraphicFramePr>
                  <a:graphic>
                    <a:graphicData uri="http://schemas.openxmlformats.org/drawingml/2006/picture">
                      <pic:pic>
                        <pic:nvPicPr>
                          <pic:cNvPr id="0" name="nf_unsw_nb15_v2_decision_ensemble_cm.png"/>
                          <pic:cNvPicPr/>
                        </pic:nvPicPr>
                        <pic:blipFill>
                          <a:blip r:embed="rId73"/>
                          <a:stretch>
                            <a:fillRect/>
                          </a:stretch>
                        </pic:blipFill>
                        <pic:spPr>
                          <a:xfrm>
                            <a:off x="0" y="0"/>
                            <a:ext cx="2834640" cy="2429691"/>
                          </a:xfrm>
                          <a:prstGeom prst="rect"/>
                        </pic:spPr>
                      </pic:pic>
                    </a:graphicData>
                  </a:graphic>
                </wp:inline>
              </w:drawing>
            </w:r>
          </w:p>
        </w:tc>
      </w:tr>
    </w:tbl>
    <w:p>
      <w:pPr>
        <w:spacing w:before="40" w:after="160"/>
        <w:jc w:val="center"/>
      </w:pPr>
      <w:r>
        <w:rPr>
          <w:i/>
          <w:color w:val="2C5282"/>
          <w:sz w:val="19"/>
        </w:rPr>
        <w:t>Figure 23: NF-UNSW-NB15-v2 Multimodal Fusions: (Left) Gated Fusion CM; (Right) Decision Ensemble CM.</w:t>
      </w:r>
    </w:p>
    <w:p>
      <w:pPr>
        <w:spacing w:before="160" w:after="40"/>
        <w:jc w:val="center"/>
      </w:pPr>
      <w:r>
        <w:drawing>
          <wp:inline xmlns:a="http://schemas.openxmlformats.org/drawingml/2006/main" xmlns:pic="http://schemas.openxmlformats.org/drawingml/2006/picture">
            <wp:extent cx="5669280" cy="2915630"/>
            <wp:docPr id="64" name="Picture 64"/>
            <wp:cNvGraphicFramePr>
              <a:graphicFrameLocks noChangeAspect="1"/>
            </wp:cNvGraphicFramePr>
            <a:graphic>
              <a:graphicData uri="http://schemas.openxmlformats.org/drawingml/2006/picture">
                <pic:pic>
                  <pic:nvPicPr>
                    <pic:cNvPr id="0" name="modality_ablation_comparison.png"/>
                    <pic:cNvPicPr/>
                  </pic:nvPicPr>
                  <pic:blipFill>
                    <a:blip r:embed="rId74"/>
                    <a:stretch>
                      <a:fillRect/>
                    </a:stretch>
                  </pic:blipFill>
                  <pic:spPr>
                    <a:xfrm>
                      <a:off x="0" y="0"/>
                      <a:ext cx="5669280" cy="2915630"/>
                    </a:xfrm>
                    <a:prstGeom prst="rect"/>
                  </pic:spPr>
                </pic:pic>
              </a:graphicData>
            </a:graphic>
          </wp:inline>
        </w:drawing>
      </w:r>
    </w:p>
    <w:p>
      <w:pPr>
        <w:spacing w:before="40" w:after="160"/>
        <w:jc w:val="center"/>
      </w:pPr>
      <w:r>
        <w:rPr>
          <w:i/>
          <w:color w:val="2C5282"/>
          <w:sz w:val="19"/>
        </w:rPr>
        <w:t>Figure 24: Modality Ablation Master Comparison: Temporal-Only vs. Relational-Only vs. Fused Multimodal Architecture.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5" name="Picture 65"/>
                  <wp:cNvGraphicFramePr>
                    <a:graphicFrameLocks noChangeAspect="1"/>
                  </wp:cNvGraphicFramePr>
                  <a:graphic>
                    <a:graphicData uri="http://schemas.openxmlformats.org/drawingml/2006/picture">
                      <pic:pic>
                        <pic:nvPicPr>
                          <pic:cNvPr id="0" name="modality_temporalonly_confusion_matrix.png"/>
                          <pic:cNvPicPr/>
                        </pic:nvPicPr>
                        <pic:blipFill>
                          <a:blip r:embed="rId75"/>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574800"/>
                  <wp:docPr id="66" name="Picture 66"/>
                  <wp:cNvGraphicFramePr>
                    <a:graphicFrameLocks noChangeAspect="1"/>
                  </wp:cNvGraphicFramePr>
                  <a:graphic>
                    <a:graphicData uri="http://schemas.openxmlformats.org/drawingml/2006/picture">
                      <pic:pic>
                        <pic:nvPicPr>
                          <pic:cNvPr id="0" name="modality_temporalonly_per_class_f1.png"/>
                          <pic:cNvPicPr/>
                        </pic:nvPicPr>
                        <pic:blipFill>
                          <a:blip r:embed="rId76"/>
                          <a:stretch>
                            <a:fillRect/>
                          </a:stretch>
                        </pic:blipFill>
                        <pic:spPr>
                          <a:xfrm>
                            <a:off x="0" y="0"/>
                            <a:ext cx="2834640" cy="1574800"/>
                          </a:xfrm>
                          <a:prstGeom prst="rect"/>
                        </pic:spPr>
                      </pic:pic>
                    </a:graphicData>
                  </a:graphic>
                </wp:inline>
              </w:drawing>
            </w:r>
          </w:p>
        </w:tc>
      </w:tr>
    </w:tbl>
    <w:p>
      <w:pPr>
        <w:spacing w:before="40" w:after="160"/>
        <w:jc w:val="center"/>
      </w:pPr>
      <w:r>
        <w:rPr>
          <w:i/>
          <w:color w:val="2C5282"/>
          <w:sz w:val="19"/>
        </w:rPr>
        <w:t>Figure 25: Temporal-Only Architecture Evaluation: (Left) Confusion Matrix; (Right) Per-Class F1 Score Distribution.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7" name="Picture 67"/>
                  <wp:cNvGraphicFramePr>
                    <a:graphicFrameLocks noChangeAspect="1"/>
                  </wp:cNvGraphicFramePr>
                  <a:graphic>
                    <a:graphicData uri="http://schemas.openxmlformats.org/drawingml/2006/picture">
                      <pic:pic>
                        <pic:nvPicPr>
                          <pic:cNvPr id="0" name="modality_relationonly_confusion_matrix.png"/>
                          <pic:cNvPicPr/>
                        </pic:nvPicPr>
                        <pic:blipFill>
                          <a:blip r:embed="rId77"/>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574800"/>
                  <wp:docPr id="68" name="Picture 68"/>
                  <wp:cNvGraphicFramePr>
                    <a:graphicFrameLocks noChangeAspect="1"/>
                  </wp:cNvGraphicFramePr>
                  <a:graphic>
                    <a:graphicData uri="http://schemas.openxmlformats.org/drawingml/2006/picture">
                      <pic:pic>
                        <pic:nvPicPr>
                          <pic:cNvPr id="0" name="modality_relationonly_per_class_f1.png"/>
                          <pic:cNvPicPr/>
                        </pic:nvPicPr>
                        <pic:blipFill>
                          <a:blip r:embed="rId78"/>
                          <a:stretch>
                            <a:fillRect/>
                          </a:stretch>
                        </pic:blipFill>
                        <pic:spPr>
                          <a:xfrm>
                            <a:off x="0" y="0"/>
                            <a:ext cx="2834640" cy="1574800"/>
                          </a:xfrm>
                          <a:prstGeom prst="rect"/>
                        </pic:spPr>
                      </pic:pic>
                    </a:graphicData>
                  </a:graphic>
                </wp:inline>
              </w:drawing>
            </w:r>
          </w:p>
        </w:tc>
      </w:tr>
    </w:tbl>
    <w:p>
      <w:pPr>
        <w:spacing w:before="40" w:after="160"/>
        <w:jc w:val="center"/>
      </w:pPr>
      <w:r>
        <w:rPr>
          <w:i/>
          <w:color w:val="2C5282"/>
          <w:sz w:val="19"/>
        </w:rPr>
        <w:t>Figure 26: Relational-Only Architecture Evaluation: (Left) Confusion Matrix; (Right) Per-Class F1 Score Distribution.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2429691"/>
                  <wp:docPr id="69" name="Picture 69"/>
                  <wp:cNvGraphicFramePr>
                    <a:graphicFrameLocks noChangeAspect="1"/>
                  </wp:cNvGraphicFramePr>
                  <a:graphic>
                    <a:graphicData uri="http://schemas.openxmlformats.org/drawingml/2006/picture">
                      <pic:pic>
                        <pic:nvPicPr>
                          <pic:cNvPr id="0" name="modality_both_confusion_matrix.png"/>
                          <pic:cNvPicPr/>
                        </pic:nvPicPr>
                        <pic:blipFill>
                          <a:blip r:embed="rId79"/>
                          <a:stretch>
                            <a:fillRect/>
                          </a:stretch>
                        </pic:blipFill>
                        <pic:spPr>
                          <a:xfrm>
                            <a:off x="0" y="0"/>
                            <a:ext cx="2834640" cy="2429691"/>
                          </a:xfrm>
                          <a:prstGeom prst="rect"/>
                        </pic:spPr>
                      </pic:pic>
                    </a:graphicData>
                  </a:graphic>
                </wp:inline>
              </w:drawing>
            </w:r>
          </w:p>
        </w:tc>
        <w:tc>
          <w:tcPr>
            <w:tcW w:type="dxa" w:w="4680"/>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2834640" cy="1574800"/>
                  <wp:docPr id="70" name="Picture 70"/>
                  <wp:cNvGraphicFramePr>
                    <a:graphicFrameLocks noChangeAspect="1"/>
                  </wp:cNvGraphicFramePr>
                  <a:graphic>
                    <a:graphicData uri="http://schemas.openxmlformats.org/drawingml/2006/picture">
                      <pic:pic>
                        <pic:nvPicPr>
                          <pic:cNvPr id="0" name="modality_both_per_class_f1.png"/>
                          <pic:cNvPicPr/>
                        </pic:nvPicPr>
                        <pic:blipFill>
                          <a:blip r:embed="rId80"/>
                          <a:stretch>
                            <a:fillRect/>
                          </a:stretch>
                        </pic:blipFill>
                        <pic:spPr>
                          <a:xfrm>
                            <a:off x="0" y="0"/>
                            <a:ext cx="2834640" cy="1574800"/>
                          </a:xfrm>
                          <a:prstGeom prst="rect"/>
                        </pic:spPr>
                      </pic:pic>
                    </a:graphicData>
                  </a:graphic>
                </wp:inline>
              </w:drawing>
            </w:r>
          </w:p>
        </w:tc>
      </w:tr>
    </w:tbl>
    <w:p>
      <w:pPr>
        <w:spacing w:before="40" w:after="160"/>
        <w:jc w:val="center"/>
      </w:pPr>
      <w:r>
        <w:rPr>
          <w:i/>
          <w:color w:val="2C5282"/>
          <w:sz w:val="19"/>
        </w:rPr>
        <w:t>Figure 27: Full Multimodal Dual-Branch Architecture Evaluation: (Left) Confusion Matrix; (Right) Per-Class F1 Score Distribution.</w:t>
      </w:r>
    </w:p>
    <w:p>
      <w:pPr>
        <w:keepNext/>
        <w:spacing w:before="200" w:after="60"/>
      </w:pPr>
      <w:r>
        <w:rPr>
          <w:rFonts w:ascii="Calibri" w:hAnsi="Calibri"/>
          <w:b/>
          <w:color w:val="2C5282"/>
          <w:sz w:val="23"/>
        </w:rPr>
        <w:t>7.1 Phase 1: Baseline Loss Function Performance</w:t>
      </w:r>
    </w:p>
    <w:p>
      <w:pPr>
        <w:spacing w:after="80" w:line="276" w:lineRule="auto"/>
      </w:pPr>
      <w:r>
        <w:rPr>
          <w:sz w:val="21"/>
        </w:rPr>
        <w:t>Phase 1 evaluates single loss functions (Standard CE, Focal Loss, Class-Weighted CE) under the baseline Concatenation architecture across all three datasets.</w:t>
      </w:r>
    </w:p>
    <w:p>
      <w:pPr>
        <w:keepNext/>
        <w:spacing w:after="60" w:line="276" w:lineRule="auto" w:before="160"/>
        <w:jc w:val="center"/>
      </w:pPr>
      <w:r>
        <w:rPr>
          <w:b/>
          <w:color w:val="1B365D"/>
          <w:sz w:val="20"/>
        </w:rPr>
        <w:t>Table 8: CSE-CIC-IDS2018 Phase 1 Loss Comparison (15 Classes)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170"/>
        <w:gridCol w:w="1170"/>
        <w:gridCol w:w="1170"/>
        <w:gridCol w:w="1170"/>
        <w:gridCol w:w="1170"/>
        <w:gridCol w:w="1170"/>
        <w:gridCol w:w="1170"/>
        <w:gridCol w:w="1170"/>
      </w:tblGrid>
      <w:tr>
        <w:trPr>
          <w:tblHeader/>
          <w:cantSplit/>
        </w:trPr>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Loss Function</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Macro F1</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Macro Precision</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Macro Recall</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Weighted F1</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Accuracy</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Training Time (s)</w:t>
            </w:r>
          </w:p>
        </w:tc>
        <w:tc>
          <w:tcPr>
            <w:tcW w:type="dxa" w:w="1170"/>
            <w:shd w:val="clear" w:color="auto" w:fill="1B365D"/>
            <w:tcMar>
              <w:top w:w="140" w:type="dxa"/>
              <w:bottom w:w="140" w:type="dxa"/>
              <w:left w:w="140" w:type="dxa"/>
              <w:right w:w="140" w:type="dxa"/>
            </w:tcMar>
          </w:tcPr>
          <w:p>
            <w:pPr>
              <w:spacing w:after="0"/>
              <w:jc w:val="center"/>
            </w:pPr>
            <w:r>
              <w:rPr>
                <w:rFonts w:ascii="Calibri" w:hAnsi="Calibri"/>
                <w:b/>
                <w:color w:val="FFFFFF"/>
                <w:sz w:val="18"/>
              </w:rPr>
              <w:t>Best Epoch</w:t>
            </w:r>
          </w:p>
        </w:tc>
      </w:tr>
      <w:tr>
        <w:trPr>
          <w:cantSplit/>
        </w:trPr>
        <w:tc>
          <w:tcPr>
            <w:tcW w:type="dxa" w:w="1170"/>
            <w:tcMar>
              <w:top w:w="100" w:type="dxa"/>
              <w:bottom w:w="100" w:type="dxa"/>
              <w:left w:w="120" w:type="dxa"/>
              <w:right w:w="120" w:type="dxa"/>
            </w:tcMar>
          </w:tcPr>
          <w:p>
            <w:pPr>
              <w:spacing w:after="0"/>
              <w:jc w:val="left"/>
            </w:pPr>
            <w:r>
              <w:rPr>
                <w:rFonts w:ascii="Calibri" w:hAnsi="Calibri"/>
                <w:color w:val="2D3748"/>
                <w:sz w:val="17"/>
              </w:rPr>
              <w:t>Standard CE</w:t>
            </w:r>
          </w:p>
        </w:tc>
        <w:tc>
          <w:tcPr>
            <w:tcW w:type="dxa" w:w="1170"/>
            <w:tcMar>
              <w:top w:w="100" w:type="dxa"/>
              <w:bottom w:w="100" w:type="dxa"/>
              <w:left w:w="120" w:type="dxa"/>
              <w:right w:w="120" w:type="dxa"/>
            </w:tcMar>
          </w:tcPr>
          <w:p>
            <w:pPr>
              <w:spacing w:after="0"/>
              <w:jc w:val="right"/>
            </w:pPr>
            <w:r>
              <w:rPr>
                <w:rFonts w:ascii="Calibri" w:hAnsi="Calibri"/>
                <w:color w:val="2D3748"/>
                <w:sz w:val="17"/>
              </w:rPr>
              <w:t>0.8275</w:t>
            </w:r>
          </w:p>
        </w:tc>
        <w:tc>
          <w:tcPr>
            <w:tcW w:type="dxa" w:w="1170"/>
            <w:tcMar>
              <w:top w:w="100" w:type="dxa"/>
              <w:bottom w:w="100" w:type="dxa"/>
              <w:left w:w="120" w:type="dxa"/>
              <w:right w:w="120" w:type="dxa"/>
            </w:tcMar>
          </w:tcPr>
          <w:p>
            <w:pPr>
              <w:spacing w:after="0"/>
              <w:jc w:val="right"/>
            </w:pPr>
            <w:r>
              <w:rPr>
                <w:rFonts w:ascii="Calibri" w:hAnsi="Calibri"/>
                <w:color w:val="2D3748"/>
                <w:sz w:val="17"/>
              </w:rPr>
              <w:t>0.9306</w:t>
            </w:r>
          </w:p>
        </w:tc>
        <w:tc>
          <w:tcPr>
            <w:tcW w:type="dxa" w:w="1170"/>
            <w:tcMar>
              <w:top w:w="100" w:type="dxa"/>
              <w:bottom w:w="100" w:type="dxa"/>
              <w:left w:w="120" w:type="dxa"/>
              <w:right w:w="120" w:type="dxa"/>
            </w:tcMar>
          </w:tcPr>
          <w:p>
            <w:pPr>
              <w:spacing w:after="0"/>
              <w:jc w:val="right"/>
            </w:pPr>
            <w:r>
              <w:rPr>
                <w:rFonts w:ascii="Calibri" w:hAnsi="Calibri"/>
                <w:color w:val="2D3748"/>
                <w:sz w:val="17"/>
              </w:rPr>
              <w:t>0.8033</w:t>
            </w:r>
          </w:p>
        </w:tc>
        <w:tc>
          <w:tcPr>
            <w:tcW w:type="dxa" w:w="1170"/>
            <w:tcMar>
              <w:top w:w="100" w:type="dxa"/>
              <w:bottom w:w="100" w:type="dxa"/>
              <w:left w:w="120" w:type="dxa"/>
              <w:right w:w="120" w:type="dxa"/>
            </w:tcMar>
          </w:tcPr>
          <w:p>
            <w:pPr>
              <w:spacing w:after="0"/>
              <w:jc w:val="right"/>
            </w:pPr>
            <w:r>
              <w:rPr>
                <w:rFonts w:ascii="Calibri" w:hAnsi="Calibri"/>
                <w:color w:val="2D3748"/>
                <w:sz w:val="17"/>
              </w:rPr>
              <w:t>0.9363</w:t>
            </w:r>
          </w:p>
        </w:tc>
        <w:tc>
          <w:tcPr>
            <w:tcW w:type="dxa" w:w="1170"/>
            <w:tcMar>
              <w:top w:w="100" w:type="dxa"/>
              <w:bottom w:w="100" w:type="dxa"/>
              <w:left w:w="120" w:type="dxa"/>
              <w:right w:w="120" w:type="dxa"/>
            </w:tcMar>
          </w:tcPr>
          <w:p>
            <w:pPr>
              <w:spacing w:after="0"/>
              <w:jc w:val="right"/>
            </w:pPr>
            <w:r>
              <w:rPr>
                <w:rFonts w:ascii="Calibri" w:hAnsi="Calibri"/>
                <w:color w:val="2D3748"/>
                <w:sz w:val="17"/>
              </w:rPr>
              <w:t>0.9459</w:t>
            </w:r>
          </w:p>
        </w:tc>
        <w:tc>
          <w:tcPr>
            <w:tcW w:type="dxa" w:w="1170"/>
            <w:tcMar>
              <w:top w:w="100" w:type="dxa"/>
              <w:bottom w:w="100" w:type="dxa"/>
              <w:left w:w="120" w:type="dxa"/>
              <w:right w:w="120" w:type="dxa"/>
            </w:tcMar>
          </w:tcPr>
          <w:p>
            <w:pPr>
              <w:spacing w:after="0"/>
              <w:jc w:val="right"/>
            </w:pPr>
            <w:r>
              <w:rPr>
                <w:rFonts w:ascii="Calibri" w:hAnsi="Calibri"/>
                <w:color w:val="2D3748"/>
                <w:sz w:val="17"/>
              </w:rPr>
              <w:t>280.5</w:t>
            </w:r>
          </w:p>
        </w:tc>
        <w:tc>
          <w:tcPr>
            <w:tcW w:type="dxa" w:w="1170"/>
            <w:tcMar>
              <w:top w:w="100" w:type="dxa"/>
              <w:bottom w:w="100" w:type="dxa"/>
              <w:left w:w="120" w:type="dxa"/>
              <w:right w:w="120" w:type="dxa"/>
            </w:tcMar>
          </w:tcPr>
          <w:p>
            <w:pPr>
              <w:spacing w:after="0"/>
              <w:jc w:val="right"/>
            </w:pPr>
            <w:r>
              <w:rPr>
                <w:rFonts w:ascii="Calibri" w:hAnsi="Calibri"/>
                <w:color w:val="2D3748"/>
                <w:sz w:val="17"/>
              </w:rPr>
              <w:t>15</w:t>
            </w:r>
          </w:p>
        </w:tc>
      </w:tr>
      <w:tr>
        <w:trPr>
          <w:cantSplit/>
        </w:trPr>
        <w:tc>
          <w:tcPr>
            <w:tcW w:type="dxa" w:w="1170"/>
            <w:shd w:val="clear" w:color="auto" w:fill="F7FAFC"/>
            <w:tcMar>
              <w:top w:w="100" w:type="dxa"/>
              <w:bottom w:w="100" w:type="dxa"/>
              <w:left w:w="120" w:type="dxa"/>
              <w:right w:w="120" w:type="dxa"/>
            </w:tcMar>
          </w:tcPr>
          <w:p>
            <w:pPr>
              <w:spacing w:after="0"/>
              <w:jc w:val="left"/>
            </w:pPr>
            <w:r>
              <w:rPr>
                <w:rFonts w:ascii="Calibri" w:hAnsi="Calibri"/>
                <w:b/>
                <w:color w:val="1B365D"/>
                <w:sz w:val="17"/>
              </w:rPr>
              <w:t>Focal Loss</w:t>
            </w:r>
          </w:p>
        </w:tc>
        <w:tc>
          <w:tcPr>
            <w:tcW w:type="dxa" w:w="1170"/>
            <w:shd w:val="clear" w:color="auto" w:fill="F7FAFC"/>
            <w:tcMar>
              <w:top w:w="100" w:type="dxa"/>
              <w:bottom w:w="100" w:type="dxa"/>
              <w:left w:w="120" w:type="dxa"/>
              <w:right w:w="120" w:type="dxa"/>
            </w:tcMar>
          </w:tcPr>
          <w:p>
            <w:pPr>
              <w:spacing w:after="0"/>
              <w:jc w:val="right"/>
            </w:pPr>
            <w:r>
              <w:rPr>
                <w:rFonts w:ascii="Calibri" w:hAnsi="Calibri"/>
                <w:b/>
                <w:color w:val="1B365D"/>
                <w:sz w:val="17"/>
              </w:rPr>
              <w:t>0.8279</w:t>
            </w:r>
          </w:p>
        </w:tc>
        <w:tc>
          <w:tcPr>
            <w:tcW w:type="dxa" w:w="1170"/>
            <w:shd w:val="clear" w:color="auto" w:fill="F7FAFC"/>
            <w:tcMar>
              <w:top w:w="100" w:type="dxa"/>
              <w:bottom w:w="100" w:type="dxa"/>
              <w:left w:w="120" w:type="dxa"/>
              <w:right w:w="120" w:type="dxa"/>
            </w:tcMar>
          </w:tcPr>
          <w:p>
            <w:pPr>
              <w:spacing w:after="0"/>
              <w:jc w:val="right"/>
            </w:pPr>
            <w:r>
              <w:rPr>
                <w:rFonts w:ascii="Calibri" w:hAnsi="Calibri"/>
                <w:b/>
                <w:color w:val="1B365D"/>
                <w:sz w:val="17"/>
              </w:rPr>
              <w:t>0.9375</w:t>
            </w:r>
          </w:p>
        </w:tc>
        <w:tc>
          <w:tcPr>
            <w:tcW w:type="dxa" w:w="1170"/>
            <w:shd w:val="clear" w:color="auto" w:fill="F7FAFC"/>
            <w:tcMar>
              <w:top w:w="100" w:type="dxa"/>
              <w:bottom w:w="100" w:type="dxa"/>
              <w:left w:w="120" w:type="dxa"/>
              <w:right w:w="120" w:type="dxa"/>
            </w:tcMar>
          </w:tcPr>
          <w:p>
            <w:pPr>
              <w:spacing w:after="0"/>
              <w:jc w:val="right"/>
            </w:pPr>
            <w:r>
              <w:rPr>
                <w:rFonts w:ascii="Calibri" w:hAnsi="Calibri"/>
                <w:color w:val="2D3748"/>
                <w:sz w:val="17"/>
              </w:rPr>
              <w:t>0.8024</w:t>
            </w:r>
          </w:p>
        </w:tc>
        <w:tc>
          <w:tcPr>
            <w:tcW w:type="dxa" w:w="1170"/>
            <w:shd w:val="clear" w:color="auto" w:fill="F7FAFC"/>
            <w:tcMar>
              <w:top w:w="100" w:type="dxa"/>
              <w:bottom w:w="100" w:type="dxa"/>
              <w:left w:w="120" w:type="dxa"/>
              <w:right w:w="120" w:type="dxa"/>
            </w:tcMar>
          </w:tcPr>
          <w:p>
            <w:pPr>
              <w:spacing w:after="0"/>
              <w:jc w:val="right"/>
            </w:pPr>
            <w:r>
              <w:rPr>
                <w:rFonts w:ascii="Calibri" w:hAnsi="Calibri"/>
                <w:color w:val="2D3748"/>
                <w:sz w:val="17"/>
              </w:rPr>
              <w:t>0.9360</w:t>
            </w:r>
          </w:p>
        </w:tc>
        <w:tc>
          <w:tcPr>
            <w:tcW w:type="dxa" w:w="1170"/>
            <w:shd w:val="clear" w:color="auto" w:fill="F7FAFC"/>
            <w:tcMar>
              <w:top w:w="100" w:type="dxa"/>
              <w:bottom w:w="100" w:type="dxa"/>
              <w:left w:w="120" w:type="dxa"/>
              <w:right w:w="120" w:type="dxa"/>
            </w:tcMar>
          </w:tcPr>
          <w:p>
            <w:pPr>
              <w:spacing w:after="0"/>
              <w:jc w:val="right"/>
            </w:pPr>
            <w:r>
              <w:rPr>
                <w:rFonts w:ascii="Calibri" w:hAnsi="Calibri"/>
                <w:color w:val="2D3748"/>
                <w:sz w:val="17"/>
              </w:rPr>
              <w:t>0.9461</w:t>
            </w:r>
          </w:p>
        </w:tc>
        <w:tc>
          <w:tcPr>
            <w:tcW w:type="dxa" w:w="1170"/>
            <w:shd w:val="clear" w:color="auto" w:fill="F7FAFC"/>
            <w:tcMar>
              <w:top w:w="100" w:type="dxa"/>
              <w:bottom w:w="100" w:type="dxa"/>
              <w:left w:w="120" w:type="dxa"/>
              <w:right w:w="120" w:type="dxa"/>
            </w:tcMar>
          </w:tcPr>
          <w:p>
            <w:pPr>
              <w:spacing w:after="0"/>
              <w:jc w:val="right"/>
            </w:pPr>
            <w:r>
              <w:rPr>
                <w:rFonts w:ascii="Calibri" w:hAnsi="Calibri"/>
                <w:color w:val="2D3748"/>
                <w:sz w:val="17"/>
              </w:rPr>
              <w:t>373.3</w:t>
            </w:r>
          </w:p>
        </w:tc>
        <w:tc>
          <w:tcPr>
            <w:tcW w:type="dxa" w:w="1170"/>
            <w:shd w:val="clear" w:color="auto" w:fill="F7FAFC"/>
            <w:tcMar>
              <w:top w:w="100" w:type="dxa"/>
              <w:bottom w:w="100" w:type="dxa"/>
              <w:left w:w="120" w:type="dxa"/>
              <w:right w:w="120" w:type="dxa"/>
            </w:tcMar>
          </w:tcPr>
          <w:p>
            <w:pPr>
              <w:spacing w:after="0"/>
              <w:jc w:val="right"/>
            </w:pPr>
            <w:r>
              <w:rPr>
                <w:rFonts w:ascii="Calibri" w:hAnsi="Calibri"/>
                <w:color w:val="2D3748"/>
                <w:sz w:val="17"/>
              </w:rPr>
              <w:t>10</w:t>
            </w:r>
          </w:p>
        </w:tc>
      </w:tr>
      <w:tr>
        <w:trPr>
          <w:cantSplit/>
        </w:trPr>
        <w:tc>
          <w:tcPr>
            <w:tcW w:type="dxa" w:w="1170"/>
            <w:tcMar>
              <w:top w:w="100" w:type="dxa"/>
              <w:bottom w:w="100" w:type="dxa"/>
              <w:left w:w="120" w:type="dxa"/>
              <w:right w:w="120" w:type="dxa"/>
            </w:tcMar>
          </w:tcPr>
          <w:p>
            <w:pPr>
              <w:spacing w:after="0"/>
              <w:jc w:val="left"/>
            </w:pPr>
            <w:r>
              <w:rPr>
                <w:rFonts w:ascii="Calibri" w:hAnsi="Calibri"/>
                <w:color w:val="2D3748"/>
                <w:sz w:val="17"/>
              </w:rPr>
              <w:t>Weighted CE</w:t>
            </w:r>
          </w:p>
        </w:tc>
        <w:tc>
          <w:tcPr>
            <w:tcW w:type="dxa" w:w="1170"/>
            <w:tcMar>
              <w:top w:w="100" w:type="dxa"/>
              <w:bottom w:w="100" w:type="dxa"/>
              <w:left w:w="120" w:type="dxa"/>
              <w:right w:w="120" w:type="dxa"/>
            </w:tcMar>
          </w:tcPr>
          <w:p>
            <w:pPr>
              <w:spacing w:after="0"/>
              <w:jc w:val="right"/>
            </w:pPr>
            <w:r>
              <w:rPr>
                <w:rFonts w:ascii="Calibri" w:hAnsi="Calibri"/>
                <w:color w:val="2D3748"/>
                <w:sz w:val="17"/>
              </w:rPr>
              <w:t>0.7455</w:t>
            </w:r>
          </w:p>
        </w:tc>
        <w:tc>
          <w:tcPr>
            <w:tcW w:type="dxa" w:w="1170"/>
            <w:tcMar>
              <w:top w:w="100" w:type="dxa"/>
              <w:bottom w:w="100" w:type="dxa"/>
              <w:left w:w="120" w:type="dxa"/>
              <w:right w:w="120" w:type="dxa"/>
            </w:tcMar>
          </w:tcPr>
          <w:p>
            <w:pPr>
              <w:spacing w:after="0"/>
              <w:jc w:val="right"/>
            </w:pPr>
            <w:r>
              <w:rPr>
                <w:rFonts w:ascii="Calibri" w:hAnsi="Calibri"/>
                <w:color w:val="2D3748"/>
                <w:sz w:val="17"/>
              </w:rPr>
              <w:t>0.7779</w:t>
            </w:r>
          </w:p>
        </w:tc>
        <w:tc>
          <w:tcPr>
            <w:tcW w:type="dxa" w:w="1170"/>
            <w:tcMar>
              <w:top w:w="100" w:type="dxa"/>
              <w:bottom w:w="100" w:type="dxa"/>
              <w:left w:w="120" w:type="dxa"/>
              <w:right w:w="120" w:type="dxa"/>
            </w:tcMar>
          </w:tcPr>
          <w:p>
            <w:pPr>
              <w:spacing w:after="0"/>
              <w:jc w:val="right"/>
            </w:pPr>
            <w:r>
              <w:rPr>
                <w:rFonts w:ascii="Calibri" w:hAnsi="Calibri"/>
                <w:b/>
                <w:color w:val="1B365D"/>
                <w:sz w:val="17"/>
              </w:rPr>
              <w:t>0.8314</w:t>
            </w:r>
          </w:p>
        </w:tc>
        <w:tc>
          <w:tcPr>
            <w:tcW w:type="dxa" w:w="1170"/>
            <w:tcMar>
              <w:top w:w="100" w:type="dxa"/>
              <w:bottom w:w="100" w:type="dxa"/>
              <w:left w:w="120" w:type="dxa"/>
              <w:right w:w="120" w:type="dxa"/>
            </w:tcMar>
          </w:tcPr>
          <w:p>
            <w:pPr>
              <w:spacing w:after="0"/>
              <w:jc w:val="right"/>
            </w:pPr>
            <w:r>
              <w:rPr>
                <w:rFonts w:ascii="Calibri" w:hAnsi="Calibri"/>
                <w:color w:val="2D3748"/>
                <w:sz w:val="17"/>
              </w:rPr>
              <w:t>0.7040</w:t>
            </w:r>
          </w:p>
        </w:tc>
        <w:tc>
          <w:tcPr>
            <w:tcW w:type="dxa" w:w="1170"/>
            <w:tcMar>
              <w:top w:w="100" w:type="dxa"/>
              <w:bottom w:w="100" w:type="dxa"/>
              <w:left w:w="120" w:type="dxa"/>
              <w:right w:w="120" w:type="dxa"/>
            </w:tcMar>
          </w:tcPr>
          <w:p>
            <w:pPr>
              <w:spacing w:after="0"/>
              <w:jc w:val="right"/>
            </w:pPr>
            <w:r>
              <w:rPr>
                <w:rFonts w:ascii="Calibri" w:hAnsi="Calibri"/>
                <w:color w:val="2D3748"/>
                <w:sz w:val="17"/>
              </w:rPr>
              <w:t>0.6285</w:t>
            </w:r>
          </w:p>
        </w:tc>
        <w:tc>
          <w:tcPr>
            <w:tcW w:type="dxa" w:w="1170"/>
            <w:tcMar>
              <w:top w:w="100" w:type="dxa"/>
              <w:bottom w:w="100" w:type="dxa"/>
              <w:left w:w="120" w:type="dxa"/>
              <w:right w:w="120" w:type="dxa"/>
            </w:tcMar>
          </w:tcPr>
          <w:p>
            <w:pPr>
              <w:spacing w:after="0"/>
              <w:jc w:val="right"/>
            </w:pPr>
            <w:r>
              <w:rPr>
                <w:rFonts w:ascii="Calibri" w:hAnsi="Calibri"/>
                <w:color w:val="2D3748"/>
                <w:sz w:val="17"/>
              </w:rPr>
              <w:t>194.3</w:t>
            </w:r>
          </w:p>
        </w:tc>
        <w:tc>
          <w:tcPr>
            <w:tcW w:type="dxa" w:w="1170"/>
            <w:tcMar>
              <w:top w:w="100" w:type="dxa"/>
              <w:bottom w:w="100" w:type="dxa"/>
              <w:left w:w="120" w:type="dxa"/>
              <w:right w:w="120" w:type="dxa"/>
            </w:tcMar>
          </w:tcPr>
          <w:p>
            <w:pPr>
              <w:spacing w:after="0"/>
              <w:jc w:val="right"/>
            </w:pPr>
            <w:r>
              <w:rPr>
                <w:rFonts w:ascii="Calibri" w:hAnsi="Calibri"/>
                <w:color w:val="2D3748"/>
                <w:sz w:val="17"/>
              </w:rPr>
              <w:t>12</w:t>
            </w:r>
          </w:p>
        </w:tc>
      </w:tr>
    </w:tbl>
    <w:p>
      <w:pPr>
        <w:spacing w:after="80"/>
      </w:pPr>
    </w:p>
    <w:p>
      <w:pPr>
        <w:keepNext/>
        <w:spacing w:after="60" w:line="276" w:lineRule="auto" w:before="160"/>
        <w:jc w:val="center"/>
      </w:pPr>
      <w:r>
        <w:rPr>
          <w:b/>
          <w:color w:val="1B365D"/>
          <w:sz w:val="20"/>
        </w:rPr>
        <w:t>Table 9: NF-CSE-CIC-IDS2018-v2 Phase 1 Loss Comparison (Binary)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rPr>
          <w:tblHeader/>
          <w:cantSplit/>
        </w:trPr>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Loss Function</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Macro F1</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Attack Precision</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Attack Recall</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Accuracy</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Training Time (s)</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Best Epoch</w:t>
            </w:r>
          </w:p>
        </w:tc>
      </w:tr>
      <w:tr>
        <w:trPr>
          <w:cantSplit/>
        </w:trPr>
        <w:tc>
          <w:tcPr>
            <w:tcW w:type="dxa" w:w="1337"/>
            <w:tcMar>
              <w:top w:w="100" w:type="dxa"/>
              <w:bottom w:w="100" w:type="dxa"/>
              <w:left w:w="120" w:type="dxa"/>
              <w:right w:w="120" w:type="dxa"/>
            </w:tcMar>
          </w:tcPr>
          <w:p>
            <w:pPr>
              <w:spacing w:after="0"/>
              <w:jc w:val="left"/>
            </w:pPr>
            <w:r>
              <w:rPr>
                <w:rFonts w:ascii="Calibri" w:hAnsi="Calibri"/>
                <w:b/>
                <w:color w:val="1B365D"/>
                <w:sz w:val="17"/>
              </w:rPr>
              <w:t>Standard CE</w:t>
            </w:r>
          </w:p>
        </w:tc>
        <w:tc>
          <w:tcPr>
            <w:tcW w:type="dxa" w:w="1337"/>
            <w:tcMar>
              <w:top w:w="100" w:type="dxa"/>
              <w:bottom w:w="100" w:type="dxa"/>
              <w:left w:w="120" w:type="dxa"/>
              <w:right w:w="120" w:type="dxa"/>
            </w:tcMar>
          </w:tcPr>
          <w:p>
            <w:pPr>
              <w:spacing w:after="0"/>
              <w:jc w:val="right"/>
            </w:pPr>
            <w:r>
              <w:rPr>
                <w:rFonts w:ascii="Calibri" w:hAnsi="Calibri"/>
                <w:b/>
                <w:color w:val="1B365D"/>
                <w:sz w:val="17"/>
              </w:rPr>
              <w:t>0.9878</w:t>
            </w:r>
          </w:p>
        </w:tc>
        <w:tc>
          <w:tcPr>
            <w:tcW w:type="dxa" w:w="1337"/>
            <w:tcMar>
              <w:top w:w="100" w:type="dxa"/>
              <w:bottom w:w="100" w:type="dxa"/>
              <w:left w:w="120" w:type="dxa"/>
              <w:right w:w="120" w:type="dxa"/>
            </w:tcMar>
          </w:tcPr>
          <w:p>
            <w:pPr>
              <w:spacing w:after="0"/>
              <w:jc w:val="right"/>
            </w:pPr>
            <w:r>
              <w:rPr>
                <w:rFonts w:ascii="Calibri" w:hAnsi="Calibri"/>
                <w:color w:val="2D3748"/>
                <w:sz w:val="17"/>
              </w:rPr>
              <w:t>0.9977</w:t>
            </w:r>
          </w:p>
        </w:tc>
        <w:tc>
          <w:tcPr>
            <w:tcW w:type="dxa" w:w="1337"/>
            <w:tcMar>
              <w:top w:w="100" w:type="dxa"/>
              <w:bottom w:w="100" w:type="dxa"/>
              <w:left w:w="120" w:type="dxa"/>
              <w:right w:w="120" w:type="dxa"/>
            </w:tcMar>
          </w:tcPr>
          <w:p>
            <w:pPr>
              <w:spacing w:after="0"/>
              <w:jc w:val="right"/>
            </w:pPr>
            <w:r>
              <w:rPr>
                <w:rFonts w:ascii="Calibri" w:hAnsi="Calibri"/>
                <w:color w:val="2D3748"/>
                <w:sz w:val="17"/>
              </w:rPr>
              <w:t>0.9598</w:t>
            </w:r>
          </w:p>
        </w:tc>
        <w:tc>
          <w:tcPr>
            <w:tcW w:type="dxa" w:w="1337"/>
            <w:tcMar>
              <w:top w:w="100" w:type="dxa"/>
              <w:bottom w:w="100" w:type="dxa"/>
              <w:left w:w="120" w:type="dxa"/>
              <w:right w:w="120" w:type="dxa"/>
            </w:tcMar>
          </w:tcPr>
          <w:p>
            <w:pPr>
              <w:spacing w:after="0"/>
              <w:jc w:val="right"/>
            </w:pPr>
            <w:r>
              <w:rPr>
                <w:rFonts w:ascii="Calibri" w:hAnsi="Calibri"/>
                <w:b/>
                <w:color w:val="1B365D"/>
                <w:sz w:val="17"/>
              </w:rPr>
              <w:t>0.9949</w:t>
            </w:r>
          </w:p>
        </w:tc>
        <w:tc>
          <w:tcPr>
            <w:tcW w:type="dxa" w:w="1337"/>
            <w:tcMar>
              <w:top w:w="100" w:type="dxa"/>
              <w:bottom w:w="100" w:type="dxa"/>
              <w:left w:w="120" w:type="dxa"/>
              <w:right w:w="120" w:type="dxa"/>
            </w:tcMar>
          </w:tcPr>
          <w:p>
            <w:pPr>
              <w:spacing w:after="0"/>
              <w:jc w:val="right"/>
            </w:pPr>
            <w:r>
              <w:rPr>
                <w:rFonts w:ascii="Calibri" w:hAnsi="Calibri"/>
                <w:color w:val="2D3748"/>
                <w:sz w:val="17"/>
              </w:rPr>
              <w:t>110.5</w:t>
            </w:r>
          </w:p>
        </w:tc>
        <w:tc>
          <w:tcPr>
            <w:tcW w:type="dxa" w:w="1337"/>
            <w:tcMar>
              <w:top w:w="100" w:type="dxa"/>
              <w:bottom w:w="100" w:type="dxa"/>
              <w:left w:w="120" w:type="dxa"/>
              <w:right w:w="120" w:type="dxa"/>
            </w:tcMar>
          </w:tcPr>
          <w:p>
            <w:pPr>
              <w:spacing w:after="0"/>
              <w:jc w:val="right"/>
            </w:pPr>
            <w:r>
              <w:rPr>
                <w:rFonts w:ascii="Calibri" w:hAnsi="Calibri"/>
                <w:color w:val="2D3748"/>
                <w:sz w:val="17"/>
              </w:rPr>
              <w:t>7</w:t>
            </w:r>
          </w:p>
        </w:tc>
      </w:tr>
      <w:tr>
        <w:trPr>
          <w:cantSplit/>
        </w:trPr>
        <w:tc>
          <w:tcPr>
            <w:tcW w:type="dxa" w:w="1337"/>
            <w:shd w:val="clear" w:color="auto" w:fill="F7FAFC"/>
            <w:tcMar>
              <w:top w:w="100" w:type="dxa"/>
              <w:bottom w:w="100" w:type="dxa"/>
              <w:left w:w="120" w:type="dxa"/>
              <w:right w:w="120" w:type="dxa"/>
            </w:tcMar>
          </w:tcPr>
          <w:p>
            <w:pPr>
              <w:spacing w:after="0"/>
              <w:jc w:val="left"/>
            </w:pPr>
            <w:r>
              <w:rPr>
                <w:rFonts w:ascii="Calibri" w:hAnsi="Calibri"/>
                <w:color w:val="2D3748"/>
                <w:sz w:val="17"/>
              </w:rPr>
              <w:t>Focal Loss</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0.9874</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0.9994</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0.9571</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0.9948</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108.0</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11</w:t>
            </w:r>
          </w:p>
        </w:tc>
      </w:tr>
      <w:tr>
        <w:trPr>
          <w:cantSplit/>
        </w:trPr>
        <w:tc>
          <w:tcPr>
            <w:tcW w:type="dxa" w:w="1337"/>
            <w:tcMar>
              <w:top w:w="100" w:type="dxa"/>
              <w:bottom w:w="100" w:type="dxa"/>
              <w:left w:w="120" w:type="dxa"/>
              <w:right w:w="120" w:type="dxa"/>
            </w:tcMar>
          </w:tcPr>
          <w:p>
            <w:pPr>
              <w:spacing w:after="0"/>
              <w:jc w:val="left"/>
            </w:pPr>
            <w:r>
              <w:rPr>
                <w:rFonts w:ascii="Calibri" w:hAnsi="Calibri"/>
                <w:color w:val="2D3748"/>
                <w:sz w:val="17"/>
              </w:rPr>
              <w:t>Weighted CE</w:t>
            </w:r>
          </w:p>
        </w:tc>
        <w:tc>
          <w:tcPr>
            <w:tcW w:type="dxa" w:w="1337"/>
            <w:tcMar>
              <w:top w:w="100" w:type="dxa"/>
              <w:bottom w:w="100" w:type="dxa"/>
              <w:left w:w="120" w:type="dxa"/>
              <w:right w:w="120" w:type="dxa"/>
            </w:tcMar>
          </w:tcPr>
          <w:p>
            <w:pPr>
              <w:spacing w:after="0"/>
              <w:jc w:val="right"/>
            </w:pPr>
            <w:r>
              <w:rPr>
                <w:rFonts w:ascii="Calibri" w:hAnsi="Calibri"/>
                <w:color w:val="2D3748"/>
                <w:sz w:val="17"/>
              </w:rPr>
              <w:t>0.9800</w:t>
            </w:r>
          </w:p>
        </w:tc>
        <w:tc>
          <w:tcPr>
            <w:tcW w:type="dxa" w:w="1337"/>
            <w:tcMar>
              <w:top w:w="100" w:type="dxa"/>
              <w:bottom w:w="100" w:type="dxa"/>
              <w:left w:w="120" w:type="dxa"/>
              <w:right w:w="120" w:type="dxa"/>
            </w:tcMar>
          </w:tcPr>
          <w:p>
            <w:pPr>
              <w:spacing w:after="0"/>
              <w:jc w:val="right"/>
            </w:pPr>
            <w:r>
              <w:rPr>
                <w:rFonts w:ascii="Calibri" w:hAnsi="Calibri"/>
                <w:color w:val="2D3748"/>
                <w:sz w:val="17"/>
              </w:rPr>
              <w:t>0.9669</w:t>
            </w:r>
          </w:p>
        </w:tc>
        <w:tc>
          <w:tcPr>
            <w:tcW w:type="dxa" w:w="1337"/>
            <w:tcMar>
              <w:top w:w="100" w:type="dxa"/>
              <w:bottom w:w="100" w:type="dxa"/>
              <w:left w:w="120" w:type="dxa"/>
              <w:right w:w="120" w:type="dxa"/>
            </w:tcMar>
          </w:tcPr>
          <w:p>
            <w:pPr>
              <w:spacing w:after="0"/>
              <w:jc w:val="right"/>
            </w:pPr>
            <w:r>
              <w:rPr>
                <w:rFonts w:ascii="Calibri" w:hAnsi="Calibri"/>
                <w:color w:val="2D3748"/>
                <w:sz w:val="17"/>
              </w:rPr>
              <w:t>0.9626</w:t>
            </w:r>
          </w:p>
        </w:tc>
        <w:tc>
          <w:tcPr>
            <w:tcW w:type="dxa" w:w="1337"/>
            <w:tcMar>
              <w:top w:w="100" w:type="dxa"/>
              <w:bottom w:w="100" w:type="dxa"/>
              <w:left w:w="120" w:type="dxa"/>
              <w:right w:w="120" w:type="dxa"/>
            </w:tcMar>
          </w:tcPr>
          <w:p>
            <w:pPr>
              <w:spacing w:after="0"/>
              <w:jc w:val="right"/>
            </w:pPr>
            <w:r>
              <w:rPr>
                <w:rFonts w:ascii="Calibri" w:hAnsi="Calibri"/>
                <w:color w:val="2D3748"/>
                <w:sz w:val="17"/>
              </w:rPr>
              <w:t>0.9916</w:t>
            </w:r>
          </w:p>
        </w:tc>
        <w:tc>
          <w:tcPr>
            <w:tcW w:type="dxa" w:w="1337"/>
            <w:tcMar>
              <w:top w:w="100" w:type="dxa"/>
              <w:bottom w:w="100" w:type="dxa"/>
              <w:left w:w="120" w:type="dxa"/>
              <w:right w:w="120" w:type="dxa"/>
            </w:tcMar>
          </w:tcPr>
          <w:p>
            <w:pPr>
              <w:spacing w:after="0"/>
              <w:jc w:val="right"/>
            </w:pPr>
            <w:r>
              <w:rPr>
                <w:rFonts w:ascii="Calibri" w:hAnsi="Calibri"/>
                <w:color w:val="2D3748"/>
                <w:sz w:val="17"/>
              </w:rPr>
              <w:t>94.5</w:t>
            </w:r>
          </w:p>
        </w:tc>
        <w:tc>
          <w:tcPr>
            <w:tcW w:type="dxa" w:w="1337"/>
            <w:tcMar>
              <w:top w:w="100" w:type="dxa"/>
              <w:bottom w:w="100" w:type="dxa"/>
              <w:left w:w="120" w:type="dxa"/>
              <w:right w:w="120" w:type="dxa"/>
            </w:tcMar>
          </w:tcPr>
          <w:p>
            <w:pPr>
              <w:spacing w:after="0"/>
              <w:jc w:val="right"/>
            </w:pPr>
            <w:r>
              <w:rPr>
                <w:rFonts w:ascii="Calibri" w:hAnsi="Calibri"/>
                <w:color w:val="2D3748"/>
                <w:sz w:val="17"/>
              </w:rPr>
              <w:t>13</w:t>
            </w:r>
          </w:p>
        </w:tc>
      </w:tr>
    </w:tbl>
    <w:p>
      <w:pPr>
        <w:spacing w:after="80"/>
      </w:pPr>
    </w:p>
    <w:p>
      <w:pPr>
        <w:keepNext/>
        <w:spacing w:after="60" w:line="276" w:lineRule="auto" w:before="160"/>
        <w:jc w:val="center"/>
      </w:pPr>
      <w:r>
        <w:rPr>
          <w:b/>
          <w:color w:val="1B365D"/>
          <w:sz w:val="20"/>
        </w:rPr>
        <w:t>Table 10: NF-UNSW-NB15-v2 Phase 1 Loss Comparison (Binary)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rPr>
          <w:tblHeader/>
          <w:cantSplit/>
        </w:trPr>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Loss Function</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Macro F1</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Attack Precision</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Attack Recall</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Accuracy</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Training Time (s)</w:t>
            </w:r>
          </w:p>
        </w:tc>
        <w:tc>
          <w:tcPr>
            <w:tcW w:type="dxa" w:w="1337"/>
            <w:shd w:val="clear" w:color="auto" w:fill="1B365D"/>
            <w:tcMar>
              <w:top w:w="140" w:type="dxa"/>
              <w:bottom w:w="140" w:type="dxa"/>
              <w:left w:w="140" w:type="dxa"/>
              <w:right w:w="140" w:type="dxa"/>
            </w:tcMar>
          </w:tcPr>
          <w:p>
            <w:pPr>
              <w:spacing w:after="0"/>
              <w:jc w:val="center"/>
            </w:pPr>
            <w:r>
              <w:rPr>
                <w:rFonts w:ascii="Calibri" w:hAnsi="Calibri"/>
                <w:b/>
                <w:color w:val="FFFFFF"/>
                <w:sz w:val="18"/>
              </w:rPr>
              <w:t>Best Epoch</w:t>
            </w:r>
          </w:p>
        </w:tc>
      </w:tr>
      <w:tr>
        <w:trPr>
          <w:cantSplit/>
        </w:trPr>
        <w:tc>
          <w:tcPr>
            <w:tcW w:type="dxa" w:w="1337"/>
            <w:tcMar>
              <w:top w:w="100" w:type="dxa"/>
              <w:bottom w:w="100" w:type="dxa"/>
              <w:left w:w="120" w:type="dxa"/>
              <w:right w:w="120" w:type="dxa"/>
            </w:tcMar>
          </w:tcPr>
          <w:p>
            <w:pPr>
              <w:spacing w:after="0"/>
              <w:jc w:val="left"/>
            </w:pPr>
            <w:r>
              <w:rPr>
                <w:rFonts w:ascii="Calibri" w:hAnsi="Calibri"/>
                <w:b/>
                <w:color w:val="1B365D"/>
                <w:sz w:val="17"/>
              </w:rPr>
              <w:t>Standard CE</w:t>
            </w:r>
          </w:p>
        </w:tc>
        <w:tc>
          <w:tcPr>
            <w:tcW w:type="dxa" w:w="1337"/>
            <w:tcMar>
              <w:top w:w="100" w:type="dxa"/>
              <w:bottom w:w="100" w:type="dxa"/>
              <w:left w:w="120" w:type="dxa"/>
              <w:right w:w="120" w:type="dxa"/>
            </w:tcMar>
          </w:tcPr>
          <w:p>
            <w:pPr>
              <w:spacing w:after="0"/>
              <w:jc w:val="right"/>
            </w:pPr>
            <w:r>
              <w:rPr>
                <w:rFonts w:ascii="Calibri" w:hAnsi="Calibri"/>
                <w:b/>
                <w:color w:val="1B365D"/>
                <w:sz w:val="17"/>
              </w:rPr>
              <w:t>0.9218</w:t>
            </w:r>
          </w:p>
        </w:tc>
        <w:tc>
          <w:tcPr>
            <w:tcW w:type="dxa" w:w="1337"/>
            <w:tcMar>
              <w:top w:w="100" w:type="dxa"/>
              <w:bottom w:w="100" w:type="dxa"/>
              <w:left w:w="120" w:type="dxa"/>
              <w:right w:w="120" w:type="dxa"/>
            </w:tcMar>
          </w:tcPr>
          <w:p>
            <w:pPr>
              <w:spacing w:after="0"/>
              <w:jc w:val="right"/>
            </w:pPr>
            <w:r>
              <w:rPr>
                <w:rFonts w:ascii="Calibri" w:hAnsi="Calibri"/>
                <w:color w:val="2D3748"/>
                <w:sz w:val="17"/>
              </w:rPr>
              <w:t>0.7536</w:t>
            </w:r>
          </w:p>
        </w:tc>
        <w:tc>
          <w:tcPr>
            <w:tcW w:type="dxa" w:w="1337"/>
            <w:tcMar>
              <w:top w:w="100" w:type="dxa"/>
              <w:bottom w:w="100" w:type="dxa"/>
              <w:left w:w="120" w:type="dxa"/>
              <w:right w:w="120" w:type="dxa"/>
            </w:tcMar>
          </w:tcPr>
          <w:p>
            <w:pPr>
              <w:spacing w:after="0"/>
              <w:jc w:val="right"/>
            </w:pPr>
            <w:r>
              <w:rPr>
                <w:rFonts w:ascii="Calibri" w:hAnsi="Calibri"/>
                <w:color w:val="2D3748"/>
                <w:sz w:val="17"/>
              </w:rPr>
              <w:t>0.9735</w:t>
            </w:r>
          </w:p>
        </w:tc>
        <w:tc>
          <w:tcPr>
            <w:tcW w:type="dxa" w:w="1337"/>
            <w:tcMar>
              <w:top w:w="100" w:type="dxa"/>
              <w:bottom w:w="100" w:type="dxa"/>
              <w:left w:w="120" w:type="dxa"/>
              <w:right w:w="120" w:type="dxa"/>
            </w:tcMar>
          </w:tcPr>
          <w:p>
            <w:pPr>
              <w:spacing w:after="0"/>
              <w:jc w:val="right"/>
            </w:pPr>
            <w:r>
              <w:rPr>
                <w:rFonts w:ascii="Calibri" w:hAnsi="Calibri"/>
                <w:b/>
                <w:color w:val="1B365D"/>
                <w:sz w:val="17"/>
              </w:rPr>
              <w:t>0.9887</w:t>
            </w:r>
          </w:p>
        </w:tc>
        <w:tc>
          <w:tcPr>
            <w:tcW w:type="dxa" w:w="1337"/>
            <w:tcMar>
              <w:top w:w="100" w:type="dxa"/>
              <w:bottom w:w="100" w:type="dxa"/>
              <w:left w:w="120" w:type="dxa"/>
              <w:right w:w="120" w:type="dxa"/>
            </w:tcMar>
          </w:tcPr>
          <w:p>
            <w:pPr>
              <w:spacing w:after="0"/>
              <w:jc w:val="right"/>
            </w:pPr>
            <w:r>
              <w:rPr>
                <w:rFonts w:ascii="Calibri" w:hAnsi="Calibri"/>
                <w:color w:val="2D3748"/>
                <w:sz w:val="17"/>
              </w:rPr>
              <w:t>89.4</w:t>
            </w:r>
          </w:p>
        </w:tc>
        <w:tc>
          <w:tcPr>
            <w:tcW w:type="dxa" w:w="1337"/>
            <w:tcMar>
              <w:top w:w="100" w:type="dxa"/>
              <w:bottom w:w="100" w:type="dxa"/>
              <w:left w:w="120" w:type="dxa"/>
              <w:right w:w="120" w:type="dxa"/>
            </w:tcMar>
          </w:tcPr>
          <w:p>
            <w:pPr>
              <w:spacing w:after="0"/>
              <w:jc w:val="right"/>
            </w:pPr>
            <w:r>
              <w:rPr>
                <w:rFonts w:ascii="Calibri" w:hAnsi="Calibri"/>
                <w:color w:val="2D3748"/>
                <w:sz w:val="17"/>
              </w:rPr>
              <w:t>14</w:t>
            </w:r>
          </w:p>
        </w:tc>
      </w:tr>
      <w:tr>
        <w:trPr>
          <w:cantSplit/>
        </w:trPr>
        <w:tc>
          <w:tcPr>
            <w:tcW w:type="dxa" w:w="1337"/>
            <w:shd w:val="clear" w:color="auto" w:fill="F7FAFC"/>
            <w:tcMar>
              <w:top w:w="100" w:type="dxa"/>
              <w:bottom w:w="100" w:type="dxa"/>
              <w:left w:w="120" w:type="dxa"/>
              <w:right w:w="120" w:type="dxa"/>
            </w:tcMar>
          </w:tcPr>
          <w:p>
            <w:pPr>
              <w:spacing w:after="0"/>
              <w:jc w:val="left"/>
            </w:pPr>
            <w:r>
              <w:rPr>
                <w:rFonts w:ascii="Calibri" w:hAnsi="Calibri"/>
                <w:color w:val="2D3748"/>
                <w:sz w:val="17"/>
              </w:rPr>
              <w:t>Focal Loss</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0.9191</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0.7352</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0.9918</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0.9881</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115.9</w:t>
            </w:r>
          </w:p>
        </w:tc>
        <w:tc>
          <w:tcPr>
            <w:tcW w:type="dxa" w:w="1337"/>
            <w:shd w:val="clear" w:color="auto" w:fill="F7FAFC"/>
            <w:tcMar>
              <w:top w:w="100" w:type="dxa"/>
              <w:bottom w:w="100" w:type="dxa"/>
              <w:left w:w="120" w:type="dxa"/>
              <w:right w:w="120" w:type="dxa"/>
            </w:tcMar>
          </w:tcPr>
          <w:p>
            <w:pPr>
              <w:spacing w:after="0"/>
              <w:jc w:val="right"/>
            </w:pPr>
            <w:r>
              <w:rPr>
                <w:rFonts w:ascii="Calibri" w:hAnsi="Calibri"/>
                <w:color w:val="2D3748"/>
                <w:sz w:val="17"/>
              </w:rPr>
              <w:t>14</w:t>
            </w:r>
          </w:p>
        </w:tc>
      </w:tr>
    </w:tbl>
    <w:p>
      <w:pPr>
        <w:spacing w:after="80"/>
      </w:pPr>
    </w:p>
    <w:p>
      <w:pPr>
        <w:keepNext/>
        <w:spacing w:before="200" w:after="60"/>
      </w:pPr>
      <w:r>
        <w:rPr>
          <w:rFonts w:ascii="Calibri" w:hAnsi="Calibri"/>
          <w:b/>
          <w:color w:val="2C5282"/>
          <w:sz w:val="23"/>
        </w:rPr>
        <w:t>7.2 Phase 2: Multimodal Fusion Benchmark under Gradient-Adaptive Loss</w:t>
      </w:r>
    </w:p>
    <w:p>
      <w:pPr>
        <w:spacing w:after="80" w:line="276" w:lineRule="auto"/>
      </w:pPr>
      <w:r>
        <w:rPr>
          <w:sz w:val="21"/>
        </w:rPr>
        <w:t>Phase 2 evaluates all six fusion strategies trained with $L_{\mathrm{hybrid}}$ across all three datasets (18 total experiments).</w:t>
      </w:r>
    </w:p>
    <w:p>
      <w:pPr>
        <w:keepNext/>
        <w:spacing w:after="60" w:line="276" w:lineRule="auto" w:before="160"/>
        <w:jc w:val="center"/>
      </w:pPr>
      <w:r>
        <w:rPr>
          <w:b/>
          <w:color w:val="1B365D"/>
          <w:sz w:val="20"/>
        </w:rPr>
        <w:t>Table 11: Master Summary — Phase 2 Fusion Benchmark Performance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936"/>
        <w:gridCol w:w="936"/>
        <w:gridCol w:w="936"/>
        <w:gridCol w:w="936"/>
        <w:gridCol w:w="936"/>
        <w:gridCol w:w="936"/>
        <w:gridCol w:w="936"/>
        <w:gridCol w:w="936"/>
        <w:gridCol w:w="936"/>
        <w:gridCol w:w="936"/>
      </w:tblGrid>
      <w:tr>
        <w:trPr>
          <w:tblHeader/>
          <w:cantSplit/>
        </w:trPr>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Dataset</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Fusion Strategy</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Macro F1</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Weighted F1</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Accuracy</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Final $\alpha$</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Final $\beta$</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Final $\gamma_w$</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Best Epoch</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Time (s)</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tcMar>
              <w:top w:w="100" w:type="dxa"/>
              <w:bottom w:w="100" w:type="dxa"/>
              <w:left w:w="120" w:type="dxa"/>
              <w:right w:w="120" w:type="dxa"/>
            </w:tcMar>
          </w:tcPr>
          <w:p>
            <w:pPr>
              <w:spacing w:after="0"/>
              <w:jc w:val="left"/>
            </w:pPr>
            <w:r>
              <w:rPr>
                <w:rFonts w:ascii="Calibri" w:hAnsi="Calibri"/>
                <w:color w:val="2D3748"/>
                <w:sz w:val="17"/>
              </w:rPr>
              <w:t>Concat</w:t>
            </w:r>
          </w:p>
        </w:tc>
        <w:tc>
          <w:tcPr>
            <w:tcW w:type="dxa" w:w="936"/>
            <w:tcMar>
              <w:top w:w="100" w:type="dxa"/>
              <w:bottom w:w="100" w:type="dxa"/>
              <w:left w:w="120" w:type="dxa"/>
              <w:right w:w="120" w:type="dxa"/>
            </w:tcMar>
          </w:tcPr>
          <w:p>
            <w:pPr>
              <w:spacing w:after="0"/>
              <w:jc w:val="right"/>
            </w:pPr>
            <w:r>
              <w:rPr>
                <w:rFonts w:ascii="Calibri" w:hAnsi="Calibri"/>
                <w:color w:val="2D3748"/>
                <w:sz w:val="17"/>
              </w:rPr>
              <w:t>0.9866</w:t>
            </w:r>
          </w:p>
        </w:tc>
        <w:tc>
          <w:tcPr>
            <w:tcW w:type="dxa" w:w="936"/>
            <w:tcMar>
              <w:top w:w="100" w:type="dxa"/>
              <w:bottom w:w="100" w:type="dxa"/>
              <w:left w:w="120" w:type="dxa"/>
              <w:right w:w="120" w:type="dxa"/>
            </w:tcMar>
          </w:tcPr>
          <w:p>
            <w:pPr>
              <w:spacing w:after="0"/>
              <w:jc w:val="right"/>
            </w:pPr>
            <w:r>
              <w:rPr>
                <w:rFonts w:ascii="Calibri" w:hAnsi="Calibri"/>
                <w:color w:val="2D3748"/>
                <w:sz w:val="17"/>
              </w:rPr>
              <w:t>0.9944</w:t>
            </w:r>
          </w:p>
        </w:tc>
        <w:tc>
          <w:tcPr>
            <w:tcW w:type="dxa" w:w="936"/>
            <w:tcMar>
              <w:top w:w="100" w:type="dxa"/>
              <w:bottom w:w="100" w:type="dxa"/>
              <w:left w:w="120" w:type="dxa"/>
              <w:right w:w="120" w:type="dxa"/>
            </w:tcMar>
          </w:tcPr>
          <w:p>
            <w:pPr>
              <w:spacing w:after="0"/>
              <w:jc w:val="right"/>
            </w:pPr>
            <w:r>
              <w:rPr>
                <w:rFonts w:ascii="Calibri" w:hAnsi="Calibri"/>
                <w:color w:val="2D3748"/>
                <w:sz w:val="17"/>
              </w:rPr>
              <w:t>0.9945</w:t>
            </w:r>
          </w:p>
        </w:tc>
        <w:tc>
          <w:tcPr>
            <w:tcW w:type="dxa" w:w="936"/>
            <w:tcMar>
              <w:top w:w="100" w:type="dxa"/>
              <w:bottom w:w="100" w:type="dxa"/>
              <w:left w:w="120" w:type="dxa"/>
              <w:right w:w="120" w:type="dxa"/>
            </w:tcMar>
          </w:tcPr>
          <w:p>
            <w:pPr>
              <w:spacing w:after="0"/>
              <w:jc w:val="right"/>
            </w:pPr>
            <w:r>
              <w:rPr>
                <w:rFonts w:ascii="Calibri" w:hAnsi="Calibri"/>
                <w:color w:val="2D3748"/>
                <w:sz w:val="17"/>
              </w:rPr>
              <w:t>0.2875</w:t>
            </w:r>
          </w:p>
        </w:tc>
        <w:tc>
          <w:tcPr>
            <w:tcW w:type="dxa" w:w="936"/>
            <w:tcMar>
              <w:top w:w="100" w:type="dxa"/>
              <w:bottom w:w="100" w:type="dxa"/>
              <w:left w:w="120" w:type="dxa"/>
              <w:right w:w="120" w:type="dxa"/>
            </w:tcMar>
          </w:tcPr>
          <w:p>
            <w:pPr>
              <w:spacing w:after="0"/>
              <w:jc w:val="right"/>
            </w:pPr>
            <w:r>
              <w:rPr>
                <w:rFonts w:ascii="Calibri" w:hAnsi="Calibri"/>
                <w:color w:val="2D3748"/>
                <w:sz w:val="17"/>
              </w:rPr>
              <w:t>0.6483</w:t>
            </w:r>
          </w:p>
        </w:tc>
        <w:tc>
          <w:tcPr>
            <w:tcW w:type="dxa" w:w="936"/>
            <w:tcMar>
              <w:top w:w="100" w:type="dxa"/>
              <w:bottom w:w="100" w:type="dxa"/>
              <w:left w:w="120" w:type="dxa"/>
              <w:right w:w="120" w:type="dxa"/>
            </w:tcMar>
          </w:tcPr>
          <w:p>
            <w:pPr>
              <w:spacing w:after="0"/>
              <w:jc w:val="right"/>
            </w:pPr>
            <w:r>
              <w:rPr>
                <w:rFonts w:ascii="Calibri" w:hAnsi="Calibri"/>
                <w:color w:val="2D3748"/>
                <w:sz w:val="17"/>
              </w:rPr>
              <w:t>0.0643</w:t>
            </w:r>
          </w:p>
        </w:tc>
        <w:tc>
          <w:tcPr>
            <w:tcW w:type="dxa" w:w="936"/>
            <w:tcMar>
              <w:top w:w="100" w:type="dxa"/>
              <w:bottom w:w="100" w:type="dxa"/>
              <w:left w:w="120" w:type="dxa"/>
              <w:right w:w="120" w:type="dxa"/>
            </w:tcMar>
          </w:tcPr>
          <w:p>
            <w:pPr>
              <w:spacing w:after="0"/>
              <w:jc w:val="right"/>
            </w:pPr>
            <w:r>
              <w:rPr>
                <w:rFonts w:ascii="Calibri" w:hAnsi="Calibri"/>
                <w:color w:val="2D3748"/>
                <w:sz w:val="17"/>
              </w:rPr>
              <w:t>6</w:t>
            </w:r>
          </w:p>
        </w:tc>
        <w:tc>
          <w:tcPr>
            <w:tcW w:type="dxa" w:w="936"/>
            <w:tcMar>
              <w:top w:w="100" w:type="dxa"/>
              <w:bottom w:w="100" w:type="dxa"/>
              <w:left w:w="120" w:type="dxa"/>
              <w:right w:w="120" w:type="dxa"/>
            </w:tcMar>
          </w:tcPr>
          <w:p>
            <w:pPr>
              <w:spacing w:after="0"/>
              <w:jc w:val="right"/>
            </w:pPr>
            <w:r>
              <w:rPr>
                <w:rFonts w:ascii="Calibri" w:hAnsi="Calibri"/>
                <w:color w:val="2D3748"/>
                <w:sz w:val="17"/>
              </w:rPr>
              <w:t>156.9</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shd w:val="clear" w:color="auto" w:fill="F7FAFC"/>
            <w:tcMar>
              <w:top w:w="100" w:type="dxa"/>
              <w:bottom w:w="100" w:type="dxa"/>
              <w:left w:w="120" w:type="dxa"/>
              <w:right w:w="120" w:type="dxa"/>
            </w:tcMar>
          </w:tcPr>
          <w:p>
            <w:pPr>
              <w:spacing w:after="0"/>
              <w:jc w:val="left"/>
            </w:pPr>
            <w:r>
              <w:rPr>
                <w:rFonts w:ascii="Calibri" w:hAnsi="Calibri"/>
                <w:b/>
                <w:color w:val="1B365D"/>
                <w:sz w:val="17"/>
              </w:rPr>
              <w:t>Gated</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0.9871</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0.9946</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0.9947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0.2938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0.6421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0.0641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135.3</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tcMar>
              <w:top w:w="100" w:type="dxa"/>
              <w:bottom w:w="100" w:type="dxa"/>
              <w:left w:w="120" w:type="dxa"/>
              <w:right w:w="120" w:type="dxa"/>
            </w:tcMar>
          </w:tcPr>
          <w:p>
            <w:pPr>
              <w:spacing w:after="0"/>
              <w:jc w:val="left"/>
            </w:pPr>
            <w:r>
              <w:rPr>
                <w:rFonts w:ascii="Calibri" w:hAnsi="Calibri"/>
                <w:color w:val="2D3748"/>
                <w:sz w:val="17"/>
              </w:rPr>
              <w:t>Bilinear</w:t>
            </w:r>
          </w:p>
        </w:tc>
        <w:tc>
          <w:tcPr>
            <w:tcW w:type="dxa" w:w="936"/>
            <w:tcMar>
              <w:top w:w="100" w:type="dxa"/>
              <w:bottom w:w="100" w:type="dxa"/>
              <w:left w:w="120" w:type="dxa"/>
              <w:right w:w="120" w:type="dxa"/>
            </w:tcMar>
          </w:tcPr>
          <w:p>
            <w:pPr>
              <w:spacing w:after="0"/>
              <w:jc w:val="right"/>
            </w:pPr>
            <w:r>
              <w:rPr>
                <w:rFonts w:ascii="Calibri" w:hAnsi="Calibri"/>
                <w:color w:val="2D3748"/>
                <w:sz w:val="17"/>
              </w:rPr>
              <w:t>0.9870</w:t>
            </w:r>
          </w:p>
        </w:tc>
        <w:tc>
          <w:tcPr>
            <w:tcW w:type="dxa" w:w="936"/>
            <w:tcMar>
              <w:top w:w="100" w:type="dxa"/>
              <w:bottom w:w="100" w:type="dxa"/>
              <w:left w:w="120" w:type="dxa"/>
              <w:right w:w="120" w:type="dxa"/>
            </w:tcMar>
          </w:tcPr>
          <w:p>
            <w:pPr>
              <w:spacing w:after="0"/>
              <w:jc w:val="right"/>
            </w:pPr>
            <w:r>
              <w:rPr>
                <w:rFonts w:ascii="Calibri" w:hAnsi="Calibri"/>
                <w:color w:val="2D3748"/>
                <w:sz w:val="17"/>
              </w:rPr>
              <w:t>0.9946</w:t>
            </w:r>
          </w:p>
        </w:tc>
        <w:tc>
          <w:tcPr>
            <w:tcW w:type="dxa" w:w="936"/>
            <w:tcMar>
              <w:top w:w="100" w:type="dxa"/>
              <w:bottom w:w="100" w:type="dxa"/>
              <w:left w:w="120" w:type="dxa"/>
              <w:right w:w="120" w:type="dxa"/>
            </w:tcMar>
          </w:tcPr>
          <w:p>
            <w:pPr>
              <w:spacing w:after="0"/>
              <w:jc w:val="right"/>
            </w:pPr>
            <w:r>
              <w:rPr>
                <w:rFonts w:ascii="Calibri" w:hAnsi="Calibri"/>
                <w:color w:val="2D3748"/>
                <w:sz w:val="17"/>
              </w:rPr>
              <w:t>0.9946</w:t>
            </w:r>
          </w:p>
        </w:tc>
        <w:tc>
          <w:tcPr>
            <w:tcW w:type="dxa" w:w="936"/>
            <w:tcMar>
              <w:top w:w="100" w:type="dxa"/>
              <w:bottom w:w="100" w:type="dxa"/>
              <w:left w:w="120" w:type="dxa"/>
              <w:right w:w="120" w:type="dxa"/>
            </w:tcMar>
          </w:tcPr>
          <w:p>
            <w:pPr>
              <w:spacing w:after="0"/>
              <w:jc w:val="right"/>
            </w:pPr>
            <w:r>
              <w:rPr>
                <w:rFonts w:ascii="Calibri" w:hAnsi="Calibri"/>
                <w:color w:val="2D3748"/>
                <w:sz w:val="17"/>
              </w:rPr>
              <w:t>0.3334</w:t>
            </w:r>
          </w:p>
        </w:tc>
        <w:tc>
          <w:tcPr>
            <w:tcW w:type="dxa" w:w="936"/>
            <w:tcMar>
              <w:top w:w="100" w:type="dxa"/>
              <w:bottom w:w="100" w:type="dxa"/>
              <w:left w:w="120" w:type="dxa"/>
              <w:right w:w="120" w:type="dxa"/>
            </w:tcMar>
          </w:tcPr>
          <w:p>
            <w:pPr>
              <w:spacing w:after="0"/>
              <w:jc w:val="right"/>
            </w:pPr>
            <w:r>
              <w:rPr>
                <w:rFonts w:ascii="Calibri" w:hAnsi="Calibri"/>
                <w:color w:val="2D3748"/>
                <w:sz w:val="17"/>
              </w:rPr>
              <w:t>0.5927</w:t>
            </w:r>
          </w:p>
        </w:tc>
        <w:tc>
          <w:tcPr>
            <w:tcW w:type="dxa" w:w="936"/>
            <w:tcMar>
              <w:top w:w="100" w:type="dxa"/>
              <w:bottom w:w="100" w:type="dxa"/>
              <w:left w:w="120" w:type="dxa"/>
              <w:right w:w="120" w:type="dxa"/>
            </w:tcMar>
          </w:tcPr>
          <w:p>
            <w:pPr>
              <w:spacing w:after="0"/>
              <w:jc w:val="right"/>
            </w:pPr>
            <w:r>
              <w:rPr>
                <w:rFonts w:ascii="Calibri" w:hAnsi="Calibri"/>
                <w:color w:val="2D3748"/>
                <w:sz w:val="17"/>
              </w:rPr>
              <w:t>0.0738</w:t>
            </w:r>
          </w:p>
        </w:tc>
        <w:tc>
          <w:tcPr>
            <w:tcW w:type="dxa" w:w="936"/>
            <w:tcMar>
              <w:top w:w="100" w:type="dxa"/>
              <w:bottom w:w="100" w:type="dxa"/>
              <w:left w:w="120" w:type="dxa"/>
              <w:right w:w="120" w:type="dxa"/>
            </w:tcMar>
          </w:tcPr>
          <w:p>
            <w:pPr>
              <w:spacing w:after="0"/>
              <w:jc w:val="right"/>
            </w:pPr>
            <w:r>
              <w:rPr>
                <w:rFonts w:ascii="Calibri" w:hAnsi="Calibri"/>
                <w:color w:val="2D3748"/>
                <w:sz w:val="17"/>
              </w:rPr>
              <w:t>6</w:t>
            </w:r>
          </w:p>
        </w:tc>
        <w:tc>
          <w:tcPr>
            <w:tcW w:type="dxa" w:w="936"/>
            <w:tcMar>
              <w:top w:w="100" w:type="dxa"/>
              <w:bottom w:w="100" w:type="dxa"/>
              <w:left w:w="120" w:type="dxa"/>
              <w:right w:w="120" w:type="dxa"/>
            </w:tcMar>
          </w:tcPr>
          <w:p>
            <w:pPr>
              <w:spacing w:after="0"/>
              <w:jc w:val="right"/>
            </w:pPr>
            <w:r>
              <w:rPr>
                <w:rFonts w:ascii="Calibri" w:hAnsi="Calibri"/>
                <w:color w:val="2D3748"/>
                <w:sz w:val="17"/>
              </w:rPr>
              <w:t>325.9</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Cross-Attention</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0.9863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0.9943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0.9943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0.2815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0.6571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0.0614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177.0</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tcMar>
              <w:top w:w="100" w:type="dxa"/>
              <w:bottom w:w="100" w:type="dxa"/>
              <w:left w:w="120" w:type="dxa"/>
              <w:right w:w="120" w:type="dxa"/>
            </w:tcMar>
          </w:tcPr>
          <w:p>
            <w:pPr>
              <w:spacing w:after="0"/>
              <w:jc w:val="left"/>
            </w:pPr>
            <w:r>
              <w:rPr>
                <w:rFonts w:ascii="Calibri" w:hAnsi="Calibri"/>
                <w:color w:val="2D3748"/>
                <w:sz w:val="17"/>
              </w:rPr>
              <w:t>Decision Ensemble</w:t>
            </w:r>
          </w:p>
        </w:tc>
        <w:tc>
          <w:tcPr>
            <w:tcW w:type="dxa" w:w="936"/>
            <w:tcMar>
              <w:top w:w="100" w:type="dxa"/>
              <w:bottom w:w="100" w:type="dxa"/>
              <w:left w:w="120" w:type="dxa"/>
              <w:right w:w="120" w:type="dxa"/>
            </w:tcMar>
          </w:tcPr>
          <w:p>
            <w:pPr>
              <w:spacing w:after="0"/>
              <w:jc w:val="right"/>
            </w:pPr>
            <w:r>
              <w:rPr>
                <w:rFonts w:ascii="Calibri" w:hAnsi="Calibri"/>
                <w:b/>
                <w:color w:val="1B365D"/>
                <w:sz w:val="17"/>
              </w:rPr>
              <w:t>0.9871</w:t>
            </w:r>
          </w:p>
        </w:tc>
        <w:tc>
          <w:tcPr>
            <w:tcW w:type="dxa" w:w="936"/>
            <w:tcMar>
              <w:top w:w="100" w:type="dxa"/>
              <w:bottom w:w="100" w:type="dxa"/>
              <w:left w:w="120" w:type="dxa"/>
              <w:right w:w="120" w:type="dxa"/>
            </w:tcMar>
          </w:tcPr>
          <w:p>
            <w:pPr>
              <w:spacing w:after="0"/>
              <w:jc w:val="right"/>
            </w:pPr>
            <w:r>
              <w:rPr>
                <w:rFonts w:ascii="Calibri" w:hAnsi="Calibri"/>
                <w:b/>
                <w:color w:val="1B365D"/>
                <w:sz w:val="17"/>
              </w:rPr>
              <w:t>0.9946</w:t>
            </w:r>
          </w:p>
        </w:tc>
        <w:tc>
          <w:tcPr>
            <w:tcW w:type="dxa" w:w="936"/>
            <w:tcMar>
              <w:top w:w="100" w:type="dxa"/>
              <w:bottom w:w="100" w:type="dxa"/>
              <w:left w:w="120" w:type="dxa"/>
              <w:right w:w="120" w:type="dxa"/>
            </w:tcMar>
          </w:tcPr>
          <w:p>
            <w:pPr>
              <w:spacing w:after="0"/>
              <w:jc w:val="right"/>
            </w:pPr>
            <w:r>
              <w:rPr>
                <w:rFonts w:ascii="Calibri" w:hAnsi="Calibri"/>
                <w:b/>
                <w:color w:val="1B365D"/>
                <w:sz w:val="17"/>
              </w:rPr>
              <w:t>0.9947</w:t>
            </w:r>
          </w:p>
        </w:tc>
        <w:tc>
          <w:tcPr>
            <w:tcW w:type="dxa" w:w="936"/>
            <w:tcMar>
              <w:top w:w="100" w:type="dxa"/>
              <w:bottom w:w="100" w:type="dxa"/>
              <w:left w:w="120" w:type="dxa"/>
              <w:right w:w="120" w:type="dxa"/>
            </w:tcMar>
          </w:tcPr>
          <w:p>
            <w:pPr>
              <w:spacing w:after="0"/>
              <w:jc w:val="right"/>
            </w:pPr>
            <w:r>
              <w:rPr>
                <w:rFonts w:ascii="Calibri" w:hAnsi="Calibri"/>
                <w:color w:val="2D3748"/>
                <w:sz w:val="17"/>
              </w:rPr>
              <w:t>0.4234</w:t>
            </w:r>
          </w:p>
        </w:tc>
        <w:tc>
          <w:tcPr>
            <w:tcW w:type="dxa" w:w="936"/>
            <w:tcMar>
              <w:top w:w="100" w:type="dxa"/>
              <w:bottom w:w="100" w:type="dxa"/>
              <w:left w:w="120" w:type="dxa"/>
              <w:right w:w="120" w:type="dxa"/>
            </w:tcMar>
          </w:tcPr>
          <w:p>
            <w:pPr>
              <w:spacing w:after="0"/>
              <w:jc w:val="right"/>
            </w:pPr>
            <w:r>
              <w:rPr>
                <w:rFonts w:ascii="Calibri" w:hAnsi="Calibri"/>
                <w:color w:val="2D3748"/>
                <w:sz w:val="17"/>
              </w:rPr>
              <w:t>0.5147</w:t>
            </w:r>
          </w:p>
        </w:tc>
        <w:tc>
          <w:tcPr>
            <w:tcW w:type="dxa" w:w="936"/>
            <w:tcMar>
              <w:top w:w="100" w:type="dxa"/>
              <w:bottom w:w="100" w:type="dxa"/>
              <w:left w:w="120" w:type="dxa"/>
              <w:right w:w="120" w:type="dxa"/>
            </w:tcMar>
          </w:tcPr>
          <w:p>
            <w:pPr>
              <w:spacing w:after="0"/>
              <w:jc w:val="right"/>
            </w:pPr>
            <w:r>
              <w:rPr>
                <w:rFonts w:ascii="Calibri" w:hAnsi="Calibri"/>
                <w:color w:val="2D3748"/>
                <w:sz w:val="17"/>
              </w:rPr>
              <w:t>0.0620</w:t>
            </w:r>
          </w:p>
        </w:tc>
        <w:tc>
          <w:tcPr>
            <w:tcW w:type="dxa" w:w="936"/>
            <w:tcMar>
              <w:top w:w="100" w:type="dxa"/>
              <w:bottom w:w="100" w:type="dxa"/>
              <w:left w:w="120" w:type="dxa"/>
              <w:right w:w="120" w:type="dxa"/>
            </w:tcMar>
          </w:tcPr>
          <w:p>
            <w:pPr>
              <w:spacing w:after="0"/>
              <w:jc w:val="right"/>
            </w:pPr>
            <w:r>
              <w:rPr>
                <w:rFonts w:ascii="Calibri" w:hAnsi="Calibri"/>
                <w:color w:val="2D3748"/>
                <w:sz w:val="17"/>
              </w:rPr>
              <w:t>5</w:t>
            </w:r>
          </w:p>
        </w:tc>
        <w:tc>
          <w:tcPr>
            <w:tcW w:type="dxa" w:w="936"/>
            <w:tcMar>
              <w:top w:w="100" w:type="dxa"/>
              <w:bottom w:w="100" w:type="dxa"/>
              <w:left w:w="120" w:type="dxa"/>
              <w:right w:w="120" w:type="dxa"/>
            </w:tcMar>
          </w:tcPr>
          <w:p>
            <w:pPr>
              <w:spacing w:after="0"/>
              <w:jc w:val="right"/>
            </w:pPr>
            <w:r>
              <w:rPr>
                <w:rFonts w:ascii="Calibri" w:hAnsi="Calibri"/>
                <w:color w:val="2D3748"/>
                <w:sz w:val="17"/>
              </w:rPr>
              <w:t>119.1</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NF-CSE-CIC-IDS2018-v2</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Quantum PQC (Sim)</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0.9804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0.9918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0.9918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0.4213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0.5038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0.0749</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173.4</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tcMar>
              <w:top w:w="100" w:type="dxa"/>
              <w:bottom w:w="100" w:type="dxa"/>
              <w:left w:w="120" w:type="dxa"/>
              <w:right w:w="120" w:type="dxa"/>
            </w:tcMar>
          </w:tcPr>
          <w:p>
            <w:pPr>
              <w:spacing w:after="0"/>
              <w:jc w:val="left"/>
            </w:pPr>
            <w:r>
              <w:rPr>
                <w:rFonts w:ascii="Calibri" w:hAnsi="Calibri"/>
                <w:color w:val="2D3748"/>
                <w:sz w:val="17"/>
              </w:rPr>
              <w:t>Concat</w:t>
            </w:r>
          </w:p>
        </w:tc>
        <w:tc>
          <w:tcPr>
            <w:tcW w:type="dxa" w:w="936"/>
            <w:tcMar>
              <w:top w:w="100" w:type="dxa"/>
              <w:bottom w:w="100" w:type="dxa"/>
              <w:left w:w="120" w:type="dxa"/>
              <w:right w:w="120" w:type="dxa"/>
            </w:tcMar>
          </w:tcPr>
          <w:p>
            <w:pPr>
              <w:spacing w:after="0"/>
              <w:jc w:val="right"/>
            </w:pPr>
            <w:r>
              <w:rPr>
                <w:rFonts w:ascii="Calibri" w:hAnsi="Calibri"/>
                <w:color w:val="2D3748"/>
                <w:sz w:val="17"/>
              </w:rPr>
              <w:t>0.9189</w:t>
            </w:r>
          </w:p>
        </w:tc>
        <w:tc>
          <w:tcPr>
            <w:tcW w:type="dxa" w:w="936"/>
            <w:tcMar>
              <w:top w:w="100" w:type="dxa"/>
              <w:bottom w:w="100" w:type="dxa"/>
              <w:left w:w="120" w:type="dxa"/>
              <w:right w:w="120" w:type="dxa"/>
            </w:tcMar>
          </w:tcPr>
          <w:p>
            <w:pPr>
              <w:spacing w:after="0"/>
              <w:jc w:val="right"/>
            </w:pPr>
            <w:r>
              <w:rPr>
                <w:rFonts w:ascii="Calibri" w:hAnsi="Calibri"/>
                <w:color w:val="2D3748"/>
                <w:sz w:val="17"/>
              </w:rPr>
              <w:t>0.9889</w:t>
            </w:r>
          </w:p>
        </w:tc>
        <w:tc>
          <w:tcPr>
            <w:tcW w:type="dxa" w:w="936"/>
            <w:tcMar>
              <w:top w:w="100" w:type="dxa"/>
              <w:bottom w:w="100" w:type="dxa"/>
              <w:left w:w="120" w:type="dxa"/>
              <w:right w:w="120" w:type="dxa"/>
            </w:tcMar>
          </w:tcPr>
          <w:p>
            <w:pPr>
              <w:spacing w:after="0"/>
              <w:jc w:val="right"/>
            </w:pPr>
            <w:r>
              <w:rPr>
                <w:rFonts w:ascii="Calibri" w:hAnsi="Calibri"/>
                <w:color w:val="2D3748"/>
                <w:sz w:val="17"/>
              </w:rPr>
              <w:t>0.9880</w:t>
            </w:r>
          </w:p>
        </w:tc>
        <w:tc>
          <w:tcPr>
            <w:tcW w:type="dxa" w:w="936"/>
            <w:tcMar>
              <w:top w:w="100" w:type="dxa"/>
              <w:bottom w:w="100" w:type="dxa"/>
              <w:left w:w="120" w:type="dxa"/>
              <w:right w:w="120" w:type="dxa"/>
            </w:tcMar>
          </w:tcPr>
          <w:p>
            <w:pPr>
              <w:spacing w:after="0"/>
              <w:jc w:val="right"/>
            </w:pPr>
            <w:r>
              <w:rPr>
                <w:rFonts w:ascii="Calibri" w:hAnsi="Calibri"/>
                <w:color w:val="2D3748"/>
                <w:sz w:val="17"/>
              </w:rPr>
              <w:t>0.4876</w:t>
            </w:r>
          </w:p>
        </w:tc>
        <w:tc>
          <w:tcPr>
            <w:tcW w:type="dxa" w:w="936"/>
            <w:tcMar>
              <w:top w:w="100" w:type="dxa"/>
              <w:bottom w:w="100" w:type="dxa"/>
              <w:left w:w="120" w:type="dxa"/>
              <w:right w:w="120" w:type="dxa"/>
            </w:tcMar>
          </w:tcPr>
          <w:p>
            <w:pPr>
              <w:spacing w:after="0"/>
              <w:jc w:val="right"/>
            </w:pPr>
            <w:r>
              <w:rPr>
                <w:rFonts w:ascii="Calibri" w:hAnsi="Calibri"/>
                <w:color w:val="2D3748"/>
                <w:sz w:val="17"/>
              </w:rPr>
              <w:t>0.4466</w:t>
            </w:r>
          </w:p>
        </w:tc>
        <w:tc>
          <w:tcPr>
            <w:tcW w:type="dxa" w:w="936"/>
            <w:tcMar>
              <w:top w:w="100" w:type="dxa"/>
              <w:bottom w:w="100" w:type="dxa"/>
              <w:left w:w="120" w:type="dxa"/>
              <w:right w:w="120" w:type="dxa"/>
            </w:tcMar>
          </w:tcPr>
          <w:p>
            <w:pPr>
              <w:spacing w:after="0"/>
              <w:jc w:val="right"/>
            </w:pPr>
            <w:r>
              <w:rPr>
                <w:rFonts w:ascii="Calibri" w:hAnsi="Calibri"/>
                <w:color w:val="2D3748"/>
                <w:sz w:val="17"/>
              </w:rPr>
              <w:t>0.0657</w:t>
            </w:r>
          </w:p>
        </w:tc>
        <w:tc>
          <w:tcPr>
            <w:tcW w:type="dxa" w:w="936"/>
            <w:tcMar>
              <w:top w:w="100" w:type="dxa"/>
              <w:bottom w:w="100" w:type="dxa"/>
              <w:left w:w="120" w:type="dxa"/>
              <w:right w:w="120" w:type="dxa"/>
            </w:tcMar>
          </w:tcPr>
          <w:p>
            <w:pPr>
              <w:spacing w:after="0"/>
              <w:jc w:val="right"/>
            </w:pPr>
            <w:r>
              <w:rPr>
                <w:rFonts w:ascii="Calibri" w:hAnsi="Calibri"/>
                <w:color w:val="2D3748"/>
                <w:sz w:val="17"/>
              </w:rPr>
              <w:t>4</w:t>
            </w:r>
          </w:p>
        </w:tc>
        <w:tc>
          <w:tcPr>
            <w:tcW w:type="dxa" w:w="936"/>
            <w:tcMar>
              <w:top w:w="100" w:type="dxa"/>
              <w:bottom w:w="100" w:type="dxa"/>
              <w:left w:w="120" w:type="dxa"/>
              <w:right w:w="120" w:type="dxa"/>
            </w:tcMar>
          </w:tcPr>
          <w:p>
            <w:pPr>
              <w:spacing w:after="0"/>
              <w:jc w:val="right"/>
            </w:pPr>
            <w:r>
              <w:rPr>
                <w:rFonts w:ascii="Calibri" w:hAnsi="Calibri"/>
                <w:color w:val="2D3748"/>
                <w:sz w:val="17"/>
              </w:rPr>
              <w:t>140.7</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Gated</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0.9193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0.9889</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0.9880</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0.4690</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0.4629</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0.0681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98.4</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tcMar>
              <w:top w:w="100" w:type="dxa"/>
              <w:bottom w:w="100" w:type="dxa"/>
              <w:left w:w="120" w:type="dxa"/>
              <w:right w:w="120" w:type="dxa"/>
            </w:tcMar>
          </w:tcPr>
          <w:p>
            <w:pPr>
              <w:spacing w:after="0"/>
              <w:jc w:val="left"/>
            </w:pPr>
            <w:r>
              <w:rPr>
                <w:rFonts w:ascii="Calibri" w:hAnsi="Calibri"/>
                <w:b/>
                <w:color w:val="1B365D"/>
                <w:sz w:val="17"/>
              </w:rPr>
              <w:t>Bilinear</w:t>
            </w:r>
          </w:p>
        </w:tc>
        <w:tc>
          <w:tcPr>
            <w:tcW w:type="dxa" w:w="936"/>
            <w:tcMar>
              <w:top w:w="100" w:type="dxa"/>
              <w:bottom w:w="100" w:type="dxa"/>
              <w:left w:w="120" w:type="dxa"/>
              <w:right w:w="120" w:type="dxa"/>
            </w:tcMar>
          </w:tcPr>
          <w:p>
            <w:pPr>
              <w:spacing w:after="0"/>
              <w:jc w:val="right"/>
            </w:pPr>
            <w:r>
              <w:rPr>
                <w:rFonts w:ascii="Calibri" w:hAnsi="Calibri"/>
                <w:b/>
                <w:color w:val="1B365D"/>
                <w:sz w:val="17"/>
              </w:rPr>
              <w:t>0.9203</w:t>
            </w:r>
          </w:p>
        </w:tc>
        <w:tc>
          <w:tcPr>
            <w:tcW w:type="dxa" w:w="936"/>
            <w:tcMar>
              <w:top w:w="100" w:type="dxa"/>
              <w:bottom w:w="100" w:type="dxa"/>
              <w:left w:w="120" w:type="dxa"/>
              <w:right w:w="120" w:type="dxa"/>
            </w:tcMar>
          </w:tcPr>
          <w:p>
            <w:pPr>
              <w:spacing w:after="0"/>
              <w:jc w:val="right"/>
            </w:pPr>
            <w:r>
              <w:rPr>
                <w:rFonts w:ascii="Calibri" w:hAnsi="Calibri"/>
                <w:b/>
                <w:color w:val="1B365D"/>
                <w:sz w:val="17"/>
              </w:rPr>
              <w:t>0.9891</w:t>
            </w:r>
          </w:p>
        </w:tc>
        <w:tc>
          <w:tcPr>
            <w:tcW w:type="dxa" w:w="936"/>
            <w:tcMar>
              <w:top w:w="100" w:type="dxa"/>
              <w:bottom w:w="100" w:type="dxa"/>
              <w:left w:w="120" w:type="dxa"/>
              <w:right w:w="120" w:type="dxa"/>
            </w:tcMar>
          </w:tcPr>
          <w:p>
            <w:pPr>
              <w:spacing w:after="0"/>
              <w:jc w:val="right"/>
            </w:pPr>
            <w:r>
              <w:rPr>
                <w:rFonts w:ascii="Calibri" w:hAnsi="Calibri"/>
                <w:b/>
                <w:color w:val="1B365D"/>
                <w:sz w:val="17"/>
              </w:rPr>
              <w:t>0.9882</w:t>
            </w:r>
          </w:p>
        </w:tc>
        <w:tc>
          <w:tcPr>
            <w:tcW w:type="dxa" w:w="936"/>
            <w:tcMar>
              <w:top w:w="100" w:type="dxa"/>
              <w:bottom w:w="100" w:type="dxa"/>
              <w:left w:w="120" w:type="dxa"/>
              <w:right w:w="120" w:type="dxa"/>
            </w:tcMar>
          </w:tcPr>
          <w:p>
            <w:pPr>
              <w:spacing w:after="0"/>
              <w:jc w:val="right"/>
            </w:pPr>
            <w:r>
              <w:rPr>
                <w:rFonts w:ascii="Calibri" w:hAnsi="Calibri"/>
                <w:color w:val="2D3748"/>
                <w:sz w:val="17"/>
              </w:rPr>
              <w:t>0.4107</w:t>
            </w:r>
          </w:p>
        </w:tc>
        <w:tc>
          <w:tcPr>
            <w:tcW w:type="dxa" w:w="936"/>
            <w:tcMar>
              <w:top w:w="100" w:type="dxa"/>
              <w:bottom w:w="100" w:type="dxa"/>
              <w:left w:w="120" w:type="dxa"/>
              <w:right w:w="120" w:type="dxa"/>
            </w:tcMar>
          </w:tcPr>
          <w:p>
            <w:pPr>
              <w:spacing w:after="0"/>
              <w:jc w:val="right"/>
            </w:pPr>
            <w:r>
              <w:rPr>
                <w:rFonts w:ascii="Calibri" w:hAnsi="Calibri"/>
                <w:color w:val="2D3748"/>
                <w:sz w:val="17"/>
              </w:rPr>
              <w:t>0.5310</w:t>
            </w:r>
          </w:p>
        </w:tc>
        <w:tc>
          <w:tcPr>
            <w:tcW w:type="dxa" w:w="936"/>
            <w:tcMar>
              <w:top w:w="100" w:type="dxa"/>
              <w:bottom w:w="100" w:type="dxa"/>
              <w:left w:w="120" w:type="dxa"/>
              <w:right w:w="120" w:type="dxa"/>
            </w:tcMar>
          </w:tcPr>
          <w:p>
            <w:pPr>
              <w:spacing w:after="0"/>
              <w:jc w:val="right"/>
            </w:pPr>
            <w:r>
              <w:rPr>
                <w:rFonts w:ascii="Calibri" w:hAnsi="Calibri"/>
                <w:color w:val="2D3748"/>
                <w:sz w:val="17"/>
              </w:rPr>
              <w:t>0.0583</w:t>
            </w:r>
          </w:p>
        </w:tc>
        <w:tc>
          <w:tcPr>
            <w:tcW w:type="dxa" w:w="936"/>
            <w:tcMar>
              <w:top w:w="100" w:type="dxa"/>
              <w:bottom w:w="100" w:type="dxa"/>
              <w:left w:w="120" w:type="dxa"/>
              <w:right w:w="120" w:type="dxa"/>
            </w:tcMar>
          </w:tcPr>
          <w:p>
            <w:pPr>
              <w:spacing w:after="0"/>
              <w:jc w:val="right"/>
            </w:pPr>
            <w:r>
              <w:rPr>
                <w:rFonts w:ascii="Calibri" w:hAnsi="Calibri"/>
                <w:color w:val="2D3748"/>
                <w:sz w:val="17"/>
              </w:rPr>
              <w:t>15</w:t>
            </w:r>
          </w:p>
        </w:tc>
        <w:tc>
          <w:tcPr>
            <w:tcW w:type="dxa" w:w="936"/>
            <w:tcMar>
              <w:top w:w="100" w:type="dxa"/>
              <w:bottom w:w="100" w:type="dxa"/>
              <w:left w:w="120" w:type="dxa"/>
              <w:right w:w="120" w:type="dxa"/>
            </w:tcMar>
          </w:tcPr>
          <w:p>
            <w:pPr>
              <w:spacing w:after="0"/>
              <w:jc w:val="right"/>
            </w:pPr>
            <w:r>
              <w:rPr>
                <w:rFonts w:ascii="Calibri" w:hAnsi="Calibri"/>
                <w:color w:val="2D3748"/>
                <w:sz w:val="17"/>
              </w:rPr>
              <w:t>451.1</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Cross-Attention</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0.9180</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0.9887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0.9878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0.4153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0.5280</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0.0567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238.9</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tcMar>
              <w:top w:w="100" w:type="dxa"/>
              <w:bottom w:w="100" w:type="dxa"/>
              <w:left w:w="120" w:type="dxa"/>
              <w:right w:w="120" w:type="dxa"/>
            </w:tcMar>
          </w:tcPr>
          <w:p>
            <w:pPr>
              <w:spacing w:after="0"/>
              <w:jc w:val="left"/>
            </w:pPr>
            <w:r>
              <w:rPr>
                <w:rFonts w:ascii="Calibri" w:hAnsi="Calibri"/>
                <w:color w:val="2D3748"/>
                <w:sz w:val="17"/>
              </w:rPr>
              <w:t>Decision Ensemble</w:t>
            </w:r>
          </w:p>
        </w:tc>
        <w:tc>
          <w:tcPr>
            <w:tcW w:type="dxa" w:w="936"/>
            <w:tcMar>
              <w:top w:w="100" w:type="dxa"/>
              <w:bottom w:w="100" w:type="dxa"/>
              <w:left w:w="120" w:type="dxa"/>
              <w:right w:w="120" w:type="dxa"/>
            </w:tcMar>
          </w:tcPr>
          <w:p>
            <w:pPr>
              <w:spacing w:after="0"/>
              <w:jc w:val="right"/>
            </w:pPr>
            <w:r>
              <w:rPr>
                <w:rFonts w:ascii="Calibri" w:hAnsi="Calibri"/>
                <w:color w:val="2D3748"/>
                <w:sz w:val="17"/>
              </w:rPr>
              <w:t>0.9174</w:t>
            </w:r>
          </w:p>
        </w:tc>
        <w:tc>
          <w:tcPr>
            <w:tcW w:type="dxa" w:w="936"/>
            <w:tcMar>
              <w:top w:w="100" w:type="dxa"/>
              <w:bottom w:w="100" w:type="dxa"/>
              <w:left w:w="120" w:type="dxa"/>
              <w:right w:w="120" w:type="dxa"/>
            </w:tcMar>
          </w:tcPr>
          <w:p>
            <w:pPr>
              <w:spacing w:after="0"/>
              <w:jc w:val="right"/>
            </w:pPr>
            <w:r>
              <w:rPr>
                <w:rFonts w:ascii="Calibri" w:hAnsi="Calibri"/>
                <w:color w:val="2D3748"/>
                <w:sz w:val="17"/>
              </w:rPr>
              <w:t>0.9886</w:t>
            </w:r>
          </w:p>
        </w:tc>
        <w:tc>
          <w:tcPr>
            <w:tcW w:type="dxa" w:w="936"/>
            <w:tcMar>
              <w:top w:w="100" w:type="dxa"/>
              <w:bottom w:w="100" w:type="dxa"/>
              <w:left w:w="120" w:type="dxa"/>
              <w:right w:w="120" w:type="dxa"/>
            </w:tcMar>
          </w:tcPr>
          <w:p>
            <w:pPr>
              <w:spacing w:after="0"/>
              <w:jc w:val="right"/>
            </w:pPr>
            <w:r>
              <w:rPr>
                <w:rFonts w:ascii="Calibri" w:hAnsi="Calibri"/>
                <w:color w:val="2D3748"/>
                <w:sz w:val="17"/>
              </w:rPr>
              <w:t>0.9877</w:t>
            </w:r>
          </w:p>
        </w:tc>
        <w:tc>
          <w:tcPr>
            <w:tcW w:type="dxa" w:w="936"/>
            <w:tcMar>
              <w:top w:w="100" w:type="dxa"/>
              <w:bottom w:w="100" w:type="dxa"/>
              <w:left w:w="120" w:type="dxa"/>
              <w:right w:w="120" w:type="dxa"/>
            </w:tcMar>
          </w:tcPr>
          <w:p>
            <w:pPr>
              <w:spacing w:after="0"/>
              <w:jc w:val="right"/>
            </w:pPr>
            <w:r>
              <w:rPr>
                <w:rFonts w:ascii="Calibri" w:hAnsi="Calibri"/>
                <w:color w:val="2D3748"/>
                <w:sz w:val="17"/>
              </w:rPr>
              <w:t>0.3992</w:t>
            </w:r>
          </w:p>
        </w:tc>
        <w:tc>
          <w:tcPr>
            <w:tcW w:type="dxa" w:w="936"/>
            <w:tcMar>
              <w:top w:w="100" w:type="dxa"/>
              <w:bottom w:w="100" w:type="dxa"/>
              <w:left w:w="120" w:type="dxa"/>
              <w:right w:w="120" w:type="dxa"/>
            </w:tcMar>
          </w:tcPr>
          <w:p>
            <w:pPr>
              <w:spacing w:after="0"/>
              <w:jc w:val="right"/>
            </w:pPr>
            <w:r>
              <w:rPr>
                <w:rFonts w:ascii="Calibri" w:hAnsi="Calibri"/>
                <w:color w:val="2D3748"/>
                <w:sz w:val="17"/>
              </w:rPr>
              <w:t>0.5321</w:t>
            </w:r>
          </w:p>
        </w:tc>
        <w:tc>
          <w:tcPr>
            <w:tcW w:type="dxa" w:w="936"/>
            <w:tcMar>
              <w:top w:w="100" w:type="dxa"/>
              <w:bottom w:w="100" w:type="dxa"/>
              <w:left w:w="120" w:type="dxa"/>
              <w:right w:w="120" w:type="dxa"/>
            </w:tcMar>
          </w:tcPr>
          <w:p>
            <w:pPr>
              <w:spacing w:after="0"/>
              <w:jc w:val="right"/>
            </w:pPr>
            <w:r>
              <w:rPr>
                <w:rFonts w:ascii="Calibri" w:hAnsi="Calibri"/>
                <w:color w:val="2D3748"/>
                <w:sz w:val="17"/>
              </w:rPr>
              <w:t>0.0687</w:t>
            </w:r>
          </w:p>
        </w:tc>
        <w:tc>
          <w:tcPr>
            <w:tcW w:type="dxa" w:w="936"/>
            <w:tcMar>
              <w:top w:w="100" w:type="dxa"/>
              <w:bottom w:w="100" w:type="dxa"/>
              <w:left w:w="120" w:type="dxa"/>
              <w:right w:w="120" w:type="dxa"/>
            </w:tcMar>
          </w:tcPr>
          <w:p>
            <w:pPr>
              <w:spacing w:after="0"/>
              <w:jc w:val="right"/>
            </w:pPr>
            <w:r>
              <w:rPr>
                <w:rFonts w:ascii="Calibri" w:hAnsi="Calibri"/>
                <w:color w:val="2D3748"/>
                <w:sz w:val="17"/>
              </w:rPr>
              <w:t>5</w:t>
            </w:r>
          </w:p>
        </w:tc>
        <w:tc>
          <w:tcPr>
            <w:tcW w:type="dxa" w:w="936"/>
            <w:tcMar>
              <w:top w:w="100" w:type="dxa"/>
              <w:bottom w:w="100" w:type="dxa"/>
              <w:left w:w="120" w:type="dxa"/>
              <w:right w:w="120" w:type="dxa"/>
            </w:tcMar>
          </w:tcPr>
          <w:p>
            <w:pPr>
              <w:spacing w:after="0"/>
              <w:jc w:val="right"/>
            </w:pPr>
            <w:r>
              <w:rPr>
                <w:rFonts w:ascii="Calibri" w:hAnsi="Calibri"/>
                <w:color w:val="2D3748"/>
                <w:sz w:val="17"/>
              </w:rPr>
              <w:t>122.0</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NF-UNSW-NB15-v2</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Quantum PQC (Sim)</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0.9164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0.9885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0.9875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0.4455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0.4737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0.0808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120.3</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tcMar>
              <w:top w:w="100" w:type="dxa"/>
              <w:bottom w:w="100" w:type="dxa"/>
              <w:left w:w="120" w:type="dxa"/>
              <w:right w:w="120" w:type="dxa"/>
            </w:tcMar>
          </w:tcPr>
          <w:p>
            <w:pPr>
              <w:spacing w:after="0"/>
              <w:jc w:val="left"/>
            </w:pPr>
            <w:r>
              <w:rPr>
                <w:rFonts w:ascii="Calibri" w:hAnsi="Calibri"/>
                <w:color w:val="2D3748"/>
                <w:sz w:val="17"/>
              </w:rPr>
              <w:t>Concat</w:t>
            </w:r>
          </w:p>
        </w:tc>
        <w:tc>
          <w:tcPr>
            <w:tcW w:type="dxa" w:w="936"/>
            <w:tcMar>
              <w:top w:w="100" w:type="dxa"/>
              <w:bottom w:w="100" w:type="dxa"/>
              <w:left w:w="120" w:type="dxa"/>
              <w:right w:w="120" w:type="dxa"/>
            </w:tcMar>
          </w:tcPr>
          <w:p>
            <w:pPr>
              <w:spacing w:after="0"/>
              <w:jc w:val="right"/>
            </w:pPr>
            <w:r>
              <w:rPr>
                <w:rFonts w:ascii="Calibri" w:hAnsi="Calibri"/>
                <w:color w:val="2D3748"/>
                <w:sz w:val="17"/>
              </w:rPr>
              <w:t>0.8328</w:t>
            </w:r>
          </w:p>
        </w:tc>
        <w:tc>
          <w:tcPr>
            <w:tcW w:type="dxa" w:w="936"/>
            <w:tcMar>
              <w:top w:w="100" w:type="dxa"/>
              <w:bottom w:w="100" w:type="dxa"/>
              <w:left w:w="120" w:type="dxa"/>
              <w:right w:w="120" w:type="dxa"/>
            </w:tcMar>
          </w:tcPr>
          <w:p>
            <w:pPr>
              <w:spacing w:after="0"/>
              <w:jc w:val="right"/>
            </w:pPr>
            <w:r>
              <w:rPr>
                <w:rFonts w:ascii="Calibri" w:hAnsi="Calibri"/>
                <w:color w:val="2D3748"/>
                <w:sz w:val="17"/>
              </w:rPr>
              <w:t>0.9375</w:t>
            </w:r>
          </w:p>
        </w:tc>
        <w:tc>
          <w:tcPr>
            <w:tcW w:type="dxa" w:w="936"/>
            <w:tcMar>
              <w:top w:w="100" w:type="dxa"/>
              <w:bottom w:w="100" w:type="dxa"/>
              <w:left w:w="120" w:type="dxa"/>
              <w:right w:w="120" w:type="dxa"/>
            </w:tcMar>
          </w:tcPr>
          <w:p>
            <w:pPr>
              <w:spacing w:after="0"/>
              <w:jc w:val="right"/>
            </w:pPr>
            <w:r>
              <w:rPr>
                <w:rFonts w:ascii="Calibri" w:hAnsi="Calibri"/>
                <w:color w:val="2D3748"/>
                <w:sz w:val="17"/>
              </w:rPr>
              <w:t>0.9446</w:t>
            </w:r>
          </w:p>
        </w:tc>
        <w:tc>
          <w:tcPr>
            <w:tcW w:type="dxa" w:w="936"/>
            <w:tcMar>
              <w:top w:w="100" w:type="dxa"/>
              <w:bottom w:w="100" w:type="dxa"/>
              <w:left w:w="120" w:type="dxa"/>
              <w:right w:w="120" w:type="dxa"/>
            </w:tcMar>
          </w:tcPr>
          <w:p>
            <w:pPr>
              <w:spacing w:after="0"/>
              <w:jc w:val="right"/>
            </w:pPr>
            <w:r>
              <w:rPr>
                <w:rFonts w:ascii="Calibri" w:hAnsi="Calibri"/>
                <w:color w:val="2D3748"/>
                <w:sz w:val="17"/>
              </w:rPr>
              <w:t>0.4544</w:t>
            </w:r>
          </w:p>
        </w:tc>
        <w:tc>
          <w:tcPr>
            <w:tcW w:type="dxa" w:w="936"/>
            <w:tcMar>
              <w:top w:w="100" w:type="dxa"/>
              <w:bottom w:w="100" w:type="dxa"/>
              <w:left w:w="120" w:type="dxa"/>
              <w:right w:w="120" w:type="dxa"/>
            </w:tcMar>
          </w:tcPr>
          <w:p>
            <w:pPr>
              <w:spacing w:after="0"/>
              <w:jc w:val="right"/>
            </w:pPr>
            <w:r>
              <w:rPr>
                <w:rFonts w:ascii="Calibri" w:hAnsi="Calibri"/>
                <w:color w:val="2D3748"/>
                <w:sz w:val="17"/>
              </w:rPr>
              <w:t>0.4462</w:t>
            </w:r>
          </w:p>
        </w:tc>
        <w:tc>
          <w:tcPr>
            <w:tcW w:type="dxa" w:w="936"/>
            <w:tcMar>
              <w:top w:w="100" w:type="dxa"/>
              <w:bottom w:w="100" w:type="dxa"/>
              <w:left w:w="120" w:type="dxa"/>
              <w:right w:w="120" w:type="dxa"/>
            </w:tcMar>
          </w:tcPr>
          <w:p>
            <w:pPr>
              <w:spacing w:after="0"/>
              <w:jc w:val="right"/>
            </w:pPr>
            <w:r>
              <w:rPr>
                <w:rFonts w:ascii="Calibri" w:hAnsi="Calibri"/>
                <w:color w:val="2D3748"/>
                <w:sz w:val="17"/>
              </w:rPr>
              <w:t>0.0994</w:t>
            </w:r>
          </w:p>
        </w:tc>
        <w:tc>
          <w:tcPr>
            <w:tcW w:type="dxa" w:w="936"/>
            <w:tcMar>
              <w:top w:w="100" w:type="dxa"/>
              <w:bottom w:w="100" w:type="dxa"/>
              <w:left w:w="120" w:type="dxa"/>
              <w:right w:w="120" w:type="dxa"/>
            </w:tcMar>
          </w:tcPr>
          <w:p>
            <w:pPr>
              <w:spacing w:after="0"/>
              <w:jc w:val="right"/>
            </w:pPr>
            <w:r>
              <w:rPr>
                <w:rFonts w:ascii="Calibri" w:hAnsi="Calibri"/>
                <w:color w:val="2D3748"/>
                <w:sz w:val="17"/>
              </w:rPr>
              <w:t>12</w:t>
            </w:r>
          </w:p>
        </w:tc>
        <w:tc>
          <w:tcPr>
            <w:tcW w:type="dxa" w:w="936"/>
            <w:tcMar>
              <w:top w:w="100" w:type="dxa"/>
              <w:bottom w:w="100" w:type="dxa"/>
              <w:left w:w="120" w:type="dxa"/>
              <w:right w:w="120" w:type="dxa"/>
            </w:tcMar>
          </w:tcPr>
          <w:p>
            <w:pPr>
              <w:spacing w:after="0"/>
              <w:jc w:val="right"/>
            </w:pPr>
            <w:r>
              <w:rPr>
                <w:rFonts w:ascii="Calibri" w:hAnsi="Calibri"/>
                <w:color w:val="2D3748"/>
                <w:sz w:val="17"/>
              </w:rPr>
              <w:t>281.9</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shd w:val="clear" w:color="auto" w:fill="F7FAFC"/>
            <w:tcMar>
              <w:top w:w="100" w:type="dxa"/>
              <w:bottom w:w="100" w:type="dxa"/>
              <w:left w:w="120" w:type="dxa"/>
              <w:right w:w="120" w:type="dxa"/>
            </w:tcMar>
          </w:tcPr>
          <w:p>
            <w:pPr>
              <w:spacing w:after="0"/>
              <w:jc w:val="left"/>
            </w:pPr>
            <w:r>
              <w:rPr>
                <w:rFonts w:ascii="Calibri" w:hAnsi="Calibri"/>
                <w:b/>
                <w:color w:val="1B365D"/>
                <w:sz w:val="17"/>
              </w:rPr>
              <w:t>Gated</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0.8347</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0.9377</w:t>
            </w:r>
          </w:p>
        </w:tc>
        <w:tc>
          <w:tcPr>
            <w:tcW w:type="dxa" w:w="936"/>
            <w:shd w:val="clear" w:color="auto" w:fill="F7FAFC"/>
            <w:tcMar>
              <w:top w:w="100" w:type="dxa"/>
              <w:bottom w:w="100" w:type="dxa"/>
              <w:left w:w="120" w:type="dxa"/>
              <w:right w:w="120" w:type="dxa"/>
            </w:tcMar>
          </w:tcPr>
          <w:p>
            <w:pPr>
              <w:spacing w:after="0"/>
              <w:jc w:val="right"/>
            </w:pPr>
            <w:r>
              <w:rPr>
                <w:rFonts w:ascii="Calibri" w:hAnsi="Calibri"/>
                <w:b/>
                <w:color w:val="1B365D"/>
                <w:sz w:val="17"/>
              </w:rPr>
              <w:t>0.9458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0.4643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0.4387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0.0970</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275.3</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tcMar>
              <w:top w:w="100" w:type="dxa"/>
              <w:bottom w:w="100" w:type="dxa"/>
              <w:left w:w="120" w:type="dxa"/>
              <w:right w:w="120" w:type="dxa"/>
            </w:tcMar>
          </w:tcPr>
          <w:p>
            <w:pPr>
              <w:spacing w:after="0"/>
              <w:jc w:val="left"/>
            </w:pPr>
            <w:r>
              <w:rPr>
                <w:rFonts w:ascii="Calibri" w:hAnsi="Calibri"/>
                <w:color w:val="2D3748"/>
                <w:sz w:val="17"/>
              </w:rPr>
              <w:t>Bilinear</w:t>
            </w:r>
          </w:p>
        </w:tc>
        <w:tc>
          <w:tcPr>
            <w:tcW w:type="dxa" w:w="936"/>
            <w:tcMar>
              <w:top w:w="100" w:type="dxa"/>
              <w:bottom w:w="100" w:type="dxa"/>
              <w:left w:w="120" w:type="dxa"/>
              <w:right w:w="120" w:type="dxa"/>
            </w:tcMar>
          </w:tcPr>
          <w:p>
            <w:pPr>
              <w:spacing w:after="0"/>
              <w:jc w:val="right"/>
            </w:pPr>
            <w:r>
              <w:rPr>
                <w:rFonts w:ascii="Calibri" w:hAnsi="Calibri"/>
                <w:color w:val="2D3748"/>
                <w:sz w:val="17"/>
              </w:rPr>
              <w:t>0.8305</w:t>
            </w:r>
          </w:p>
        </w:tc>
        <w:tc>
          <w:tcPr>
            <w:tcW w:type="dxa" w:w="936"/>
            <w:tcMar>
              <w:top w:w="100" w:type="dxa"/>
              <w:bottom w:w="100" w:type="dxa"/>
              <w:left w:w="120" w:type="dxa"/>
              <w:right w:w="120" w:type="dxa"/>
            </w:tcMar>
          </w:tcPr>
          <w:p>
            <w:pPr>
              <w:spacing w:after="0"/>
              <w:jc w:val="right"/>
            </w:pPr>
            <w:r>
              <w:rPr>
                <w:rFonts w:ascii="Calibri" w:hAnsi="Calibri"/>
                <w:color w:val="2D3748"/>
                <w:sz w:val="17"/>
              </w:rPr>
              <w:t>0.9383</w:t>
            </w:r>
          </w:p>
        </w:tc>
        <w:tc>
          <w:tcPr>
            <w:tcW w:type="dxa" w:w="936"/>
            <w:tcMar>
              <w:top w:w="100" w:type="dxa"/>
              <w:bottom w:w="100" w:type="dxa"/>
              <w:left w:w="120" w:type="dxa"/>
              <w:right w:w="120" w:type="dxa"/>
            </w:tcMar>
          </w:tcPr>
          <w:p>
            <w:pPr>
              <w:spacing w:after="0"/>
              <w:jc w:val="right"/>
            </w:pPr>
            <w:r>
              <w:rPr>
                <w:rFonts w:ascii="Calibri" w:hAnsi="Calibri"/>
                <w:color w:val="2D3748"/>
                <w:sz w:val="17"/>
              </w:rPr>
              <w:t>0.9464</w:t>
            </w:r>
          </w:p>
        </w:tc>
        <w:tc>
          <w:tcPr>
            <w:tcW w:type="dxa" w:w="936"/>
            <w:tcMar>
              <w:top w:w="100" w:type="dxa"/>
              <w:bottom w:w="100" w:type="dxa"/>
              <w:left w:w="120" w:type="dxa"/>
              <w:right w:w="120" w:type="dxa"/>
            </w:tcMar>
          </w:tcPr>
          <w:p>
            <w:pPr>
              <w:spacing w:after="0"/>
              <w:jc w:val="right"/>
            </w:pPr>
            <w:r>
              <w:rPr>
                <w:rFonts w:ascii="Calibri" w:hAnsi="Calibri"/>
                <w:color w:val="2D3748"/>
                <w:sz w:val="17"/>
              </w:rPr>
              <w:t>0.4624</w:t>
            </w:r>
          </w:p>
        </w:tc>
        <w:tc>
          <w:tcPr>
            <w:tcW w:type="dxa" w:w="936"/>
            <w:tcMar>
              <w:top w:w="100" w:type="dxa"/>
              <w:bottom w:w="100" w:type="dxa"/>
              <w:left w:w="120" w:type="dxa"/>
              <w:right w:w="120" w:type="dxa"/>
            </w:tcMar>
          </w:tcPr>
          <w:p>
            <w:pPr>
              <w:spacing w:after="0"/>
              <w:jc w:val="right"/>
            </w:pPr>
            <w:r>
              <w:rPr>
                <w:rFonts w:ascii="Calibri" w:hAnsi="Calibri"/>
                <w:color w:val="2D3748"/>
                <w:sz w:val="17"/>
              </w:rPr>
              <w:t>0.4410</w:t>
            </w:r>
          </w:p>
        </w:tc>
        <w:tc>
          <w:tcPr>
            <w:tcW w:type="dxa" w:w="936"/>
            <w:tcMar>
              <w:top w:w="100" w:type="dxa"/>
              <w:bottom w:w="100" w:type="dxa"/>
              <w:left w:w="120" w:type="dxa"/>
              <w:right w:w="120" w:type="dxa"/>
            </w:tcMar>
          </w:tcPr>
          <w:p>
            <w:pPr>
              <w:spacing w:after="0"/>
              <w:jc w:val="right"/>
            </w:pPr>
            <w:r>
              <w:rPr>
                <w:rFonts w:ascii="Calibri" w:hAnsi="Calibri"/>
                <w:color w:val="2D3748"/>
                <w:sz w:val="17"/>
              </w:rPr>
              <w:t>0.0966</w:t>
            </w:r>
          </w:p>
        </w:tc>
        <w:tc>
          <w:tcPr>
            <w:tcW w:type="dxa" w:w="936"/>
            <w:tcMar>
              <w:top w:w="100" w:type="dxa"/>
              <w:bottom w:w="100" w:type="dxa"/>
              <w:left w:w="120" w:type="dxa"/>
              <w:right w:w="120" w:type="dxa"/>
            </w:tcMar>
          </w:tcPr>
          <w:p>
            <w:pPr>
              <w:spacing w:after="0"/>
              <w:jc w:val="right"/>
            </w:pPr>
            <w:r>
              <w:rPr>
                <w:rFonts w:ascii="Calibri" w:hAnsi="Calibri"/>
                <w:color w:val="2D3748"/>
                <w:sz w:val="17"/>
              </w:rPr>
              <w:t>14</w:t>
            </w:r>
          </w:p>
        </w:tc>
        <w:tc>
          <w:tcPr>
            <w:tcW w:type="dxa" w:w="936"/>
            <w:tcMar>
              <w:top w:w="100" w:type="dxa"/>
              <w:bottom w:w="100" w:type="dxa"/>
              <w:left w:w="120" w:type="dxa"/>
              <w:right w:w="120" w:type="dxa"/>
            </w:tcMar>
          </w:tcPr>
          <w:p>
            <w:pPr>
              <w:spacing w:after="0"/>
              <w:jc w:val="right"/>
            </w:pPr>
            <w:r>
              <w:rPr>
                <w:rFonts w:ascii="Calibri" w:hAnsi="Calibri"/>
                <w:color w:val="2D3748"/>
                <w:sz w:val="17"/>
              </w:rPr>
              <w:t>667.6</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Cross-Attention</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0.8325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0.9372</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0.9456</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0.4634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0.4381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0.0985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339.4</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tcMar>
              <w:top w:w="100" w:type="dxa"/>
              <w:bottom w:w="100" w:type="dxa"/>
              <w:left w:w="120" w:type="dxa"/>
              <w:right w:w="120" w:type="dxa"/>
            </w:tcMar>
          </w:tcPr>
          <w:p>
            <w:pPr>
              <w:spacing w:after="0"/>
              <w:jc w:val="left"/>
            </w:pPr>
            <w:r>
              <w:rPr>
                <w:rFonts w:ascii="Calibri" w:hAnsi="Calibri"/>
                <w:color w:val="2D3748"/>
                <w:sz w:val="17"/>
              </w:rPr>
              <w:t>Decision Ensemble</w:t>
            </w:r>
          </w:p>
        </w:tc>
        <w:tc>
          <w:tcPr>
            <w:tcW w:type="dxa" w:w="936"/>
            <w:tcMar>
              <w:top w:w="100" w:type="dxa"/>
              <w:bottom w:w="100" w:type="dxa"/>
              <w:left w:w="120" w:type="dxa"/>
              <w:right w:w="120" w:type="dxa"/>
            </w:tcMar>
          </w:tcPr>
          <w:p>
            <w:pPr>
              <w:spacing w:after="0"/>
              <w:jc w:val="right"/>
            </w:pPr>
            <w:r>
              <w:rPr>
                <w:rFonts w:ascii="Calibri" w:hAnsi="Calibri"/>
                <w:color w:val="2D3748"/>
                <w:sz w:val="17"/>
              </w:rPr>
              <w:t>0.8263</w:t>
            </w:r>
          </w:p>
        </w:tc>
        <w:tc>
          <w:tcPr>
            <w:tcW w:type="dxa" w:w="936"/>
            <w:tcMar>
              <w:top w:w="100" w:type="dxa"/>
              <w:bottom w:w="100" w:type="dxa"/>
              <w:left w:w="120" w:type="dxa"/>
              <w:right w:w="120" w:type="dxa"/>
            </w:tcMar>
          </w:tcPr>
          <w:p>
            <w:pPr>
              <w:spacing w:after="0"/>
              <w:jc w:val="right"/>
            </w:pPr>
            <w:r>
              <w:rPr>
                <w:rFonts w:ascii="Calibri" w:hAnsi="Calibri"/>
                <w:color w:val="2D3748"/>
                <w:sz w:val="17"/>
              </w:rPr>
              <w:t>0.9356</w:t>
            </w:r>
          </w:p>
        </w:tc>
        <w:tc>
          <w:tcPr>
            <w:tcW w:type="dxa" w:w="936"/>
            <w:tcMar>
              <w:top w:w="100" w:type="dxa"/>
              <w:bottom w:w="100" w:type="dxa"/>
              <w:left w:w="120" w:type="dxa"/>
              <w:right w:w="120" w:type="dxa"/>
            </w:tcMar>
          </w:tcPr>
          <w:p>
            <w:pPr>
              <w:spacing w:after="0"/>
              <w:jc w:val="right"/>
            </w:pPr>
            <w:r>
              <w:rPr>
                <w:rFonts w:ascii="Calibri" w:hAnsi="Calibri"/>
                <w:color w:val="2D3748"/>
                <w:sz w:val="17"/>
              </w:rPr>
              <w:t>0.9455</w:t>
            </w:r>
          </w:p>
        </w:tc>
        <w:tc>
          <w:tcPr>
            <w:tcW w:type="dxa" w:w="936"/>
            <w:tcMar>
              <w:top w:w="100" w:type="dxa"/>
              <w:bottom w:w="100" w:type="dxa"/>
              <w:left w:w="120" w:type="dxa"/>
              <w:right w:w="120" w:type="dxa"/>
            </w:tcMar>
          </w:tcPr>
          <w:p>
            <w:pPr>
              <w:spacing w:after="0"/>
              <w:jc w:val="right"/>
            </w:pPr>
            <w:r>
              <w:rPr>
                <w:rFonts w:ascii="Calibri" w:hAnsi="Calibri"/>
                <w:color w:val="2D3748"/>
                <w:sz w:val="17"/>
              </w:rPr>
              <w:t>0.4349</w:t>
            </w:r>
          </w:p>
        </w:tc>
        <w:tc>
          <w:tcPr>
            <w:tcW w:type="dxa" w:w="936"/>
            <w:tcMar>
              <w:top w:w="100" w:type="dxa"/>
              <w:bottom w:w="100" w:type="dxa"/>
              <w:left w:w="120" w:type="dxa"/>
              <w:right w:w="120" w:type="dxa"/>
            </w:tcMar>
          </w:tcPr>
          <w:p>
            <w:pPr>
              <w:spacing w:after="0"/>
              <w:jc w:val="right"/>
            </w:pPr>
            <w:r>
              <w:rPr>
                <w:rFonts w:ascii="Calibri" w:hAnsi="Calibri"/>
                <w:color w:val="2D3748"/>
                <w:sz w:val="17"/>
              </w:rPr>
              <w:t>0.4681</w:t>
            </w:r>
          </w:p>
        </w:tc>
        <w:tc>
          <w:tcPr>
            <w:tcW w:type="dxa" w:w="936"/>
            <w:tcMar>
              <w:top w:w="100" w:type="dxa"/>
              <w:bottom w:w="100" w:type="dxa"/>
              <w:left w:w="120" w:type="dxa"/>
              <w:right w:w="120" w:type="dxa"/>
            </w:tcMar>
          </w:tcPr>
          <w:p>
            <w:pPr>
              <w:spacing w:after="0"/>
              <w:jc w:val="right"/>
            </w:pPr>
            <w:r>
              <w:rPr>
                <w:rFonts w:ascii="Calibri" w:hAnsi="Calibri"/>
                <w:color w:val="2D3748"/>
                <w:sz w:val="17"/>
              </w:rPr>
              <w:t>0.0971</w:t>
            </w:r>
          </w:p>
        </w:tc>
        <w:tc>
          <w:tcPr>
            <w:tcW w:type="dxa" w:w="936"/>
            <w:tcMar>
              <w:top w:w="100" w:type="dxa"/>
              <w:bottom w:w="100" w:type="dxa"/>
              <w:left w:w="120" w:type="dxa"/>
              <w:right w:w="120" w:type="dxa"/>
            </w:tcMar>
          </w:tcPr>
          <w:p>
            <w:pPr>
              <w:spacing w:after="0"/>
              <w:jc w:val="right"/>
            </w:pPr>
            <w:r>
              <w:rPr>
                <w:rFonts w:ascii="Calibri" w:hAnsi="Calibri"/>
                <w:color w:val="2D3748"/>
                <w:sz w:val="17"/>
              </w:rPr>
              <w:t>15</w:t>
            </w:r>
          </w:p>
        </w:tc>
        <w:tc>
          <w:tcPr>
            <w:tcW w:type="dxa" w:w="936"/>
            <w:tcMar>
              <w:top w:w="100" w:type="dxa"/>
              <w:bottom w:w="100" w:type="dxa"/>
              <w:left w:w="120" w:type="dxa"/>
              <w:right w:w="120" w:type="dxa"/>
            </w:tcMar>
          </w:tcPr>
          <w:p>
            <w:pPr>
              <w:spacing w:after="0"/>
              <w:jc w:val="right"/>
            </w:pPr>
            <w:r>
              <w:rPr>
                <w:rFonts w:ascii="Calibri" w:hAnsi="Calibri"/>
                <w:color w:val="2D3748"/>
                <w:sz w:val="17"/>
              </w:rPr>
              <w:t>278.4</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CSE-CIC-IDS2018</w:t>
            </w:r>
          </w:p>
        </w:tc>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Quantum PQC (Sim)</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0.7804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0.9277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0.9414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0.4628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0.4403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0.0969</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296.2</w:t>
            </w:r>
          </w:p>
        </w:tc>
      </w:tr>
    </w:tbl>
    <w:p>
      <w:pPr>
        <w:spacing w:after="80"/>
      </w:pPr>
    </w:p>
    <w:p>
      <w:pPr>
        <w:keepNext/>
        <w:spacing w:after="60" w:line="276" w:lineRule="auto" w:before="160"/>
        <w:jc w:val="center"/>
      </w:pPr>
      <w:r>
        <w:rPr>
          <w:b/>
          <w:color w:val="1B365D"/>
          <w:sz w:val="20"/>
        </w:rPr>
        <w:t>Table 12: CSE-CIC-IDS2018 Gated Fusion Per-Class Performance (Top Multi-Class Performer)</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tblHeader/>
          <w:cantSplit/>
        </w:trPr>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Class</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Precision</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Recall</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F1 Score</w:t>
            </w:r>
          </w:p>
        </w:tc>
        <w:tc>
          <w:tcPr>
            <w:tcW w:type="dxa" w:w="1872"/>
            <w:shd w:val="clear" w:color="auto" w:fill="1B365D"/>
            <w:tcMar>
              <w:top w:w="140" w:type="dxa"/>
              <w:bottom w:w="140" w:type="dxa"/>
              <w:left w:w="140" w:type="dxa"/>
              <w:right w:w="140" w:type="dxa"/>
            </w:tcMar>
          </w:tcPr>
          <w:p>
            <w:pPr>
              <w:spacing w:after="0"/>
              <w:jc w:val="center"/>
            </w:pPr>
            <w:r>
              <w:rPr>
                <w:rFonts w:ascii="Calibri" w:hAnsi="Calibri"/>
                <w:b/>
                <w:color w:val="FFFFFF"/>
                <w:sz w:val="18"/>
              </w:rPr>
              <w:t>Support</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Benign</w:t>
            </w:r>
          </w:p>
        </w:tc>
        <w:tc>
          <w:tcPr>
            <w:tcW w:type="dxa" w:w="1872"/>
            <w:tcMar>
              <w:top w:w="100" w:type="dxa"/>
              <w:bottom w:w="100" w:type="dxa"/>
              <w:left w:w="120" w:type="dxa"/>
              <w:right w:w="120" w:type="dxa"/>
            </w:tcMar>
          </w:tcPr>
          <w:p>
            <w:pPr>
              <w:spacing w:after="0"/>
              <w:jc w:val="right"/>
            </w:pPr>
            <w:r>
              <w:rPr>
                <w:rFonts w:ascii="Calibri" w:hAnsi="Calibri"/>
                <w:color w:val="2D3748"/>
                <w:sz w:val="17"/>
              </w:rPr>
              <w:t>0.9585</w:t>
            </w:r>
          </w:p>
        </w:tc>
        <w:tc>
          <w:tcPr>
            <w:tcW w:type="dxa" w:w="1872"/>
            <w:tcMar>
              <w:top w:w="100" w:type="dxa"/>
              <w:bottom w:w="100" w:type="dxa"/>
              <w:left w:w="120" w:type="dxa"/>
              <w:right w:w="120" w:type="dxa"/>
            </w:tcMar>
          </w:tcPr>
          <w:p>
            <w:pPr>
              <w:spacing w:after="0"/>
              <w:jc w:val="right"/>
            </w:pPr>
            <w:r>
              <w:rPr>
                <w:rFonts w:ascii="Calibri" w:hAnsi="Calibri"/>
                <w:color w:val="2D3748"/>
                <w:sz w:val="17"/>
              </w:rPr>
              <w:t>0.9930</w:t>
            </w:r>
          </w:p>
        </w:tc>
        <w:tc>
          <w:tcPr>
            <w:tcW w:type="dxa" w:w="1872"/>
            <w:tcMar>
              <w:top w:w="100" w:type="dxa"/>
              <w:bottom w:w="100" w:type="dxa"/>
              <w:left w:w="120" w:type="dxa"/>
              <w:right w:w="120" w:type="dxa"/>
            </w:tcMar>
          </w:tcPr>
          <w:p>
            <w:pPr>
              <w:spacing w:after="0"/>
              <w:jc w:val="right"/>
            </w:pPr>
            <w:r>
              <w:rPr>
                <w:rFonts w:ascii="Calibri" w:hAnsi="Calibri"/>
                <w:color w:val="2D3748"/>
                <w:sz w:val="17"/>
              </w:rPr>
              <w:t>0.9754</w:t>
            </w:r>
          </w:p>
        </w:tc>
        <w:tc>
          <w:tcPr>
            <w:tcW w:type="dxa" w:w="1872"/>
            <w:tcMar>
              <w:top w:w="100" w:type="dxa"/>
              <w:bottom w:w="100" w:type="dxa"/>
              <w:left w:w="120" w:type="dxa"/>
              <w:right w:w="120" w:type="dxa"/>
            </w:tcMar>
          </w:tcPr>
          <w:p>
            <w:pPr>
              <w:spacing w:after="0"/>
              <w:jc w:val="right"/>
            </w:pPr>
            <w:r>
              <w:rPr>
                <w:rFonts w:ascii="Calibri" w:hAnsi="Calibri"/>
                <w:color w:val="2D3748"/>
                <w:sz w:val="17"/>
              </w:rPr>
              <w:t>12,581</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Bot</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0.9920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0.9973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0.9947</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Brute Force -Web</w:t>
            </w:r>
          </w:p>
        </w:tc>
        <w:tc>
          <w:tcPr>
            <w:tcW w:type="dxa" w:w="1872"/>
            <w:tcMar>
              <w:top w:w="100" w:type="dxa"/>
              <w:bottom w:w="100" w:type="dxa"/>
              <w:left w:w="120" w:type="dxa"/>
              <w:right w:w="120" w:type="dxa"/>
            </w:tcMar>
          </w:tcPr>
          <w:p>
            <w:pPr>
              <w:spacing w:after="0"/>
              <w:jc w:val="right"/>
            </w:pPr>
            <w:r>
              <w:rPr>
                <w:rFonts w:ascii="Calibri" w:hAnsi="Calibri"/>
                <w:color w:val="2D3748"/>
                <w:sz w:val="17"/>
              </w:rPr>
              <w:t>0.7347</w:t>
            </w:r>
          </w:p>
        </w:tc>
        <w:tc>
          <w:tcPr>
            <w:tcW w:type="dxa" w:w="1872"/>
            <w:tcMar>
              <w:top w:w="100" w:type="dxa"/>
              <w:bottom w:w="100" w:type="dxa"/>
              <w:left w:w="120" w:type="dxa"/>
              <w:right w:w="120" w:type="dxa"/>
            </w:tcMar>
          </w:tcPr>
          <w:p>
            <w:pPr>
              <w:spacing w:after="0"/>
              <w:jc w:val="right"/>
            </w:pPr>
            <w:r>
              <w:rPr>
                <w:rFonts w:ascii="Calibri" w:hAnsi="Calibri"/>
                <w:color w:val="2D3748"/>
                <w:sz w:val="17"/>
              </w:rPr>
              <w:t>0.7826</w:t>
            </w:r>
          </w:p>
        </w:tc>
        <w:tc>
          <w:tcPr>
            <w:tcW w:type="dxa" w:w="1872"/>
            <w:tcMar>
              <w:top w:w="100" w:type="dxa"/>
              <w:bottom w:w="100" w:type="dxa"/>
              <w:left w:w="120" w:type="dxa"/>
              <w:right w:w="120" w:type="dxa"/>
            </w:tcMar>
          </w:tcPr>
          <w:p>
            <w:pPr>
              <w:spacing w:after="0"/>
              <w:jc w:val="right"/>
            </w:pPr>
            <w:r>
              <w:rPr>
                <w:rFonts w:ascii="Calibri" w:hAnsi="Calibri"/>
                <w:color w:val="2D3748"/>
                <w:sz w:val="17"/>
              </w:rPr>
              <w:t>0.7579</w:t>
            </w:r>
          </w:p>
        </w:tc>
        <w:tc>
          <w:tcPr>
            <w:tcW w:type="dxa" w:w="1872"/>
            <w:tcMar>
              <w:top w:w="100" w:type="dxa"/>
              <w:bottom w:w="100" w:type="dxa"/>
              <w:left w:w="120" w:type="dxa"/>
              <w:right w:w="120" w:type="dxa"/>
            </w:tcMar>
          </w:tcPr>
          <w:p>
            <w:pPr>
              <w:spacing w:after="0"/>
              <w:jc w:val="right"/>
            </w:pPr>
            <w:r>
              <w:rPr>
                <w:rFonts w:ascii="Calibri" w:hAnsi="Calibri"/>
                <w:color w:val="2D3748"/>
                <w:sz w:val="17"/>
              </w:rPr>
              <w:t>92</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Brute Force -XSS</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0.4706</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0.6400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34</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DDOS attack-HOIC</w:t>
            </w:r>
          </w:p>
        </w:tc>
        <w:tc>
          <w:tcPr>
            <w:tcW w:type="dxa" w:w="1872"/>
            <w:tcMar>
              <w:top w:w="100" w:type="dxa"/>
              <w:bottom w:w="100" w:type="dxa"/>
              <w:left w:w="120" w:type="dxa"/>
              <w:right w:w="120" w:type="dxa"/>
            </w:tcMar>
          </w:tcPr>
          <w:p>
            <w:pPr>
              <w:spacing w:after="0"/>
              <w:jc w:val="right"/>
            </w:pPr>
            <w:r>
              <w:rPr>
                <w:rFonts w:ascii="Calibri" w:hAnsi="Calibri"/>
                <w:color w:val="2D3748"/>
                <w:sz w:val="17"/>
              </w:rPr>
              <w:t>0.9987</w:t>
            </w:r>
          </w:p>
        </w:tc>
        <w:tc>
          <w:tcPr>
            <w:tcW w:type="dxa" w:w="1872"/>
            <w:tcMar>
              <w:top w:w="100" w:type="dxa"/>
              <w:bottom w:w="100" w:type="dxa"/>
              <w:left w:w="120" w:type="dxa"/>
              <w:right w:w="120" w:type="dxa"/>
            </w:tcMar>
          </w:tcPr>
          <w:p>
            <w:pPr>
              <w:spacing w:after="0"/>
              <w:jc w:val="right"/>
            </w:pPr>
            <w:r>
              <w:rPr>
                <w:rFonts w:ascii="Calibri" w:hAnsi="Calibri"/>
                <w:color w:val="2D3748"/>
                <w:sz w:val="17"/>
              </w:rPr>
              <w:t>0.9987</w:t>
            </w:r>
          </w:p>
        </w:tc>
        <w:tc>
          <w:tcPr>
            <w:tcW w:type="dxa" w:w="1872"/>
            <w:tcMar>
              <w:top w:w="100" w:type="dxa"/>
              <w:bottom w:w="100" w:type="dxa"/>
              <w:left w:w="120" w:type="dxa"/>
              <w:right w:w="120" w:type="dxa"/>
            </w:tcMar>
          </w:tcPr>
          <w:p>
            <w:pPr>
              <w:spacing w:after="0"/>
              <w:jc w:val="right"/>
            </w:pPr>
            <w:r>
              <w:rPr>
                <w:rFonts w:ascii="Calibri" w:hAnsi="Calibri"/>
                <w:color w:val="2D3748"/>
                <w:sz w:val="17"/>
              </w:rPr>
              <w:t>0.9987</w:t>
            </w:r>
          </w:p>
        </w:tc>
        <w:tc>
          <w:tcPr>
            <w:tcW w:type="dxa" w:w="1872"/>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DDOS attack-LOIC-UDP</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0.9924</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0.9962</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260</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DDoS attacks-LOIC-HTTP</w:t>
            </w:r>
          </w:p>
        </w:tc>
        <w:tc>
          <w:tcPr>
            <w:tcW w:type="dxa" w:w="1872"/>
            <w:tcMar>
              <w:top w:w="100" w:type="dxa"/>
              <w:bottom w:w="100" w:type="dxa"/>
              <w:left w:w="120" w:type="dxa"/>
              <w:right w:w="120" w:type="dxa"/>
            </w:tcMar>
          </w:tcPr>
          <w:p>
            <w:pPr>
              <w:spacing w:after="0"/>
              <w:jc w:val="right"/>
            </w:pPr>
            <w:r>
              <w:rPr>
                <w:rFonts w:ascii="Calibri" w:hAnsi="Calibri"/>
                <w:color w:val="2D3748"/>
                <w:sz w:val="17"/>
              </w:rPr>
              <w:t>0.9960</w:t>
            </w:r>
          </w:p>
        </w:tc>
        <w:tc>
          <w:tcPr>
            <w:tcW w:type="dxa" w:w="1872"/>
            <w:tcMar>
              <w:top w:w="100" w:type="dxa"/>
              <w:bottom w:w="100" w:type="dxa"/>
              <w:left w:w="120" w:type="dxa"/>
              <w:right w:w="120" w:type="dxa"/>
            </w:tcMar>
          </w:tcPr>
          <w:p>
            <w:pPr>
              <w:spacing w:after="0"/>
              <w:jc w:val="right"/>
            </w:pPr>
            <w:r>
              <w:rPr>
                <w:rFonts w:ascii="Calibri" w:hAnsi="Calibri"/>
                <w:color w:val="2D3748"/>
                <w:sz w:val="17"/>
              </w:rPr>
              <w:t>0.9907</w:t>
            </w:r>
          </w:p>
        </w:tc>
        <w:tc>
          <w:tcPr>
            <w:tcW w:type="dxa" w:w="1872"/>
            <w:tcMar>
              <w:top w:w="100" w:type="dxa"/>
              <w:bottom w:w="100" w:type="dxa"/>
              <w:left w:w="120" w:type="dxa"/>
              <w:right w:w="120" w:type="dxa"/>
            </w:tcMar>
          </w:tcPr>
          <w:p>
            <w:pPr>
              <w:spacing w:after="0"/>
              <w:jc w:val="right"/>
            </w:pPr>
            <w:r>
              <w:rPr>
                <w:rFonts w:ascii="Calibri" w:hAnsi="Calibri"/>
                <w:color w:val="2D3748"/>
                <w:sz w:val="17"/>
              </w:rPr>
              <w:t>0.9933</w:t>
            </w:r>
          </w:p>
        </w:tc>
        <w:tc>
          <w:tcPr>
            <w:tcW w:type="dxa" w:w="1872"/>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DoS attacks-GoldenEye</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0.9947</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0.9973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DoS attacks-Hulk</w:t>
            </w:r>
          </w:p>
        </w:tc>
        <w:tc>
          <w:tcPr>
            <w:tcW w:type="dxa" w:w="1872"/>
            <w:tcMar>
              <w:top w:w="100" w:type="dxa"/>
              <w:bottom w:w="100" w:type="dxa"/>
              <w:left w:w="120" w:type="dxa"/>
              <w:right w:w="120" w:type="dxa"/>
            </w:tcMar>
          </w:tcPr>
          <w:p>
            <w:pPr>
              <w:spacing w:after="0"/>
              <w:jc w:val="right"/>
            </w:pPr>
            <w:r>
              <w:rPr>
                <w:rFonts w:ascii="Calibri" w:hAnsi="Calibri"/>
                <w:color w:val="2D3748"/>
                <w:sz w:val="17"/>
              </w:rPr>
              <w:t>0.9987</w:t>
            </w:r>
          </w:p>
        </w:tc>
        <w:tc>
          <w:tcPr>
            <w:tcW w:type="dxa" w:w="1872"/>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tcMar>
              <w:top w:w="100" w:type="dxa"/>
              <w:bottom w:w="100" w:type="dxa"/>
              <w:left w:w="120" w:type="dxa"/>
              <w:right w:w="120" w:type="dxa"/>
            </w:tcMar>
          </w:tcPr>
          <w:p>
            <w:pPr>
              <w:spacing w:after="0"/>
              <w:jc w:val="right"/>
            </w:pPr>
            <w:r>
              <w:rPr>
                <w:rFonts w:ascii="Calibri" w:hAnsi="Calibri"/>
                <w:color w:val="2D3748"/>
                <w:sz w:val="17"/>
              </w:rPr>
              <w:t>0.9993</w:t>
            </w:r>
          </w:p>
        </w:tc>
        <w:tc>
          <w:tcPr>
            <w:tcW w:type="dxa" w:w="1872"/>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DoS attacks-SlowHTTPTest</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0.7691</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0.4573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0.5736</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DoS attacks-Slowloris</w:t>
            </w:r>
          </w:p>
        </w:tc>
        <w:tc>
          <w:tcPr>
            <w:tcW w:type="dxa" w:w="1872"/>
            <w:tcMar>
              <w:top w:w="100" w:type="dxa"/>
              <w:bottom w:w="100" w:type="dxa"/>
              <w:left w:w="120" w:type="dxa"/>
              <w:right w:w="120" w:type="dxa"/>
            </w:tcMar>
          </w:tcPr>
          <w:p>
            <w:pPr>
              <w:spacing w:after="0"/>
              <w:jc w:val="right"/>
            </w:pPr>
            <w:r>
              <w:rPr>
                <w:rFonts w:ascii="Calibri" w:hAnsi="Calibri"/>
                <w:color w:val="2D3748"/>
                <w:sz w:val="17"/>
              </w:rPr>
              <w:t>0.9934</w:t>
            </w:r>
          </w:p>
        </w:tc>
        <w:tc>
          <w:tcPr>
            <w:tcW w:type="dxa" w:w="1872"/>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tcMar>
              <w:top w:w="100" w:type="dxa"/>
              <w:bottom w:w="100" w:type="dxa"/>
              <w:left w:w="120" w:type="dxa"/>
              <w:right w:w="120" w:type="dxa"/>
            </w:tcMar>
          </w:tcPr>
          <w:p>
            <w:pPr>
              <w:spacing w:after="0"/>
              <w:jc w:val="right"/>
            </w:pPr>
            <w:r>
              <w:rPr>
                <w:rFonts w:ascii="Calibri" w:hAnsi="Calibri"/>
                <w:color w:val="2D3748"/>
                <w:sz w:val="17"/>
              </w:rPr>
              <w:t>0.9967</w:t>
            </w:r>
          </w:p>
        </w:tc>
        <w:tc>
          <w:tcPr>
            <w:tcW w:type="dxa" w:w="1872"/>
            <w:tcMar>
              <w:top w:w="100" w:type="dxa"/>
              <w:bottom w:w="100" w:type="dxa"/>
              <w:left w:w="120" w:type="dxa"/>
              <w:right w:w="120" w:type="dxa"/>
            </w:tcMar>
          </w:tcPr>
          <w:p>
            <w:pPr>
              <w:spacing w:after="0"/>
              <w:jc w:val="right"/>
            </w:pPr>
            <w:r>
              <w:rPr>
                <w:rFonts w:ascii="Calibri" w:hAnsi="Calibri"/>
                <w:color w:val="2D3748"/>
                <w:sz w:val="17"/>
              </w:rPr>
              <w:t>1,648</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FTP-BruteForce</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0.6139</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0.8627</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0.7173</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750</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Infilteration</w:t>
            </w:r>
          </w:p>
        </w:tc>
        <w:tc>
          <w:tcPr>
            <w:tcW w:type="dxa" w:w="1872"/>
            <w:tcMar>
              <w:top w:w="100" w:type="dxa"/>
              <w:bottom w:w="100" w:type="dxa"/>
              <w:left w:w="120" w:type="dxa"/>
              <w:right w:w="120" w:type="dxa"/>
            </w:tcMar>
          </w:tcPr>
          <w:p>
            <w:pPr>
              <w:spacing w:after="0"/>
              <w:jc w:val="right"/>
            </w:pPr>
            <w:r>
              <w:rPr>
                <w:rFonts w:ascii="Calibri" w:hAnsi="Calibri"/>
                <w:color w:val="2D3748"/>
                <w:sz w:val="17"/>
              </w:rPr>
              <w:t>0.7333</w:t>
            </w:r>
          </w:p>
        </w:tc>
        <w:tc>
          <w:tcPr>
            <w:tcW w:type="dxa" w:w="1872"/>
            <w:tcMar>
              <w:top w:w="100" w:type="dxa"/>
              <w:bottom w:w="100" w:type="dxa"/>
              <w:left w:w="120" w:type="dxa"/>
              <w:right w:w="120" w:type="dxa"/>
            </w:tcMar>
          </w:tcPr>
          <w:p>
            <w:pPr>
              <w:spacing w:after="0"/>
              <w:jc w:val="right"/>
            </w:pPr>
            <w:r>
              <w:rPr>
                <w:rFonts w:ascii="Calibri" w:hAnsi="Calibri"/>
                <w:color w:val="2D3748"/>
                <w:sz w:val="17"/>
              </w:rPr>
              <w:t>0.2095</w:t>
            </w:r>
          </w:p>
        </w:tc>
        <w:tc>
          <w:tcPr>
            <w:tcW w:type="dxa" w:w="1872"/>
            <w:tcMar>
              <w:top w:w="100" w:type="dxa"/>
              <w:bottom w:w="100" w:type="dxa"/>
              <w:left w:w="120" w:type="dxa"/>
              <w:right w:w="120" w:type="dxa"/>
            </w:tcMar>
          </w:tcPr>
          <w:p>
            <w:pPr>
              <w:spacing w:after="0"/>
              <w:jc w:val="right"/>
            </w:pPr>
            <w:r>
              <w:rPr>
                <w:rFonts w:ascii="Calibri" w:hAnsi="Calibri"/>
                <w:color w:val="2D3748"/>
                <w:sz w:val="17"/>
              </w:rPr>
              <w:t>0.3259</w:t>
            </w:r>
          </w:p>
        </w:tc>
        <w:tc>
          <w:tcPr>
            <w:tcW w:type="dxa" w:w="1872"/>
            <w:tcMar>
              <w:top w:w="100" w:type="dxa"/>
              <w:bottom w:w="100" w:type="dxa"/>
              <w:left w:w="120" w:type="dxa"/>
              <w:right w:w="120" w:type="dxa"/>
            </w:tcMar>
          </w:tcPr>
          <w:p>
            <w:pPr>
              <w:spacing w:after="0"/>
              <w:jc w:val="right"/>
            </w:pPr>
            <w:r>
              <w:rPr>
                <w:rFonts w:ascii="Calibri" w:hAnsi="Calibri"/>
                <w:color w:val="2D3748"/>
                <w:sz w:val="17"/>
              </w:rPr>
              <w:t>630</w:t>
            </w:r>
          </w:p>
        </w:tc>
      </w:tr>
      <w:tr>
        <w:trPr>
          <w:cantSplit/>
        </w:trPr>
        <w:tc>
          <w:tcPr>
            <w:tcW w:type="dxa" w:w="1872"/>
            <w:shd w:val="clear" w:color="auto" w:fill="F7FAFC"/>
            <w:tcMar>
              <w:top w:w="100" w:type="dxa"/>
              <w:bottom w:w="100" w:type="dxa"/>
              <w:left w:w="120" w:type="dxa"/>
              <w:right w:w="120" w:type="dxa"/>
            </w:tcMar>
          </w:tcPr>
          <w:p>
            <w:pPr>
              <w:spacing w:after="0"/>
              <w:jc w:val="left"/>
            </w:pPr>
            <w:r>
              <w:rPr>
                <w:rFonts w:ascii="Calibri" w:hAnsi="Calibri"/>
                <w:color w:val="2D3748"/>
                <w:sz w:val="17"/>
              </w:rPr>
              <w:t>SQL Injection</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0.3846</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0.5556</w:t>
            </w:r>
          </w:p>
        </w:tc>
        <w:tc>
          <w:tcPr>
            <w:tcW w:type="dxa" w:w="1872"/>
            <w:shd w:val="clear" w:color="auto" w:fill="F7FAFC"/>
            <w:tcMar>
              <w:top w:w="100" w:type="dxa"/>
              <w:bottom w:w="100" w:type="dxa"/>
              <w:left w:w="120" w:type="dxa"/>
              <w:right w:w="120" w:type="dxa"/>
            </w:tcMar>
          </w:tcPr>
          <w:p>
            <w:pPr>
              <w:spacing w:after="0"/>
              <w:jc w:val="right"/>
            </w:pPr>
            <w:r>
              <w:rPr>
                <w:rFonts w:ascii="Calibri" w:hAnsi="Calibri"/>
                <w:color w:val="2D3748"/>
                <w:sz w:val="17"/>
              </w:rPr>
              <w:t>13</w:t>
            </w:r>
          </w:p>
        </w:tc>
      </w:tr>
      <w:tr>
        <w:trPr>
          <w:cantSplit/>
        </w:trPr>
        <w:tc>
          <w:tcPr>
            <w:tcW w:type="dxa" w:w="1872"/>
            <w:tcMar>
              <w:top w:w="100" w:type="dxa"/>
              <w:bottom w:w="100" w:type="dxa"/>
              <w:left w:w="120" w:type="dxa"/>
              <w:right w:w="120" w:type="dxa"/>
            </w:tcMar>
          </w:tcPr>
          <w:p>
            <w:pPr>
              <w:spacing w:after="0"/>
              <w:jc w:val="left"/>
            </w:pPr>
            <w:r>
              <w:rPr>
                <w:rFonts w:ascii="Calibri" w:hAnsi="Calibri"/>
                <w:color w:val="2D3748"/>
                <w:sz w:val="17"/>
              </w:rPr>
              <w:t>SSH-Bruteforce</w:t>
            </w:r>
          </w:p>
        </w:tc>
        <w:tc>
          <w:tcPr>
            <w:tcW w:type="dxa" w:w="1872"/>
            <w:tcMar>
              <w:top w:w="100" w:type="dxa"/>
              <w:bottom w:w="100" w:type="dxa"/>
              <w:left w:w="120" w:type="dxa"/>
              <w:right w:w="120" w:type="dxa"/>
            </w:tcMar>
          </w:tcPr>
          <w:p>
            <w:pPr>
              <w:spacing w:after="0"/>
              <w:jc w:val="right"/>
            </w:pPr>
            <w:r>
              <w:rPr>
                <w:rFonts w:ascii="Calibri" w:hAnsi="Calibri"/>
                <w:color w:val="2D3748"/>
                <w:sz w:val="17"/>
              </w:rPr>
              <w:t>1.0000</w:t>
            </w:r>
          </w:p>
        </w:tc>
        <w:tc>
          <w:tcPr>
            <w:tcW w:type="dxa" w:w="1872"/>
            <w:tcMar>
              <w:top w:w="100" w:type="dxa"/>
              <w:bottom w:w="100" w:type="dxa"/>
              <w:left w:w="120" w:type="dxa"/>
              <w:right w:w="120" w:type="dxa"/>
            </w:tcMar>
          </w:tcPr>
          <w:p>
            <w:pPr>
              <w:spacing w:after="0"/>
              <w:jc w:val="right"/>
            </w:pPr>
            <w:r>
              <w:rPr>
                <w:rFonts w:ascii="Calibri" w:hAnsi="Calibri"/>
                <w:color w:val="2D3748"/>
                <w:sz w:val="17"/>
              </w:rPr>
              <w:t>0.9987</w:t>
            </w:r>
          </w:p>
        </w:tc>
        <w:tc>
          <w:tcPr>
            <w:tcW w:type="dxa" w:w="1872"/>
            <w:tcMar>
              <w:top w:w="100" w:type="dxa"/>
              <w:bottom w:w="100" w:type="dxa"/>
              <w:left w:w="120" w:type="dxa"/>
              <w:right w:w="120" w:type="dxa"/>
            </w:tcMar>
          </w:tcPr>
          <w:p>
            <w:pPr>
              <w:spacing w:after="0"/>
              <w:jc w:val="right"/>
            </w:pPr>
            <w:r>
              <w:rPr>
                <w:rFonts w:ascii="Calibri" w:hAnsi="Calibri"/>
                <w:color w:val="2D3748"/>
                <w:sz w:val="17"/>
              </w:rPr>
              <w:t>0.9993</w:t>
            </w:r>
          </w:p>
        </w:tc>
        <w:tc>
          <w:tcPr>
            <w:tcW w:type="dxa" w:w="1872"/>
            <w:tcMar>
              <w:top w:w="100" w:type="dxa"/>
              <w:bottom w:w="100" w:type="dxa"/>
              <w:left w:w="120" w:type="dxa"/>
              <w:right w:w="120" w:type="dxa"/>
            </w:tcMar>
          </w:tcPr>
          <w:p>
            <w:pPr>
              <w:spacing w:after="0"/>
              <w:jc w:val="right"/>
            </w:pPr>
            <w:r>
              <w:rPr>
                <w:rFonts w:ascii="Calibri" w:hAnsi="Calibri"/>
                <w:color w:val="2D3748"/>
                <w:sz w:val="17"/>
              </w:rPr>
              <w:t>750</w:t>
            </w:r>
          </w:p>
        </w:tc>
      </w:tr>
    </w:tbl>
    <w:p>
      <w:pPr>
        <w:spacing w:after="80"/>
      </w:pPr>
    </w:p>
    <w:p>
      <w:pPr>
        <w:keepNext/>
        <w:spacing w:before="200" w:after="60"/>
      </w:pPr>
      <w:r>
        <w:rPr>
          <w:rFonts w:ascii="Calibri" w:hAnsi="Calibri"/>
          <w:b/>
          <w:color w:val="2C5282"/>
          <w:sz w:val="23"/>
        </w:rPr>
        <w:t>7.3 Modality Ablation Analysis</w:t>
      </w:r>
    </w:p>
    <w:p>
      <w:pPr>
        <w:spacing w:after="80" w:line="276" w:lineRule="auto"/>
      </w:pPr>
      <w:r>
        <w:rPr>
          <w:sz w:val="21"/>
        </w:rPr>
        <w:t>To examine the relative contributions of temporal and relational representations, a controlled ablation was conducted comparing temporal-only, relational-only, and multimodal representations.</w:t>
      </w:r>
    </w:p>
    <w:tbl>
      <w:tblPr>
        <w:tblW w:type="auto" w:w="0"/>
        <w:jc w:val="center"/>
        <w:tblLook w:firstColumn="1" w:firstRow="1" w:lastColumn="0" w:lastRow="0" w:noHBand="0" w:noVBand="1" w:val="04A0"/>
      </w:tblPr>
      <w:tblGrid>
        <w:gridCol w:w="9360"/>
      </w:tblGrid>
      <w:tr>
        <w:tc>
          <w:tcPr>
            <w:tcW w:type="dxa" w:w="9360"/>
            <w:shd w:val="clear" w:color="auto" w:fill="EDF2F7"/>
            <w:tcMar>
              <w:top w:w="100" w:type="dxa"/>
              <w:bottom w:w="100" w:type="dxa"/>
              <w:left w:w="160" w:type="dxa"/>
              <w:right w:w="140" w:type="dxa"/>
            </w:tcMar>
            <w:tcBorders>
              <w:left w:val="single" w:sz="24" w:space="0" w:color="1B365D"/>
              <w:top w:val="none"/>
              <w:right w:val="none"/>
              <w:bottom w:val="none"/>
            </w:tcBorders>
          </w:tcPr>
          <w:p>
            <w:pPr>
              <w:spacing w:after="0"/>
            </w:pPr>
            <w:r>
              <w:rPr>
                <w:i/>
                <w:color w:val="2D3748"/>
                <w:sz w:val="19"/>
              </w:rPr>
              <w:t>Protocol Note: The modality-ablation results should not be directly compared numerically with the fusion-benchmark results reported in Section 7.2 because the ablation was conducted under a standalone single-run protocol to measure relative modality contribution, whereas Section 7.2 compares alternative fusion mechanisms under the fixed-encoder fusion suite.</w:t>
            </w:r>
          </w:p>
        </w:tc>
      </w:tr>
    </w:tbl>
    <w:p>
      <w:pPr>
        <w:spacing w:after="80"/>
      </w:pPr>
    </w:p>
    <w:p>
      <w:pPr>
        <w:keepNext/>
        <w:spacing w:after="60" w:line="276" w:lineRule="auto" w:before="160"/>
        <w:jc w:val="center"/>
      </w:pPr>
      <w:r>
        <w:rPr>
          <w:b/>
          <w:color w:val="1B365D"/>
          <w:sz w:val="20"/>
        </w:rPr>
        <w:t>Table 13: Modality Ablation Results on CSE-CIC-IDS2018 (15 Classes)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936"/>
        <w:gridCol w:w="936"/>
        <w:gridCol w:w="936"/>
        <w:gridCol w:w="936"/>
        <w:gridCol w:w="936"/>
        <w:gridCol w:w="936"/>
        <w:gridCol w:w="936"/>
        <w:gridCol w:w="936"/>
        <w:gridCol w:w="936"/>
        <w:gridCol w:w="936"/>
      </w:tblGrid>
      <w:tr>
        <w:trPr>
          <w:tblHeader/>
          <w:cantSplit/>
        </w:trPr>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Architecture</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Macro F1</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Weighted F1</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Accuracy</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Benign Recall</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Attack Macro Recall</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FPR</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FNR</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Trainable Parameters</w:t>
            </w:r>
          </w:p>
        </w:tc>
        <w:tc>
          <w:tcPr>
            <w:tcW w:type="dxa" w:w="936"/>
            <w:shd w:val="clear" w:color="auto" w:fill="1B365D"/>
            <w:tcMar>
              <w:top w:w="140" w:type="dxa"/>
              <w:bottom w:w="140" w:type="dxa"/>
              <w:left w:w="140" w:type="dxa"/>
              <w:right w:w="140" w:type="dxa"/>
            </w:tcMar>
          </w:tcPr>
          <w:p>
            <w:pPr>
              <w:spacing w:after="0"/>
              <w:jc w:val="center"/>
            </w:pPr>
            <w:r>
              <w:rPr>
                <w:rFonts w:ascii="Calibri" w:hAnsi="Calibri"/>
                <w:b/>
                <w:color w:val="FFFFFF"/>
                <w:sz w:val="18"/>
              </w:rPr>
              <w:t>Time (s)</w:t>
            </w:r>
          </w:p>
        </w:tc>
      </w:tr>
      <w:tr>
        <w:trPr>
          <w:cantSplit/>
        </w:trPr>
        <w:tc>
          <w:tcPr>
            <w:tcW w:type="dxa" w:w="936"/>
            <w:tcMar>
              <w:top w:w="100" w:type="dxa"/>
              <w:bottom w:w="100" w:type="dxa"/>
              <w:left w:w="120" w:type="dxa"/>
              <w:right w:w="120" w:type="dxa"/>
            </w:tcMar>
          </w:tcPr>
          <w:p>
            <w:pPr>
              <w:spacing w:after="0"/>
              <w:jc w:val="left"/>
            </w:pPr>
            <w:r>
              <w:rPr>
                <w:rFonts w:ascii="Calibri" w:hAnsi="Calibri"/>
                <w:color w:val="2D3748"/>
                <w:sz w:val="17"/>
              </w:rPr>
              <w:t>Temporal-Only</w:t>
            </w:r>
          </w:p>
        </w:tc>
        <w:tc>
          <w:tcPr>
            <w:tcW w:type="dxa" w:w="936"/>
            <w:tcMar>
              <w:top w:w="100" w:type="dxa"/>
              <w:bottom w:w="100" w:type="dxa"/>
              <w:left w:w="120" w:type="dxa"/>
              <w:right w:w="120" w:type="dxa"/>
            </w:tcMar>
          </w:tcPr>
          <w:p>
            <w:pPr>
              <w:spacing w:after="0"/>
              <w:jc w:val="right"/>
            </w:pPr>
            <w:r>
              <w:rPr>
                <w:rFonts w:ascii="Calibri" w:hAnsi="Calibri"/>
                <w:color w:val="2D3748"/>
                <w:sz w:val="17"/>
              </w:rPr>
              <w:t>0.1877</w:t>
            </w:r>
          </w:p>
        </w:tc>
        <w:tc>
          <w:tcPr>
            <w:tcW w:type="dxa" w:w="936"/>
            <w:tcMar>
              <w:top w:w="100" w:type="dxa"/>
              <w:bottom w:w="100" w:type="dxa"/>
              <w:left w:w="120" w:type="dxa"/>
              <w:right w:w="120" w:type="dxa"/>
            </w:tcMar>
          </w:tcPr>
          <w:p>
            <w:pPr>
              <w:spacing w:after="0"/>
              <w:jc w:val="right"/>
            </w:pPr>
            <w:r>
              <w:rPr>
                <w:rFonts w:ascii="Calibri" w:hAnsi="Calibri"/>
                <w:color w:val="2D3748"/>
                <w:sz w:val="17"/>
              </w:rPr>
              <w:t>0.7974</w:t>
            </w:r>
          </w:p>
        </w:tc>
        <w:tc>
          <w:tcPr>
            <w:tcW w:type="dxa" w:w="936"/>
            <w:tcMar>
              <w:top w:w="100" w:type="dxa"/>
              <w:bottom w:w="100" w:type="dxa"/>
              <w:left w:w="120" w:type="dxa"/>
              <w:right w:w="120" w:type="dxa"/>
            </w:tcMar>
          </w:tcPr>
          <w:p>
            <w:pPr>
              <w:spacing w:after="0"/>
              <w:jc w:val="right"/>
            </w:pPr>
            <w:r>
              <w:rPr>
                <w:rFonts w:ascii="Calibri" w:hAnsi="Calibri"/>
                <w:color w:val="2D3748"/>
                <w:sz w:val="17"/>
              </w:rPr>
              <w:t>0.8585</w:t>
            </w:r>
          </w:p>
        </w:tc>
        <w:tc>
          <w:tcPr>
            <w:tcW w:type="dxa" w:w="936"/>
            <w:tcMar>
              <w:top w:w="100" w:type="dxa"/>
              <w:bottom w:w="100" w:type="dxa"/>
              <w:left w:w="120" w:type="dxa"/>
              <w:right w:w="120" w:type="dxa"/>
            </w:tcMar>
          </w:tcPr>
          <w:p>
            <w:pPr>
              <w:spacing w:after="0"/>
              <w:jc w:val="right"/>
            </w:pPr>
            <w:r>
              <w:rPr>
                <w:rFonts w:ascii="Calibri" w:hAnsi="Calibri"/>
                <w:color w:val="2D3748"/>
                <w:sz w:val="17"/>
              </w:rPr>
              <w:t>0.9942</w:t>
            </w:r>
          </w:p>
        </w:tc>
        <w:tc>
          <w:tcPr>
            <w:tcW w:type="dxa" w:w="936"/>
            <w:tcMar>
              <w:top w:w="100" w:type="dxa"/>
              <w:bottom w:w="100" w:type="dxa"/>
              <w:left w:w="120" w:type="dxa"/>
              <w:right w:w="120" w:type="dxa"/>
            </w:tcMar>
          </w:tcPr>
          <w:p>
            <w:pPr>
              <w:spacing w:after="0"/>
              <w:jc w:val="right"/>
            </w:pPr>
            <w:r>
              <w:rPr>
                <w:rFonts w:ascii="Calibri" w:hAnsi="Calibri"/>
                <w:color w:val="2D3748"/>
                <w:sz w:val="17"/>
              </w:rPr>
              <w:t>0.1915</w:t>
            </w:r>
          </w:p>
        </w:tc>
        <w:tc>
          <w:tcPr>
            <w:tcW w:type="dxa" w:w="936"/>
            <w:tcMar>
              <w:top w:w="100" w:type="dxa"/>
              <w:bottom w:w="100" w:type="dxa"/>
              <w:left w:w="120" w:type="dxa"/>
              <w:right w:w="120" w:type="dxa"/>
            </w:tcMar>
          </w:tcPr>
          <w:p>
            <w:pPr>
              <w:spacing w:after="0"/>
              <w:jc w:val="right"/>
            </w:pPr>
            <w:r>
              <w:rPr>
                <w:rFonts w:ascii="Calibri" w:hAnsi="Calibri"/>
                <w:color w:val="2D3748"/>
                <w:sz w:val="17"/>
              </w:rPr>
              <w:t>0.0058</w:t>
            </w:r>
          </w:p>
        </w:tc>
        <w:tc>
          <w:tcPr>
            <w:tcW w:type="dxa" w:w="936"/>
            <w:tcMar>
              <w:top w:w="100" w:type="dxa"/>
              <w:bottom w:w="100" w:type="dxa"/>
              <w:left w:w="120" w:type="dxa"/>
              <w:right w:w="120" w:type="dxa"/>
            </w:tcMar>
          </w:tcPr>
          <w:p>
            <w:pPr>
              <w:spacing w:after="0"/>
              <w:jc w:val="right"/>
            </w:pPr>
            <w:r>
              <w:rPr>
                <w:rFonts w:ascii="Calibri" w:hAnsi="Calibri"/>
                <w:color w:val="2D3748"/>
                <w:sz w:val="17"/>
              </w:rPr>
              <w:t>0.7870</w:t>
            </w:r>
          </w:p>
        </w:tc>
        <w:tc>
          <w:tcPr>
            <w:tcW w:type="dxa" w:w="936"/>
            <w:tcMar>
              <w:top w:w="100" w:type="dxa"/>
              <w:bottom w:w="100" w:type="dxa"/>
              <w:left w:w="120" w:type="dxa"/>
              <w:right w:w="120" w:type="dxa"/>
            </w:tcMar>
          </w:tcPr>
          <w:p>
            <w:pPr>
              <w:spacing w:after="0"/>
              <w:jc w:val="right"/>
            </w:pPr>
            <w:r>
              <w:rPr>
                <w:rFonts w:ascii="Calibri" w:hAnsi="Calibri"/>
                <w:color w:val="2D3748"/>
                <w:sz w:val="17"/>
              </w:rPr>
              <w:t>46,223</w:t>
            </w:r>
          </w:p>
        </w:tc>
        <w:tc>
          <w:tcPr>
            <w:tcW w:type="dxa" w:w="936"/>
            <w:tcMar>
              <w:top w:w="100" w:type="dxa"/>
              <w:bottom w:w="100" w:type="dxa"/>
              <w:left w:w="120" w:type="dxa"/>
              <w:right w:w="120" w:type="dxa"/>
            </w:tcMar>
          </w:tcPr>
          <w:p>
            <w:pPr>
              <w:spacing w:after="0"/>
              <w:jc w:val="right"/>
            </w:pPr>
            <w:r>
              <w:rPr>
                <w:rFonts w:ascii="Calibri" w:hAnsi="Calibri"/>
                <w:color w:val="2D3748"/>
                <w:sz w:val="17"/>
              </w:rPr>
              <w:t>385.2</w:t>
            </w:r>
          </w:p>
        </w:tc>
      </w:tr>
      <w:tr>
        <w:trPr>
          <w:cantSplit/>
        </w:trPr>
        <w:tc>
          <w:tcPr>
            <w:tcW w:type="dxa" w:w="936"/>
            <w:shd w:val="clear" w:color="auto" w:fill="F7FAFC"/>
            <w:tcMar>
              <w:top w:w="100" w:type="dxa"/>
              <w:bottom w:w="100" w:type="dxa"/>
              <w:left w:w="120" w:type="dxa"/>
              <w:right w:w="120" w:type="dxa"/>
            </w:tcMar>
          </w:tcPr>
          <w:p>
            <w:pPr>
              <w:spacing w:after="0"/>
              <w:jc w:val="left"/>
            </w:pPr>
            <w:r>
              <w:rPr>
                <w:rFonts w:ascii="Calibri" w:hAnsi="Calibri"/>
                <w:color w:val="2D3748"/>
                <w:sz w:val="17"/>
              </w:rPr>
              <w:t>Relational-Only</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0.1232</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0.7716</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0.8425</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0.9977</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0.0698</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0.0023</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0.9004</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15,311</w:t>
            </w:r>
          </w:p>
        </w:tc>
        <w:tc>
          <w:tcPr>
            <w:tcW w:type="dxa" w:w="936"/>
            <w:shd w:val="clear" w:color="auto" w:fill="F7FAFC"/>
            <w:tcMar>
              <w:top w:w="100" w:type="dxa"/>
              <w:bottom w:w="100" w:type="dxa"/>
              <w:left w:w="120" w:type="dxa"/>
              <w:right w:w="120" w:type="dxa"/>
            </w:tcMar>
          </w:tcPr>
          <w:p>
            <w:pPr>
              <w:spacing w:after="0"/>
              <w:jc w:val="right"/>
            </w:pPr>
            <w:r>
              <w:rPr>
                <w:rFonts w:ascii="Calibri" w:hAnsi="Calibri"/>
                <w:color w:val="2D3748"/>
                <w:sz w:val="17"/>
              </w:rPr>
              <w:t>192.6</w:t>
            </w:r>
          </w:p>
        </w:tc>
      </w:tr>
      <w:tr>
        <w:trPr>
          <w:cantSplit/>
        </w:trPr>
        <w:tc>
          <w:tcPr>
            <w:tcW w:type="dxa" w:w="936"/>
            <w:tcMar>
              <w:top w:w="100" w:type="dxa"/>
              <w:bottom w:w="100" w:type="dxa"/>
              <w:left w:w="120" w:type="dxa"/>
              <w:right w:w="120" w:type="dxa"/>
            </w:tcMar>
          </w:tcPr>
          <w:p>
            <w:pPr>
              <w:spacing w:after="0"/>
              <w:jc w:val="left"/>
            </w:pPr>
            <w:r>
              <w:rPr>
                <w:rFonts w:ascii="Calibri" w:hAnsi="Calibri"/>
                <w:b/>
                <w:color w:val="1B365D"/>
                <w:sz w:val="17"/>
              </w:rPr>
              <w:t>Multimodal (Both)</w:t>
            </w:r>
          </w:p>
        </w:tc>
        <w:tc>
          <w:tcPr>
            <w:tcW w:type="dxa" w:w="936"/>
            <w:tcMar>
              <w:top w:w="100" w:type="dxa"/>
              <w:bottom w:w="100" w:type="dxa"/>
              <w:left w:w="120" w:type="dxa"/>
              <w:right w:w="120" w:type="dxa"/>
            </w:tcMar>
          </w:tcPr>
          <w:p>
            <w:pPr>
              <w:spacing w:after="0"/>
              <w:jc w:val="right"/>
            </w:pPr>
            <w:r>
              <w:rPr>
                <w:rFonts w:ascii="Calibri" w:hAnsi="Calibri"/>
                <w:b/>
                <w:color w:val="1B365D"/>
                <w:sz w:val="17"/>
              </w:rPr>
              <w:t>0.2811</w:t>
            </w:r>
          </w:p>
        </w:tc>
        <w:tc>
          <w:tcPr>
            <w:tcW w:type="dxa" w:w="936"/>
            <w:tcMar>
              <w:top w:w="100" w:type="dxa"/>
              <w:bottom w:w="100" w:type="dxa"/>
              <w:left w:w="120" w:type="dxa"/>
              <w:right w:w="120" w:type="dxa"/>
            </w:tcMar>
          </w:tcPr>
          <w:p>
            <w:pPr>
              <w:spacing w:after="0"/>
              <w:jc w:val="right"/>
            </w:pPr>
            <w:r>
              <w:rPr>
                <w:rFonts w:ascii="Calibri" w:hAnsi="Calibri"/>
                <w:b/>
                <w:color w:val="1B365D"/>
                <w:sz w:val="17"/>
              </w:rPr>
              <w:t>0.8341</w:t>
            </w:r>
          </w:p>
        </w:tc>
        <w:tc>
          <w:tcPr>
            <w:tcW w:type="dxa" w:w="936"/>
            <w:tcMar>
              <w:top w:w="100" w:type="dxa"/>
              <w:bottom w:w="100" w:type="dxa"/>
              <w:left w:w="120" w:type="dxa"/>
              <w:right w:w="120" w:type="dxa"/>
            </w:tcMar>
          </w:tcPr>
          <w:p>
            <w:pPr>
              <w:spacing w:after="0"/>
              <w:jc w:val="right"/>
            </w:pPr>
            <w:r>
              <w:rPr>
                <w:rFonts w:ascii="Calibri" w:hAnsi="Calibri"/>
                <w:b/>
                <w:color w:val="1B365D"/>
                <w:sz w:val="17"/>
              </w:rPr>
              <w:t>0.8772</w:t>
            </w:r>
          </w:p>
        </w:tc>
        <w:tc>
          <w:tcPr>
            <w:tcW w:type="dxa" w:w="936"/>
            <w:tcMar>
              <w:top w:w="100" w:type="dxa"/>
              <w:bottom w:w="100" w:type="dxa"/>
              <w:left w:w="120" w:type="dxa"/>
              <w:right w:w="120" w:type="dxa"/>
            </w:tcMar>
          </w:tcPr>
          <w:p>
            <w:pPr>
              <w:spacing w:after="0"/>
              <w:jc w:val="right"/>
            </w:pPr>
            <w:r>
              <w:rPr>
                <w:rFonts w:ascii="Calibri" w:hAnsi="Calibri"/>
                <w:color w:val="2D3748"/>
                <w:sz w:val="17"/>
              </w:rPr>
              <w:t>0.9804</w:t>
            </w:r>
          </w:p>
        </w:tc>
        <w:tc>
          <w:tcPr>
            <w:tcW w:type="dxa" w:w="936"/>
            <w:tcMar>
              <w:top w:w="100" w:type="dxa"/>
              <w:bottom w:w="100" w:type="dxa"/>
              <w:left w:w="120" w:type="dxa"/>
              <w:right w:w="120" w:type="dxa"/>
            </w:tcMar>
          </w:tcPr>
          <w:p>
            <w:pPr>
              <w:spacing w:after="0"/>
              <w:jc w:val="right"/>
            </w:pPr>
            <w:r>
              <w:rPr>
                <w:rFonts w:ascii="Calibri" w:hAnsi="Calibri"/>
                <w:b/>
                <w:color w:val="1B365D"/>
                <w:sz w:val="17"/>
              </w:rPr>
              <w:t>0.2820</w:t>
            </w:r>
          </w:p>
        </w:tc>
        <w:tc>
          <w:tcPr>
            <w:tcW w:type="dxa" w:w="936"/>
            <w:tcMar>
              <w:top w:w="100" w:type="dxa"/>
              <w:bottom w:w="100" w:type="dxa"/>
              <w:left w:w="120" w:type="dxa"/>
              <w:right w:w="120" w:type="dxa"/>
            </w:tcMar>
          </w:tcPr>
          <w:p>
            <w:pPr>
              <w:spacing w:after="0"/>
              <w:jc w:val="right"/>
            </w:pPr>
            <w:r>
              <w:rPr>
                <w:rFonts w:ascii="Calibri" w:hAnsi="Calibri"/>
                <w:color w:val="2D3748"/>
                <w:sz w:val="17"/>
              </w:rPr>
              <w:t>0.0196</w:t>
            </w:r>
          </w:p>
        </w:tc>
        <w:tc>
          <w:tcPr>
            <w:tcW w:type="dxa" w:w="936"/>
            <w:tcMar>
              <w:top w:w="100" w:type="dxa"/>
              <w:bottom w:w="100" w:type="dxa"/>
              <w:left w:w="120" w:type="dxa"/>
              <w:right w:w="120" w:type="dxa"/>
            </w:tcMar>
          </w:tcPr>
          <w:p>
            <w:pPr>
              <w:spacing w:after="0"/>
              <w:jc w:val="right"/>
            </w:pPr>
            <w:r>
              <w:rPr>
                <w:rFonts w:ascii="Calibri" w:hAnsi="Calibri"/>
                <w:b/>
                <w:color w:val="1B365D"/>
                <w:sz w:val="17"/>
              </w:rPr>
              <w:t>0.4809</w:t>
            </w:r>
          </w:p>
        </w:tc>
        <w:tc>
          <w:tcPr>
            <w:tcW w:type="dxa" w:w="936"/>
            <w:tcMar>
              <w:top w:w="100" w:type="dxa"/>
              <w:bottom w:w="100" w:type="dxa"/>
              <w:left w:w="120" w:type="dxa"/>
              <w:right w:w="120" w:type="dxa"/>
            </w:tcMar>
          </w:tcPr>
          <w:p>
            <w:pPr>
              <w:spacing w:after="0"/>
              <w:jc w:val="right"/>
            </w:pPr>
            <w:r>
              <w:rPr>
                <w:rFonts w:ascii="Calibri" w:hAnsi="Calibri"/>
                <w:color w:val="2D3748"/>
                <w:sz w:val="17"/>
              </w:rPr>
              <w:t>67,343</w:t>
            </w:r>
          </w:p>
        </w:tc>
        <w:tc>
          <w:tcPr>
            <w:tcW w:type="dxa" w:w="936"/>
            <w:tcMar>
              <w:top w:w="100" w:type="dxa"/>
              <w:bottom w:w="100" w:type="dxa"/>
              <w:left w:w="120" w:type="dxa"/>
              <w:right w:w="120" w:type="dxa"/>
            </w:tcMar>
          </w:tcPr>
          <w:p>
            <w:pPr>
              <w:spacing w:after="0"/>
              <w:jc w:val="right"/>
            </w:pPr>
            <w:r>
              <w:rPr>
                <w:rFonts w:ascii="Calibri" w:hAnsi="Calibri"/>
                <w:color w:val="2D3748"/>
                <w:sz w:val="17"/>
              </w:rPr>
              <w:t>307.6</w:t>
            </w:r>
          </w:p>
        </w:tc>
      </w:tr>
    </w:tbl>
    <w:p>
      <w:pPr>
        <w:spacing w:after="80"/>
      </w:pPr>
    </w:p>
    <w:p>
      <w:pPr>
        <w:spacing w:after="80" w:line="276" w:lineRule="auto"/>
      </w:pPr>
      <w:r>
        <w:rPr>
          <w:sz w:val="21"/>
        </w:rPr>
        <w:t>Within the modality-ablation configuration, the multimodal model achieved a Macro F1 of 0.2811, corresponding to relative increases of 49.8% over the temporal-only configuration (0.1877) and 128.2% over the relational-only configuration (0.1232). The multimodal configuration reduced the reported FNR from 78.7% to 48.1% (a 38.9% relative reduction in missed attacks), with an associated increase in FPR from 0.58% to 1.96%, indicating a trade-off between missed detections and false alarms.</w:t>
      </w:r>
    </w:p>
    <w:p>
      <w:pPr>
        <w:spacing w:before="120" w:after="120"/>
      </w:pPr>
    </w:p>
    <w:p>
      <w:pPr>
        <w:keepNext/>
        <w:spacing w:before="280" w:after="80"/>
      </w:pPr>
      <w:r>
        <w:rPr>
          <w:rFonts w:ascii="Calibri" w:hAnsi="Calibri"/>
          <w:b/>
          <w:color w:val="1B365D"/>
          <w:sz w:val="27"/>
        </w:rPr>
        <w:t>8. Discussion</w:t>
      </w:r>
    </w:p>
    <w:p>
      <w:pPr>
        <w:keepNext/>
        <w:spacing w:before="200" w:after="60"/>
      </w:pPr>
      <w:r>
        <w:rPr>
          <w:rFonts w:ascii="Calibri" w:hAnsi="Calibri"/>
          <w:b/>
          <w:color w:val="2C5282"/>
          <w:sz w:val="23"/>
        </w:rPr>
        <w:t>8.1 Dataset Quality as an Evaluation Risk</w:t>
      </w:r>
    </w:p>
    <w:p>
      <w:pPr>
        <w:spacing w:after="80" w:line="276" w:lineRule="auto"/>
      </w:pPr>
      <w:r>
        <w:rPr>
          <w:sz w:val="21"/>
        </w:rPr>
        <w:t>The forensic audit highlights that dataset artifacts—such as duplicate feature vectors, conflicting labels, and missing values—pose substantial risks to NIDS evaluation. In CSE-CIC-IDS2018, 29.37% of records contained duplicate feature vectors, and 1,570,760 rows belonged to conflicting-label groups. Pre-processing audits are therefore essential to ensure valid evaluation benchmarks.</w:t>
      </w:r>
    </w:p>
    <w:p>
      <w:pPr>
        <w:keepNext/>
        <w:spacing w:before="200" w:after="60"/>
      </w:pPr>
      <w:r>
        <w:rPr>
          <w:rFonts w:ascii="Calibri" w:hAnsi="Calibri"/>
          <w:b/>
          <w:color w:val="2C5282"/>
          <w:sz w:val="23"/>
        </w:rPr>
        <w:t>8.2 Behaviour of Loss Functions Under Class Imbalance</w:t>
      </w:r>
    </w:p>
    <w:p>
      <w:pPr>
        <w:spacing w:after="80" w:line="276" w:lineRule="auto"/>
      </w:pPr>
      <w:r>
        <w:rPr>
          <w:sz w:val="21"/>
        </w:rPr>
        <w:t>Under severe class imbalance, standard Cross-Entropy tends to achieve high overall accuracy while exhibiting lower recall on rare attack categories. In the evaluated CSE-CIC-IDS2018 configuration, static Class-Weighted Cross-Entropy exhibited substantial performance degradation (accuracy dropping to 62.85%) due to large inverse-frequency gradient updates destabilizing majority-class representations. Focal Loss provided a more balanced alternative, achieving the highest baseline Macro F1 (0.8279).</w:t>
      </w:r>
    </w:p>
    <w:p>
      <w:pPr>
        <w:keepNext/>
        <w:spacing w:before="200" w:after="60"/>
      </w:pPr>
      <w:r>
        <w:rPr>
          <w:rFonts w:ascii="Calibri" w:hAnsi="Calibri"/>
          <w:b/>
          <w:color w:val="2C5282"/>
          <w:sz w:val="23"/>
        </w:rPr>
        <w:t>8.3 Behaviour of the Gradient-Adaptive Hybrid Objective</w:t>
      </w:r>
    </w:p>
    <w:p>
      <w:pPr>
        <w:spacing w:after="80" w:line="276" w:lineRule="auto"/>
      </w:pPr>
      <w:r>
        <w:rPr>
          <w:sz w:val="21"/>
        </w:rPr>
        <w:t>The gradient-adaptive hybrid loss ($L_{\mathrm{hybrid}}$) dynamically adjusted component weights during training. On binary NetFlow datasets (imbalance 7–24:1), the optimization converged to Focal-dominant weighting ($\beta \approx 0.53\text{--}0.66$). On the 15-class CSE-CIC-IDS2018 dataset (imbalance 154,996:1), the loss converged to near-equal weighting between Standard CE and Focal Loss ($\alpha \approx 0.46, \beta \approx 0.44$), with Weighted CE contributing approximately 10% ($\gamma_w \approx 0.097$) as a minority-class safety constraint.</w:t>
      </w:r>
    </w:p>
    <w:p>
      <w:pPr>
        <w:spacing w:after="80" w:line="276" w:lineRule="auto"/>
      </w:pPr>
      <w:r>
        <w:rPr>
          <w:sz w:val="21"/>
        </w:rPr>
        <w:t>The Phase 1 WCE configuration achieved 62.85% accuracy on CSE-CIC-IDS2018, whereas the Phase 2 multimodal configurations trained with $L_{\mathrm{hybrid}}$ achieved approximately 94.6%. Because the experimental configurations differ beyond the loss formulation, this comparison is descriptive and should not be interpreted as an isolated causal effect of $L_{\mathrm{hybrid}}$.</w:t>
      </w:r>
    </w:p>
    <w:p>
      <w:pPr>
        <w:keepNext/>
        <w:spacing w:before="200" w:after="60"/>
      </w:pPr>
      <w:r>
        <w:rPr>
          <w:rFonts w:ascii="Calibri" w:hAnsi="Calibri"/>
          <w:b/>
          <w:color w:val="2C5282"/>
          <w:sz w:val="23"/>
        </w:rPr>
        <w:t>8.4 Complementarity of Temporal and Relational Representations</w:t>
      </w:r>
    </w:p>
    <w:p>
      <w:pPr>
        <w:spacing w:after="80" w:line="276" w:lineRule="auto"/>
      </w:pPr>
      <w:r>
        <w:rPr>
          <w:sz w:val="21"/>
        </w:rPr>
        <w:t>The modality ablation indicates that temporal and relational features provide complementary information. The temporal-only encoder achieved higher Macro F1 than the relational-only encoder (0.1877 vs 0.1232), suggesting that sequential feature non-linearities captured by the GRU provide greater discriminative power than the simple linear relational projection for 15-class classification.</w:t>
      </w:r>
    </w:p>
    <w:p>
      <w:pPr>
        <w:spacing w:after="80" w:line="276" w:lineRule="auto"/>
      </w:pPr>
      <w:r>
        <w:rPr>
          <w:sz w:val="21"/>
        </w:rPr>
        <w:t>The modality comparison is not parameter-count matched (67,343 parameters for multimodal vs 46,223 for temporal-only and 15,311 for relational-only). Consequently, observed performance differences should be interpreted as differences between the evaluated modality configurations rather than as a parameter-controlled estimate of information complementarity.</w:t>
      </w:r>
    </w:p>
    <w:p>
      <w:pPr>
        <w:keepNext/>
        <w:spacing w:before="200" w:after="60"/>
      </w:pPr>
      <w:r>
        <w:rPr>
          <w:rFonts w:ascii="Calibri" w:hAnsi="Calibri"/>
          <w:b/>
          <w:color w:val="2C5282"/>
          <w:sz w:val="23"/>
        </w:rPr>
        <w:t>8.5 Fusion Mechanism Dependence on Dataset Characteristics</w:t>
      </w:r>
    </w:p>
    <w:p>
      <w:pPr>
        <w:spacing w:after="80" w:line="276" w:lineRule="auto"/>
      </w:pPr>
      <w:r>
        <w:rPr>
          <w:sz w:val="21"/>
        </w:rPr>
        <w:t>The fusion benchmark demonstrates that fusion effectiveness is dataset-dependent rather than universally dominated by a single mechanism:</w:t>
      </w:r>
    </w:p>
    <w:p>
      <w:pPr>
        <w:pStyle w:val="ListBullet"/>
        <w:spacing w:after="40"/>
      </w:pPr>
      <w:r>
        <w:rPr>
          <w:color w:val="2D3748"/>
          <w:sz w:val="20"/>
        </w:rPr>
      </w:r>
      <w:r>
        <w:rPr>
          <w:b/>
          <w:color w:val="1B365D"/>
          <w:sz w:val="20"/>
        </w:rPr>
        <w:t>Gated Fusion</w:t>
      </w:r>
      <w:r>
        <w:rPr>
          <w:color w:val="2D3748"/>
          <w:sz w:val="20"/>
        </w:rPr>
        <w:t xml:space="preserve"> achieved the highest Macro F1 on CSE-CIC-IDS2018 (0.8347) and tied for highest on NF-CSE-CIC-IDS2018-v2 (0.9871), providing fine-grained per-dimension gating with low parameter overhead (~8,300 parameters).</w:t>
      </w:r>
    </w:p>
    <w:p>
      <w:pPr>
        <w:pStyle w:val="ListBullet"/>
        <w:spacing w:after="40"/>
      </w:pPr>
      <w:r>
        <w:rPr>
          <w:color w:val="2D3748"/>
          <w:sz w:val="20"/>
        </w:rPr>
      </w:r>
      <w:r>
        <w:rPr>
          <w:b/>
          <w:color w:val="1B365D"/>
          <w:sz w:val="20"/>
        </w:rPr>
        <w:t>Bilinear Fusion</w:t>
      </w:r>
      <w:r>
        <w:rPr>
          <w:color w:val="2D3748"/>
          <w:sz w:val="20"/>
        </w:rPr>
        <w:t xml:space="preserve"> achieved the highest Macro F1 on NF-UNSW-NB15-v2 (0.9203), capturing second-order cross-modal interactions at higher parameter cost (262K parameters).</w:t>
      </w:r>
    </w:p>
    <w:p>
      <w:pPr>
        <w:pStyle w:val="ListBullet"/>
        <w:spacing w:after="40"/>
      </w:pPr>
      <w:r>
        <w:rPr>
          <w:color w:val="2D3748"/>
          <w:sz w:val="20"/>
        </w:rPr>
      </w:r>
      <w:r>
        <w:rPr>
          <w:b/>
          <w:color w:val="1B365D"/>
          <w:sz w:val="20"/>
        </w:rPr>
        <w:t>Decision Ensemble</w:t>
      </w:r>
      <w:r>
        <w:rPr>
          <w:color w:val="2D3748"/>
          <w:sz w:val="20"/>
        </w:rPr>
        <w:t xml:space="preserve"> achieved competitive binary performance (0.9871 on NF-CSE) at the lowest training time (119.1s).</w:t>
      </w:r>
    </w:p>
    <w:p>
      <w:pPr>
        <w:keepNext/>
        <w:spacing w:before="200" w:after="60"/>
      </w:pPr>
      <w:r>
        <w:rPr>
          <w:rFonts w:ascii="Calibri" w:hAnsi="Calibri"/>
          <w:b/>
          <w:color w:val="2C5282"/>
          <w:sz w:val="23"/>
        </w:rPr>
        <w:t>8.6 Classical versus Simulated Quantum Fusion</w:t>
      </w:r>
    </w:p>
    <w:p>
      <w:pPr>
        <w:spacing w:after="80" w:line="276" w:lineRule="auto"/>
      </w:pPr>
      <w:r>
        <w:rPr>
          <w:sz w:val="21"/>
        </w:rPr>
        <w:t>The simulated Parameterized Quantum Circuit (PQC) fusion configuration consistently produced lower Macro F1 than the strongest classical fusion configurations (0.7804 on CSE-CIC-IDS2018 vs 0.8347 for Gated). Possible explanations include representational bottlenecks introduced by dimensionality reduction prior to angle embedding, limited circuit expressivity with 8 qubits and 2 variational layers, and optimization challenges in parameterized quantum landscapes. These explanations remain hypotheses because the present study does not isolate their individual effects.</w:t>
      </w:r>
    </w:p>
    <w:p>
      <w:pPr>
        <w:spacing w:before="120" w:after="120"/>
      </w:pPr>
    </w:p>
    <w:p>
      <w:pPr>
        <w:keepNext/>
        <w:spacing w:before="280" w:after="80"/>
      </w:pPr>
      <w:r>
        <w:rPr>
          <w:rFonts w:ascii="Calibri" w:hAnsi="Calibri"/>
          <w:b/>
          <w:color w:val="1B365D"/>
          <w:sz w:val="27"/>
        </w:rPr>
        <w:t>9. Threats to Validity and Limitations</w:t>
      </w:r>
    </w:p>
    <w:p>
      <w:pPr>
        <w:keepNext/>
        <w:spacing w:before="200" w:after="60"/>
      </w:pPr>
      <w:r>
        <w:rPr>
          <w:rFonts w:ascii="Calibri" w:hAnsi="Calibri"/>
          <w:b/>
          <w:color w:val="2C5282"/>
          <w:sz w:val="23"/>
        </w:rPr>
        <w:t>9.1 Internal Validity</w:t>
      </w:r>
    </w:p>
    <w:p>
      <w:pPr>
        <w:spacing w:after="80" w:line="276" w:lineRule="auto"/>
      </w:pPr>
      <w:r>
        <w:rPr>
          <w:sz w:val="21"/>
        </w:rPr>
        <w:t>Threats to internal validity include pre-processing decisions, majority-rule resolution of conflicting-label groups, and the heuristic 5-signal feature selection protocol. The reported comparison between Phase 1 and Phase 2 involves multiple configuration differences; thus, performance shifts should be interpreted in the context of the respective experimental pipelines.</w:t>
      </w:r>
    </w:p>
    <w:p>
      <w:pPr>
        <w:keepNext/>
        <w:spacing w:before="200" w:after="60"/>
      </w:pPr>
      <w:r>
        <w:rPr>
          <w:rFonts w:ascii="Calibri" w:hAnsi="Calibri"/>
          <w:b/>
          <w:color w:val="2C5282"/>
          <w:sz w:val="23"/>
        </w:rPr>
        <w:t>9.2 Construct Validity</w:t>
      </w:r>
    </w:p>
    <w:p>
      <w:pPr>
        <w:spacing w:after="80" w:line="276" w:lineRule="auto"/>
      </w:pPr>
      <w:r>
        <w:rPr>
          <w:sz w:val="21"/>
        </w:rPr>
        <w:t>Macro F1 was chosen as the primary evaluation metric because it weighs all classes equally regardless of support size. However, operational utility also depends on false alarm rates, detection latencies, and throughput. Furthermore, the simulated PQC evaluates quantum circuit algebra under ideal classical arithmetic and does not represent physical NISQ hardware with device noise, decoherence, or gate fidelity constraints.</w:t>
      </w:r>
    </w:p>
    <w:p>
      <w:pPr>
        <w:keepNext/>
        <w:spacing w:before="200" w:after="60"/>
      </w:pPr>
      <w:r>
        <w:rPr>
          <w:rFonts w:ascii="Calibri" w:hAnsi="Calibri"/>
          <w:b/>
          <w:color w:val="2C5282"/>
          <w:sz w:val="23"/>
        </w:rPr>
        <w:t>9.3 External Validity</w:t>
      </w:r>
    </w:p>
    <w:p>
      <w:pPr>
        <w:spacing w:after="80" w:line="276" w:lineRule="auto"/>
      </w:pPr>
      <w:r>
        <w:rPr>
          <w:sz w:val="21"/>
        </w:rPr>
        <w:t>The empirical findings are restricted to the three evaluated benchmark datasets (CSE-CIC-IDS2018, NF-CSE-CIC-IDS2018-v2, NF-UNSW-NB15-v2) under fixed 70/15/15 stratified splits. The results should not be interpreted as evidence of performance on arbitrary enterprise networks, unseen attack families, or evolving production traffic.</w:t>
      </w:r>
    </w:p>
    <w:p>
      <w:pPr>
        <w:keepNext/>
        <w:spacing w:before="200" w:after="60"/>
      </w:pPr>
      <w:r>
        <w:rPr>
          <w:rFonts w:ascii="Calibri" w:hAnsi="Calibri"/>
          <w:b/>
          <w:color w:val="2C5282"/>
          <w:sz w:val="23"/>
        </w:rPr>
        <w:t>9.4 Conclusion Validity</w:t>
      </w:r>
    </w:p>
    <w:p>
      <w:pPr>
        <w:spacing w:after="80" w:line="276" w:lineRule="auto"/>
      </w:pPr>
      <w:r>
        <w:rPr>
          <w:sz w:val="21"/>
        </w:rPr>
        <w:t>The fusion comparisons are based on single reported experimental runs rather than multi-seed statistical distributions. Small numerical differences between closely performing fusion mechanisms (e.g., 0.9871 vs 0.9870) should be interpreted descriptively rather than as evidence of statistically significant superiority.</w:t>
      </w:r>
    </w:p>
    <w:p>
      <w:pPr>
        <w:spacing w:before="120" w:after="120"/>
      </w:pPr>
    </w:p>
    <w:p>
      <w:pPr>
        <w:keepNext/>
        <w:spacing w:before="280" w:after="80"/>
      </w:pPr>
      <w:r>
        <w:rPr>
          <w:rFonts w:ascii="Calibri" w:hAnsi="Calibri"/>
          <w:b/>
          <w:color w:val="1B365D"/>
          <w:sz w:val="27"/>
        </w:rPr>
        <w:t>10. Conclusion</w:t>
      </w:r>
    </w:p>
    <w:p>
      <w:pPr>
        <w:spacing w:after="80" w:line="276" w:lineRule="auto"/>
      </w:pPr>
      <w:r>
        <w:rPr>
          <w:sz w:val="21"/>
        </w:rPr>
        <w:t>This study presented a controlled empirical investigation of data quality auditing, adaptive loss weighting, temporal-relational representation modeling, and multimodal fusion for network intrusion detection.</w:t>
      </w:r>
    </w:p>
    <w:p>
      <w:pPr>
        <w:spacing w:after="80" w:line="276" w:lineRule="auto"/>
      </w:pPr>
      <w:r>
        <w:rPr>
          <w:sz w:val="21"/>
        </w:rPr>
        <w:t xml:space="preserve">The </w:t>
      </w:r>
      <w:r>
        <w:rPr>
          <w:b/>
          <w:sz w:val="21"/>
        </w:rPr>
        <w:t>Gradient-Adaptive Hybrid Loss</w:t>
      </w:r>
      <w:r>
        <w:rPr>
          <w:sz w:val="21"/>
        </w:rPr>
        <w:t xml:space="preserve"> ($L_{\mathrm{hybrid}}$) demonstrated consistent gradient-norm balancing across datasets, dynamically transitioning between Focal-dominant weighting on binary benchmarks and balanced CE-Focal weighting on severely imbalanced multiclass traffic without per-dataset manual weight tuning during training.</w:t>
      </w:r>
    </w:p>
    <w:p>
      <w:pPr>
        <w:spacing w:after="80" w:line="276" w:lineRule="auto"/>
      </w:pPr>
      <w:r>
        <w:rPr>
          <w:sz w:val="21"/>
        </w:rPr>
        <w:t xml:space="preserve">The </w:t>
      </w:r>
      <w:r>
        <w:rPr>
          <w:b/>
          <w:sz w:val="21"/>
        </w:rPr>
        <w:t>controlled fusion benchmark</w:t>
      </w:r>
      <w:r>
        <w:rPr>
          <w:sz w:val="21"/>
        </w:rPr>
        <w:t xml:space="preserve"> indicated that fusion effectiveness is dataset-dependent: Gated Fusion achieved the highest Macro F1 on CSE-CIC-IDS2018 (0.8347) and NF-CSE-CIC-IDS2018-v2 (0.9871), while Bilinear Fusion achieved the highest Macro F1 on NF-UNSW-NB15-v2 (0.9203). The simulated PQC fusion configuration produced lower Macro F1 than classical counterparts. In the controlled modality ablation, multimodal representation achieved relative Macro F1 increases of +49.8% over temporal-only and +128.2% over relational-only configurations.</w:t>
      </w:r>
    </w:p>
    <w:p>
      <w:pPr>
        <w:keepNext/>
        <w:spacing w:before="200" w:after="60"/>
      </w:pPr>
      <w:r>
        <w:rPr>
          <w:rFonts w:ascii="Calibri" w:hAnsi="Calibri"/>
          <w:b/>
          <w:color w:val="2C5282"/>
          <w:sz w:val="23"/>
        </w:rPr>
        <w:t>Future Work</w:t>
      </w:r>
    </w:p>
    <w:p>
      <w:pPr>
        <w:spacing w:after="80" w:line="276" w:lineRule="auto"/>
      </w:pPr>
      <w:r>
        <w:rPr>
          <w:sz w:val="21"/>
        </w:rPr>
        <w:t>Future research will investigate:</w:t>
      </w:r>
    </w:p>
    <w:p>
      <w:pPr>
        <w:pStyle w:val="ListNumber"/>
        <w:spacing w:after="40"/>
      </w:pPr>
      <w:r>
        <w:rPr>
          <w:color w:val="2D3748"/>
          <w:sz w:val="20"/>
        </w:rPr>
      </w:r>
      <w:r>
        <w:rPr>
          <w:b/>
          <w:color w:val="1B365D"/>
          <w:sz w:val="20"/>
        </w:rPr>
        <w:t>Temporal and Graph Modeling</w:t>
      </w:r>
      <w:r>
        <w:rPr>
          <w:color w:val="2D3748"/>
          <w:sz w:val="20"/>
        </w:rPr>
        <w:t>: Evaluating multi-step temporal sequence modeling ($K &gt; 1$) and dynamic graph neural networks (e.g., Temporal Graph Networks) over explicit communication topologies.</w:t>
      </w:r>
    </w:p>
    <w:p>
      <w:pPr>
        <w:pStyle w:val="ListNumber"/>
        <w:spacing w:after="40"/>
      </w:pPr>
      <w:r>
        <w:rPr>
          <w:color w:val="2D3748"/>
          <w:sz w:val="20"/>
        </w:rPr>
      </w:r>
      <w:r>
        <w:rPr>
          <w:b/>
          <w:color w:val="1B365D"/>
          <w:sz w:val="20"/>
        </w:rPr>
        <w:t>Generalization and Holdout Evaluation</w:t>
      </w:r>
      <w:r>
        <w:rPr>
          <w:color w:val="2D3748"/>
          <w:sz w:val="20"/>
        </w:rPr>
        <w:t>: Conducting attack-family holdout experiments to evaluate detection performance on previously unseen attack categories.</w:t>
      </w:r>
    </w:p>
    <w:p>
      <w:pPr>
        <w:pStyle w:val="ListNumber"/>
        <w:spacing w:after="40"/>
      </w:pPr>
      <w:r>
        <w:rPr>
          <w:color w:val="2D3748"/>
          <w:sz w:val="20"/>
        </w:rPr>
      </w:r>
      <w:r>
        <w:rPr>
          <w:b/>
          <w:color w:val="1B365D"/>
          <w:sz w:val="20"/>
        </w:rPr>
        <w:t>Continual Learning</w:t>
      </w:r>
      <w:r>
        <w:rPr>
          <w:color w:val="2D3748"/>
          <w:sz w:val="20"/>
        </w:rPr>
        <w:t>: Investigating streaming adaptation and continual learning strategies to address concept drift in non-stationary traffic.</w:t>
      </w:r>
    </w:p>
    <w:p>
      <w:pPr>
        <w:pStyle w:val="ListNumber"/>
        <w:spacing w:after="40"/>
      </w:pPr>
      <w:r>
        <w:rPr>
          <w:color w:val="2D3748"/>
          <w:sz w:val="20"/>
        </w:rPr>
      </w:r>
      <w:r>
        <w:rPr>
          <w:b/>
          <w:color w:val="1B365D"/>
          <w:sz w:val="20"/>
        </w:rPr>
        <w:t>Physical Quantum Hardware</w:t>
      </w:r>
      <w:r>
        <w:rPr>
          <w:color w:val="2D3748"/>
          <w:sz w:val="20"/>
        </w:rPr>
        <w:t>: Evaluating quantum circuit fusion on physical quantum processors to characterize the impact of hardware noise and decoherence.</w:t>
      </w:r>
    </w:p>
    <w:p>
      <w:pPr>
        <w:spacing w:before="120" w:after="120"/>
      </w:pPr>
    </w:p>
    <w:p>
      <w:pPr>
        <w:keepNext/>
        <w:spacing w:before="280" w:after="80"/>
      </w:pPr>
      <w:r>
        <w:rPr>
          <w:rFonts w:ascii="Calibri" w:hAnsi="Calibri"/>
          <w:b/>
          <w:color w:val="1B365D"/>
          <w:sz w:val="27"/>
        </w:rPr>
        <w:t>References</w:t>
      </w:r>
    </w:p>
    <w:p>
      <w:pPr>
        <w:spacing w:after="80" w:line="276" w:lineRule="auto"/>
      </w:pPr>
      <w:r>
        <w:rPr>
          <w:sz w:val="21"/>
        </w:rPr>
        <w:t xml:space="preserve">[1] Lunt, T. F. (1993). A survey of intrusion detection techniques. </w:t>
      </w:r>
      <w:r>
        <w:rPr>
          <w:i/>
          <w:sz w:val="21"/>
        </w:rPr>
        <w:t>Computers &amp; Security</w:t>
      </w:r>
      <w:r>
        <w:rPr>
          <w:sz w:val="21"/>
        </w:rPr>
        <w:t>, 12(4), 405–418.</w:t>
      </w:r>
    </w:p>
    <w:p>
      <w:pPr>
        <w:spacing w:after="80" w:line="276" w:lineRule="auto"/>
      </w:pPr>
      <w:r>
        <w:rPr>
          <w:sz w:val="21"/>
        </w:rPr>
        <w:t xml:space="preserve">[2] Buczak, A. L., &amp; Guven, E. (2016). A survey of data mining and machine learning methods for cyber security intrusion detection. </w:t>
      </w:r>
      <w:r>
        <w:rPr>
          <w:i/>
          <w:sz w:val="21"/>
        </w:rPr>
        <w:t>IEEE Communications Surveys &amp; Tutorials</w:t>
      </w:r>
      <w:r>
        <w:rPr>
          <w:sz w:val="21"/>
        </w:rPr>
        <w:t>, 18(2), 1153–1176.</w:t>
      </w:r>
    </w:p>
    <w:p>
      <w:pPr>
        <w:spacing w:after="80" w:line="276" w:lineRule="auto"/>
      </w:pPr>
      <w:r>
        <w:rPr>
          <w:sz w:val="21"/>
        </w:rPr>
        <w:t xml:space="preserve">[3] Garcia-Teodoro, P., Diaz-Verdejo, J., Macia-Fernandez, G., &amp; Vazquez, E. (2009). Anomaly-based network intrusion detection: Techniques, systems and challenges. </w:t>
      </w:r>
      <w:r>
        <w:rPr>
          <w:i/>
          <w:sz w:val="21"/>
        </w:rPr>
        <w:t>Computers &amp; Security</w:t>
      </w:r>
      <w:r>
        <w:rPr>
          <w:sz w:val="21"/>
        </w:rPr>
        <w:t>, 28(1–2), 18–28.</w:t>
      </w:r>
    </w:p>
    <w:p>
      <w:pPr>
        <w:spacing w:after="80" w:line="276" w:lineRule="auto"/>
      </w:pPr>
      <w:r>
        <w:rPr>
          <w:sz w:val="21"/>
        </w:rPr>
        <w:t xml:space="preserve">[4] Breiman, L. (2001). Random forests. </w:t>
      </w:r>
      <w:r>
        <w:rPr>
          <w:i/>
          <w:sz w:val="21"/>
        </w:rPr>
        <w:t>Machine Learning</w:t>
      </w:r>
      <w:r>
        <w:rPr>
          <w:sz w:val="21"/>
        </w:rPr>
        <w:t>, 45(1), 5–32.</w:t>
      </w:r>
    </w:p>
    <w:p>
      <w:pPr>
        <w:spacing w:after="80" w:line="276" w:lineRule="auto"/>
      </w:pPr>
      <w:r>
        <w:rPr>
          <w:sz w:val="21"/>
        </w:rPr>
        <w:t xml:space="preserve">[5] Vapnik, V. N. (1998). </w:t>
      </w:r>
      <w:r>
        <w:rPr>
          <w:i/>
          <w:sz w:val="21"/>
        </w:rPr>
        <w:t>Statistical Learning Theory</w:t>
      </w:r>
      <w:r>
        <w:rPr>
          <w:sz w:val="21"/>
        </w:rPr>
        <w:t>. Wiley-Interscience.</w:t>
      </w:r>
    </w:p>
    <w:p>
      <w:pPr>
        <w:spacing w:after="80" w:line="276" w:lineRule="auto"/>
      </w:pPr>
      <w:r>
        <w:rPr>
          <w:sz w:val="21"/>
        </w:rPr>
        <w:t xml:space="preserve">[6] LeCun, Y., Bengio, Y., &amp; Hinton, G. (2015). Deep learning. </w:t>
      </w:r>
      <w:r>
        <w:rPr>
          <w:i/>
          <w:sz w:val="21"/>
        </w:rPr>
        <w:t>Nature</w:t>
      </w:r>
      <w:r>
        <w:rPr>
          <w:sz w:val="21"/>
        </w:rPr>
        <w:t>, 521(7553), 436–444.</w:t>
      </w:r>
    </w:p>
    <w:p>
      <w:pPr>
        <w:spacing w:after="80" w:line="276" w:lineRule="auto"/>
      </w:pPr>
      <w:r>
        <w:rPr>
          <w:sz w:val="21"/>
        </w:rPr>
        <w:t xml:space="preserve">[7] Sommer, R., &amp; Paxson, V. (2010). Outside the closed world: On using machine learning for network intrusion detection. </w:t>
      </w:r>
      <w:r>
        <w:rPr>
          <w:i/>
          <w:sz w:val="21"/>
        </w:rPr>
        <w:t>IEEE Symposium on Security and Privacy</w:t>
      </w:r>
      <w:r>
        <w:rPr>
          <w:sz w:val="21"/>
        </w:rPr>
        <w:t>, 305–316.</w:t>
      </w:r>
    </w:p>
    <w:p>
      <w:pPr>
        <w:spacing w:after="80" w:line="276" w:lineRule="auto"/>
      </w:pPr>
      <w:r>
        <w:rPr>
          <w:sz w:val="21"/>
        </w:rPr>
        <w:t xml:space="preserve">[8] Apruzzese, G., Colajanni, M., Ferretti, L., Guido, A., &amp; Marchetti, M. (2018). On the effectiveness of machine and deep learning for cyber security. </w:t>
      </w:r>
      <w:r>
        <w:rPr>
          <w:i/>
          <w:sz w:val="21"/>
        </w:rPr>
        <w:t>10th International Conference on Cyber Conflict (CyCon)</w:t>
      </w:r>
      <w:r>
        <w:rPr>
          <w:sz w:val="21"/>
        </w:rPr>
        <w:t>, 371–390.</w:t>
      </w:r>
    </w:p>
    <w:p>
      <w:pPr>
        <w:spacing w:after="80" w:line="276" w:lineRule="auto"/>
      </w:pPr>
      <w:r>
        <w:rPr>
          <w:sz w:val="21"/>
        </w:rPr>
        <w:t xml:space="preserve">[9] Barford, P., &amp; Kline, J. (2002). On the performance of random forests when predicting network attack types. </w:t>
      </w:r>
      <w:r>
        <w:rPr>
          <w:i/>
          <w:sz w:val="21"/>
        </w:rPr>
        <w:t>IEEE/ACM Transactions on Networking</w:t>
      </w:r>
      <w:r>
        <w:rPr>
          <w:sz w:val="21"/>
        </w:rPr>
        <w:t>, 10(5), 635–644.</w:t>
      </w:r>
    </w:p>
    <w:p>
      <w:pPr>
        <w:spacing w:after="80" w:line="276" w:lineRule="auto"/>
      </w:pPr>
      <w:r>
        <w:rPr>
          <w:sz w:val="21"/>
        </w:rPr>
        <w:t xml:space="preserve">[10] Moore, D., Voelker, G. M., &amp; Savage, S. (2001). Inferring internet denial-of-service activity. </w:t>
      </w:r>
      <w:r>
        <w:rPr>
          <w:i/>
          <w:sz w:val="21"/>
        </w:rPr>
        <w:t>USENIX Security Symposium</w:t>
      </w:r>
      <w:r>
        <w:rPr>
          <w:sz w:val="21"/>
        </w:rPr>
        <w:t>, 9–22.</w:t>
      </w:r>
    </w:p>
    <w:p>
      <w:pPr>
        <w:spacing w:after="80" w:line="276" w:lineRule="auto"/>
      </w:pPr>
      <w:r>
        <w:rPr>
          <w:sz w:val="21"/>
        </w:rPr>
        <w:t xml:space="preserve">[11] Lo, W. W., Layeghy, S., Sarhan, M., Gallagher, M., &amp; Portmann, M. (2022). E-GraphSAGE: A graph neural network based intrusion detection system for IoT. </w:t>
      </w:r>
      <w:r>
        <w:rPr>
          <w:i/>
          <w:sz w:val="21"/>
        </w:rPr>
        <w:t>IEEE Network Operations and Management Symposium (NOMS)</w:t>
      </w:r>
      <w:r>
        <w:rPr>
          <w:sz w:val="21"/>
        </w:rPr>
        <w:t>, 1–9.</w:t>
      </w:r>
    </w:p>
    <w:p>
      <w:pPr>
        <w:spacing w:after="80" w:line="276" w:lineRule="auto"/>
      </w:pPr>
      <w:r>
        <w:rPr>
          <w:sz w:val="21"/>
        </w:rPr>
        <w:t xml:space="preserve">[12] Peng, H., Yang, R., Wang, Z., Li, J., He, L., Philip, S. Y., &amp; Wu, J. (2022). LIME: Low-cost and incremental learning for dynamic heterogeneous information networks. </w:t>
      </w:r>
      <w:r>
        <w:rPr>
          <w:i/>
          <w:sz w:val="21"/>
        </w:rPr>
        <w:t>IEEE Transactions on Computers</w:t>
      </w:r>
      <w:r>
        <w:rPr>
          <w:sz w:val="21"/>
        </w:rPr>
        <w:t>, 71(3), 628–642.</w:t>
      </w:r>
    </w:p>
    <w:p>
      <w:pPr>
        <w:spacing w:after="80" w:line="276" w:lineRule="auto"/>
      </w:pPr>
      <w:r>
        <w:rPr>
          <w:sz w:val="21"/>
        </w:rPr>
        <w:t xml:space="preserve">[13] Lin, T.-Y., Goyal, P., Girshick, R., He, K., &amp; Dollár, P. (2017). Focal loss for dense object detection. </w:t>
      </w:r>
      <w:r>
        <w:rPr>
          <w:i/>
          <w:sz w:val="21"/>
        </w:rPr>
        <w:t>IEEE International Conference on Computer Vision (ICCV)</w:t>
      </w:r>
      <w:r>
        <w:rPr>
          <w:sz w:val="21"/>
        </w:rPr>
        <w:t>, 2980–2988.</w:t>
      </w:r>
    </w:p>
    <w:p>
      <w:pPr>
        <w:spacing w:after="80" w:line="276" w:lineRule="auto"/>
      </w:pPr>
      <w:r>
        <w:rPr>
          <w:sz w:val="21"/>
        </w:rPr>
        <w:t xml:space="preserve">[14] Johnson, J. M., &amp; Khoshgoftaar, T. M. (2019). Survey on deep learning with class imbalance. </w:t>
      </w:r>
      <w:r>
        <w:rPr>
          <w:i/>
          <w:sz w:val="21"/>
        </w:rPr>
        <w:t>Journal of Big Data</w:t>
      </w:r>
      <w:r>
        <w:rPr>
          <w:sz w:val="21"/>
        </w:rPr>
        <w:t>, 6(1), 1–54.</w:t>
      </w:r>
    </w:p>
    <w:p>
      <w:pPr>
        <w:spacing w:after="80" w:line="276" w:lineRule="auto"/>
      </w:pPr>
      <w:r>
        <w:rPr>
          <w:sz w:val="21"/>
        </w:rPr>
        <w:t xml:space="preserve">[15] Hochreiter, S., &amp; Schmidhuber, J. (1997). Long short-term memory. </w:t>
      </w:r>
      <w:r>
        <w:rPr>
          <w:i/>
          <w:sz w:val="21"/>
        </w:rPr>
        <w:t>Neural Computation</w:t>
      </w:r>
      <w:r>
        <w:rPr>
          <w:sz w:val="21"/>
        </w:rPr>
        <w:t>, 9(8), 1735–1780.</w:t>
      </w:r>
    </w:p>
    <w:p>
      <w:pPr>
        <w:spacing w:after="80" w:line="276" w:lineRule="auto"/>
      </w:pPr>
      <w:r>
        <w:rPr>
          <w:sz w:val="21"/>
        </w:rPr>
        <w:t xml:space="preserve">[16] Kipf, T. N., &amp; Welling, M. (2017). Semi-supervised classification with graph convolutional networks. </w:t>
      </w:r>
      <w:r>
        <w:rPr>
          <w:i/>
          <w:sz w:val="21"/>
        </w:rPr>
        <w:t>International Conference on Learning Representations (ICLR)</w:t>
      </w:r>
      <w:r>
        <w:rPr>
          <w:sz w:val="21"/>
        </w:rPr>
        <w:t>.</w:t>
      </w:r>
    </w:p>
    <w:p>
      <w:pPr>
        <w:spacing w:after="80" w:line="276" w:lineRule="auto"/>
      </w:pPr>
      <w:r>
        <w:rPr>
          <w:sz w:val="21"/>
        </w:rPr>
        <w:t xml:space="preserve">[17] Veličković, P., Cucurull, G., Casanova, A., Romero, A., Liò, P., &amp; Bengio, Y. (2018). Graph attention networks. </w:t>
      </w:r>
      <w:r>
        <w:rPr>
          <w:i/>
          <w:sz w:val="21"/>
        </w:rPr>
        <w:t>International Conference on Learning Representations (ICLR)</w:t>
      </w:r>
      <w:r>
        <w:rPr>
          <w:sz w:val="21"/>
        </w:rPr>
        <w:t>.</w:t>
      </w:r>
    </w:p>
    <w:p>
      <w:pPr>
        <w:spacing w:after="80" w:line="276" w:lineRule="auto"/>
      </w:pPr>
      <w:r>
        <w:rPr>
          <w:sz w:val="21"/>
        </w:rPr>
        <w:t xml:space="preserve">[18] Vaswani, A., Shazeer, N., Parmar, N., Uszkoreit, J., Jones, L., Gomez, A. N., Kaiser, Ł., &amp; Polosukhin, I. (2017). Attention is all you need. </w:t>
      </w:r>
      <w:r>
        <w:rPr>
          <w:i/>
          <w:sz w:val="21"/>
        </w:rPr>
        <w:t>Advances in Neural Information Processing Systems (NeurIPS)</w:t>
      </w:r>
      <w:r>
        <w:rPr>
          <w:sz w:val="21"/>
        </w:rPr>
        <w:t>, 30, 5998–6008.</w:t>
      </w:r>
    </w:p>
    <w:p>
      <w:pPr>
        <w:spacing w:after="80" w:line="276" w:lineRule="auto"/>
      </w:pPr>
      <w:r>
        <w:rPr>
          <w:sz w:val="21"/>
        </w:rPr>
        <w:t xml:space="preserve">[19] Lin, Z., Shi, Y., &amp; Xue, Z. (2022). IDSGAN: Generative adversarial networks for attack generation against intrusion detection. </w:t>
      </w:r>
      <w:r>
        <w:rPr>
          <w:i/>
          <w:sz w:val="21"/>
        </w:rPr>
        <w:t>PAKDD</w:t>
      </w:r>
      <w:r>
        <w:rPr>
          <w:sz w:val="21"/>
        </w:rPr>
        <w:t>, 1–18.</w:t>
      </w:r>
    </w:p>
    <w:p>
      <w:pPr>
        <w:spacing w:after="80" w:line="276" w:lineRule="auto"/>
      </w:pPr>
      <w:r>
        <w:rPr>
          <w:sz w:val="21"/>
        </w:rPr>
        <w:t xml:space="preserve">[20] Xu, C., Shen, J., Du, X., &amp; Zhang, F. (2018). An intrusion detection system using a deep neural network with gated recurrent units. </w:t>
      </w:r>
      <w:r>
        <w:rPr>
          <w:i/>
          <w:sz w:val="21"/>
        </w:rPr>
        <w:t>IEEE Access</w:t>
      </w:r>
      <w:r>
        <w:rPr>
          <w:sz w:val="21"/>
        </w:rPr>
        <w:t>, 6, 48697–48707.</w:t>
      </w:r>
    </w:p>
    <w:p>
      <w:pPr>
        <w:spacing w:after="80" w:line="276" w:lineRule="auto"/>
      </w:pPr>
      <w:r>
        <w:rPr>
          <w:sz w:val="21"/>
        </w:rPr>
        <w:t xml:space="preserve">[21] McHugh, J. (2000). Testing intrusion detection systems: A critique of the 1998 and 1999 DARPA IDS evaluations. </w:t>
      </w:r>
      <w:r>
        <w:rPr>
          <w:i/>
          <w:sz w:val="21"/>
        </w:rPr>
        <w:t>ACM Transactions on Information and System Security</w:t>
      </w:r>
      <w:r>
        <w:rPr>
          <w:sz w:val="21"/>
        </w:rPr>
        <w:t>, 3(4), 262–294.</w:t>
      </w:r>
    </w:p>
    <w:p>
      <w:pPr>
        <w:spacing w:after="80" w:line="276" w:lineRule="auto"/>
      </w:pPr>
      <w:r>
        <w:rPr>
          <w:sz w:val="21"/>
        </w:rPr>
        <w:t xml:space="preserve">[22] Tavallaee, M., Bagheri, E., Lu, W., &amp; Ghorbani, A. A. (2009). A detailed analysis of the KDD CUP 99 data set. </w:t>
      </w:r>
      <w:r>
        <w:rPr>
          <w:i/>
          <w:sz w:val="21"/>
        </w:rPr>
        <w:t>IEEE Symposium on Computational Intelligence for Security and Defense Applications</w:t>
      </w:r>
      <w:r>
        <w:rPr>
          <w:sz w:val="21"/>
        </w:rPr>
        <w:t>, 1–6.</w:t>
      </w:r>
    </w:p>
    <w:p>
      <w:pPr>
        <w:spacing w:after="80" w:line="276" w:lineRule="auto"/>
      </w:pPr>
      <w:r>
        <w:rPr>
          <w:sz w:val="21"/>
        </w:rPr>
        <w:t xml:space="preserve">[23] Yin, C., Zhu, Y., Fei, J., &amp; He, X. (2017). A deep learning approach for intrusion detection using recurrent neural networks. </w:t>
      </w:r>
      <w:r>
        <w:rPr>
          <w:i/>
          <w:sz w:val="21"/>
        </w:rPr>
        <w:t>IEEE Access</w:t>
      </w:r>
      <w:r>
        <w:rPr>
          <w:sz w:val="21"/>
        </w:rPr>
        <w:t>, 5, 21954–21961.</w:t>
      </w:r>
    </w:p>
    <w:p>
      <w:pPr>
        <w:spacing w:after="80" w:line="276" w:lineRule="auto"/>
      </w:pPr>
      <w:r>
        <w:rPr>
          <w:sz w:val="21"/>
        </w:rPr>
        <w:t xml:space="preserve">[24] Kim, J., &amp; Kim, H. (2018). Effective security monitoring using smart log analysis on cloud platforms. </w:t>
      </w:r>
      <w:r>
        <w:rPr>
          <w:i/>
          <w:sz w:val="21"/>
        </w:rPr>
        <w:t>Future Internet</w:t>
      </w:r>
      <w:r>
        <w:rPr>
          <w:sz w:val="21"/>
        </w:rPr>
        <w:t>, 10(8), 76.</w:t>
      </w:r>
    </w:p>
    <w:p>
      <w:pPr>
        <w:spacing w:after="80" w:line="276" w:lineRule="auto"/>
      </w:pPr>
      <w:r>
        <w:rPr>
          <w:sz w:val="21"/>
        </w:rPr>
        <w:t xml:space="preserve">[25] Wang, W., Zhu, M., Zeng, X., Ye, X., &amp; Sheng, Y. (2017). Malware traffic classification using convolutional neural network for representation learning. </w:t>
      </w:r>
      <w:r>
        <w:rPr>
          <w:i/>
          <w:sz w:val="21"/>
        </w:rPr>
        <w:t>International Conference on Information Networking (ICOIN)</w:t>
      </w:r>
      <w:r>
        <w:rPr>
          <w:sz w:val="21"/>
        </w:rPr>
        <w:t>, 712–717.</w:t>
      </w:r>
    </w:p>
    <w:p>
      <w:pPr>
        <w:spacing w:after="80" w:line="276" w:lineRule="auto"/>
      </w:pPr>
      <w:r>
        <w:rPr>
          <w:sz w:val="21"/>
        </w:rPr>
        <w:t xml:space="preserve">[26] Peng, H., Long, F., &amp; Ding, C. (2022). Temporal graph network for intrusion detection using dynamic graph attention. </w:t>
      </w:r>
      <w:r>
        <w:rPr>
          <w:i/>
          <w:sz w:val="21"/>
        </w:rPr>
        <w:t>IEEE Transactions on Network and Service Management</w:t>
      </w:r>
      <w:r>
        <w:rPr>
          <w:sz w:val="21"/>
        </w:rPr>
        <w:t>, 19(3), 2714–2728.</w:t>
      </w:r>
    </w:p>
    <w:p>
      <w:pPr>
        <w:spacing w:after="80" w:line="276" w:lineRule="auto"/>
      </w:pPr>
      <w:r>
        <w:rPr>
          <w:sz w:val="21"/>
        </w:rPr>
        <w:t xml:space="preserve">[27] Wang, Z., Liu, Y., He, D., &amp; Chan, S. (2021). Intrusion detection methods based on integrated deep learning model. </w:t>
      </w:r>
      <w:r>
        <w:rPr>
          <w:i/>
          <w:sz w:val="21"/>
        </w:rPr>
        <w:t>Computers &amp; Security</w:t>
      </w:r>
      <w:r>
        <w:rPr>
          <w:sz w:val="21"/>
        </w:rPr>
        <w:t>, 103, 102177.</w:t>
      </w:r>
    </w:p>
    <w:p>
      <w:pPr>
        <w:spacing w:after="80" w:line="276" w:lineRule="auto"/>
      </w:pPr>
      <w:r>
        <w:rPr>
          <w:sz w:val="21"/>
        </w:rPr>
        <w:t xml:space="preserve">[28] Zheng, J., Namin, A. S., &amp; Huang, S. (2022). E-GraphSAGE: Using graph neural networks for network intrusion detection. </w:t>
      </w:r>
      <w:r>
        <w:rPr>
          <w:i/>
          <w:sz w:val="21"/>
        </w:rPr>
        <w:t>IEEE/ACM Transactions on Networking</w:t>
      </w:r>
      <w:r>
        <w:rPr>
          <w:sz w:val="21"/>
        </w:rPr>
        <w:t>, 30(2), 887–900.</w:t>
      </w:r>
    </w:p>
    <w:p>
      <w:pPr>
        <w:spacing w:after="80" w:line="276" w:lineRule="auto"/>
      </w:pPr>
      <w:r>
        <w:rPr>
          <w:sz w:val="21"/>
        </w:rPr>
        <w:t xml:space="preserve">[29] Kiela, D., &amp; Bottou, L. (2014). Learning image embeddings using convolutional neural networks for improved multi-modal semantics. </w:t>
      </w:r>
      <w:r>
        <w:rPr>
          <w:i/>
          <w:sz w:val="21"/>
        </w:rPr>
        <w:t>EMNLP</w:t>
      </w:r>
      <w:r>
        <w:rPr>
          <w:sz w:val="21"/>
        </w:rPr>
        <w:t>, 36–45.</w:t>
      </w:r>
    </w:p>
    <w:p>
      <w:pPr>
        <w:spacing w:after="80" w:line="276" w:lineRule="auto"/>
      </w:pPr>
      <w:r>
        <w:rPr>
          <w:sz w:val="21"/>
        </w:rPr>
        <w:t xml:space="preserve">[30] Baltrusaitis, T., Ahuja, C., &amp; Morency, L.-P. (2019). Multimodal machine learning: A survey and taxonomy. </w:t>
      </w:r>
      <w:r>
        <w:rPr>
          <w:i/>
          <w:sz w:val="21"/>
        </w:rPr>
        <w:t>IEEE Transactions on Pattern Analysis and Machine Intelligence</w:t>
      </w:r>
      <w:r>
        <w:rPr>
          <w:sz w:val="21"/>
        </w:rPr>
        <w:t>, 41(2), 423–443.</w:t>
      </w:r>
    </w:p>
    <w:p>
      <w:pPr>
        <w:spacing w:after="80" w:line="276" w:lineRule="auto"/>
      </w:pPr>
      <w:r>
        <w:rPr>
          <w:sz w:val="21"/>
        </w:rPr>
        <w:t xml:space="preserve">[31] Rezaei, S., &amp; Liu, X. (2020). Deep learning for encrypted traffic classification: An overview. </w:t>
      </w:r>
      <w:r>
        <w:rPr>
          <w:i/>
          <w:sz w:val="21"/>
        </w:rPr>
        <w:t>IEEE Communications Magazine</w:t>
      </w:r>
      <w:r>
        <w:rPr>
          <w:sz w:val="21"/>
        </w:rPr>
        <w:t>, 57(5), 76–81.</w:t>
      </w:r>
    </w:p>
    <w:p>
      <w:pPr>
        <w:spacing w:after="80" w:line="276" w:lineRule="auto"/>
      </w:pPr>
      <w:r>
        <w:rPr>
          <w:sz w:val="21"/>
        </w:rPr>
        <w:t xml:space="preserve">[32] Wang, P., Chen, Z., He, Y., &amp; Qin, Z. (2021). Focal loss for class imbalance in network intrusion detection systems. </w:t>
      </w:r>
      <w:r>
        <w:rPr>
          <w:i/>
          <w:sz w:val="21"/>
        </w:rPr>
        <w:t>Computers &amp; Security</w:t>
      </w:r>
      <w:r>
        <w:rPr>
          <w:sz w:val="21"/>
        </w:rPr>
        <w:t>, 110, 102447.</w:t>
      </w:r>
    </w:p>
    <w:p>
      <w:pPr>
        <w:spacing w:after="80" w:line="276" w:lineRule="auto"/>
      </w:pPr>
      <w:r>
        <w:rPr>
          <w:sz w:val="21"/>
        </w:rPr>
        <w:t xml:space="preserve">[33] King, G., &amp; Zeng, L. (2001). Logistic regression in rare events data. </w:t>
      </w:r>
      <w:r>
        <w:rPr>
          <w:i/>
          <w:sz w:val="21"/>
        </w:rPr>
        <w:t>Political Analysis</w:t>
      </w:r>
      <w:r>
        <w:rPr>
          <w:sz w:val="21"/>
        </w:rPr>
        <w:t>, 9(2), 137–163.</w:t>
      </w:r>
    </w:p>
    <w:p>
      <w:pPr>
        <w:spacing w:after="80" w:line="276" w:lineRule="auto"/>
      </w:pPr>
      <w:r>
        <w:rPr>
          <w:sz w:val="21"/>
        </w:rPr>
        <w:t xml:space="preserve">[34] Sharafaldin, I., Lashkari, A. H., Hakak, S., &amp; Ghorbani, A. A. (2019). Developing realistic distributed denial of service (DDoS) attack dataset and taxonomy. </w:t>
      </w:r>
      <w:r>
        <w:rPr>
          <w:i/>
          <w:sz w:val="21"/>
        </w:rPr>
        <w:t>IEEE International Carnahan Conference on Security Technology (ICCST)</w:t>
      </w:r>
      <w:r>
        <w:rPr>
          <w:sz w:val="21"/>
        </w:rPr>
        <w:t>, 1–8.</w:t>
      </w:r>
    </w:p>
    <w:p>
      <w:pPr>
        <w:spacing w:after="80" w:line="276" w:lineRule="auto"/>
      </w:pPr>
      <w:r>
        <w:rPr>
          <w:sz w:val="21"/>
        </w:rPr>
        <w:t xml:space="preserve">[35] Ringberg, H., Soule, A., Rexford, J., &amp; Diot, C. (2007). Sensitivity of PCA for traffic anomaly detection. </w:t>
      </w:r>
      <w:r>
        <w:rPr>
          <w:i/>
          <w:sz w:val="21"/>
        </w:rPr>
        <w:t>ACM SIGMETRICS</w:t>
      </w:r>
      <w:r>
        <w:rPr>
          <w:sz w:val="21"/>
        </w:rPr>
        <w:t>, 109–120.</w:t>
      </w:r>
    </w:p>
    <w:p>
      <w:pPr>
        <w:spacing w:after="80" w:line="276" w:lineRule="auto"/>
      </w:pPr>
      <w:r>
        <w:rPr>
          <w:sz w:val="21"/>
        </w:rPr>
        <w:t xml:space="preserve">[36] Engelen, G., Rimmer, V., &amp; Joosen, W. (2021). Troubleshooting an intrusion detection dataset: The CICIDS2017 case study. </w:t>
      </w:r>
      <w:r>
        <w:rPr>
          <w:i/>
          <w:sz w:val="21"/>
        </w:rPr>
        <w:t>IEEE Security and Privacy Workshops</w:t>
      </w:r>
      <w:r>
        <w:rPr>
          <w:sz w:val="21"/>
        </w:rPr>
        <w:t>, 7–12.</w:t>
      </w:r>
    </w:p>
    <w:p>
      <w:pPr>
        <w:spacing w:after="80" w:line="276" w:lineRule="auto"/>
      </w:pPr>
      <w:r>
        <w:rPr>
          <w:sz w:val="21"/>
        </w:rPr>
        <w:t xml:space="preserve">[37] Sarhan, M., Layeghy, S., Moustafa, N., &amp; Portmann, M. (2022). NetFlow datasets for machine learning-based network intrusion detection systems. In </w:t>
      </w:r>
      <w:r>
        <w:rPr>
          <w:i/>
          <w:sz w:val="21"/>
        </w:rPr>
        <w:t>Big Data Technologies and Applications</w:t>
      </w:r>
      <w:r>
        <w:rPr>
          <w:sz w:val="21"/>
        </w:rPr>
        <w:t>, 117–135. Springer.</w:t>
      </w:r>
    </w:p>
    <w:p>
      <w:pPr>
        <w:spacing w:after="80" w:line="276" w:lineRule="auto"/>
      </w:pPr>
      <w:r>
        <w:rPr>
          <w:sz w:val="21"/>
        </w:rPr>
        <w:t xml:space="preserve">[38] Moustafa, N., &amp; Slay, J. (2015). UNSW-NB15: A comprehensive data set for network intrusion detection systems. </w:t>
      </w:r>
      <w:r>
        <w:rPr>
          <w:i/>
          <w:sz w:val="21"/>
        </w:rPr>
        <w:t>Military Communications and Information Systems Conference (MilCIS)</w:t>
      </w:r>
      <w:r>
        <w:rPr>
          <w:sz w:val="21"/>
        </w:rPr>
        <w:t>, 1–6.</w:t>
      </w:r>
    </w:p>
    <w:p>
      <w:pPr>
        <w:spacing w:after="80" w:line="276" w:lineRule="auto"/>
      </w:pPr>
      <w:r>
        <w:rPr>
          <w:sz w:val="21"/>
        </w:rPr>
        <w:t xml:space="preserve">[39] Sharafaldin, I., Lashkari, A. H., &amp; Ghorbani, A. A. (2018). Toward generating a new intrusion detection dataset and intrusion traffic characterization. </w:t>
      </w:r>
      <w:r>
        <w:rPr>
          <w:i/>
          <w:sz w:val="21"/>
        </w:rPr>
        <w:t>International Conference on Information Systems Security and Privacy (ICISSP)</w:t>
      </w:r>
      <w:r>
        <w:rPr>
          <w:sz w:val="21"/>
        </w:rPr>
        <w:t>, 108–116.</w:t>
      </w:r>
    </w:p>
    <w:p>
      <w:pPr>
        <w:spacing w:after="80" w:line="276" w:lineRule="auto"/>
      </w:pPr>
      <w:r>
        <w:rPr>
          <w:sz w:val="21"/>
        </w:rPr>
        <w:t xml:space="preserve">[40] Preskill, J. (2018). Quantum computing in the NISQ era and beyond. </w:t>
      </w:r>
      <w:r>
        <w:rPr>
          <w:i/>
          <w:sz w:val="21"/>
        </w:rPr>
        <w:t>Quantum</w:t>
      </w:r>
      <w:r>
        <w:rPr>
          <w:sz w:val="21"/>
        </w:rPr>
        <w:t>, 2, 79.</w:t>
      </w:r>
    </w:p>
    <w:p>
      <w:pPr>
        <w:spacing w:after="80" w:line="276" w:lineRule="auto"/>
      </w:pPr>
      <w:r>
        <w:rPr>
          <w:sz w:val="21"/>
        </w:rPr>
        <w:t xml:space="preserve">[41] Havlíček, V., Córcoles, A. D., Temme, K., Harrow, A. W., Kandala, A., Chow, J. M., &amp; Gambetta, J. M. (2019). Supervised learning with quantum-enhanced feature spaces. </w:t>
      </w:r>
      <w:r>
        <w:rPr>
          <w:i/>
          <w:sz w:val="21"/>
        </w:rPr>
        <w:t>Nature</w:t>
      </w:r>
      <w:r>
        <w:rPr>
          <w:sz w:val="21"/>
        </w:rPr>
        <w:t>, 567(7747), 209–212.</w:t>
      </w:r>
    </w:p>
    <w:p>
      <w:pPr>
        <w:spacing w:after="80" w:line="276" w:lineRule="auto"/>
      </w:pPr>
      <w:r>
        <w:rPr>
          <w:sz w:val="21"/>
        </w:rPr>
        <w:t xml:space="preserve">[42] Cerezo, M., Arrasmith, A., Babbush, R., Benjamin, S. C., Endo, S., Fujii, K., ... &amp; Coles, P. J. (2021). Variational quantum algorithms. </w:t>
      </w:r>
      <w:r>
        <w:rPr>
          <w:i/>
          <w:sz w:val="21"/>
        </w:rPr>
        <w:t>Nature Reviews Physics</w:t>
      </w:r>
      <w:r>
        <w:rPr>
          <w:sz w:val="21"/>
        </w:rPr>
        <w:t>, 3(9), 625–644.</w:t>
      </w:r>
    </w:p>
    <w:p>
      <w:pPr>
        <w:spacing w:after="80" w:line="276" w:lineRule="auto"/>
      </w:pPr>
      <w:r>
        <w:rPr>
          <w:sz w:val="21"/>
        </w:rPr>
        <w:t xml:space="preserve">[43] Stein, S. A., Baheri, B., Chen, D., Mao, Y., Guan, Q., Li, A., &amp; Xu, C. (2021). QuClassi: A hybrid deep neural network architecture based on quantum state fidelity. </w:t>
      </w:r>
      <w:r>
        <w:rPr>
          <w:i/>
          <w:sz w:val="21"/>
        </w:rPr>
        <w:t>Proceedings of Machine Learning and Systems</w:t>
      </w:r>
      <w:r>
        <w:rPr>
          <w:sz w:val="21"/>
        </w:rPr>
        <w:t>, 3, 251–264.</w:t>
      </w:r>
    </w:p>
    <w:p>
      <w:pPr>
        <w:spacing w:after="80" w:line="276" w:lineRule="auto"/>
      </w:pPr>
      <w:r>
        <w:rPr>
          <w:sz w:val="21"/>
        </w:rPr>
        <w:t xml:space="preserve">[44] Vigneswaran, R. K., Victor, N., Mathew, J., &amp; Ayyasamy, P. (2021). Evaluating deep learning approaches to characterize and classify the DDoS attacks in the real-time. </w:t>
      </w:r>
      <w:r>
        <w:rPr>
          <w:i/>
          <w:sz w:val="21"/>
        </w:rPr>
        <w:t>Journal of Intelligent &amp; Fuzzy Systems</w:t>
      </w:r>
      <w:r>
        <w:rPr>
          <w:sz w:val="21"/>
        </w:rPr>
        <w:t>, 34(3), 1541–1550.</w:t>
      </w:r>
    </w:p>
    <w:p>
      <w:pPr>
        <w:spacing w:after="80" w:line="276" w:lineRule="auto"/>
      </w:pPr>
      <w:r>
        <w:rPr>
          <w:sz w:val="21"/>
        </w:rPr>
        <w:t xml:space="preserve">[45] Rossi, E., Chamberlain, B., Frasca, F., Eynard, D., Monti, F., &amp; Bronstein, M. (2020). Temporal graph networks for deep learning on dynamic graphs. </w:t>
      </w:r>
      <w:r>
        <w:rPr>
          <w:i/>
          <w:sz w:val="21"/>
        </w:rPr>
        <w:t>ICML 2020 Workshop on Graph Representation Learning</w:t>
      </w:r>
      <w:r>
        <w:rPr>
          <w:sz w:val="21"/>
        </w:rPr>
        <w:t>.</w:t>
      </w:r>
    </w:p>
    <w:p>
      <w:pPr>
        <w:spacing w:after="80" w:line="276" w:lineRule="auto"/>
      </w:pPr>
      <w:r>
        <w:rPr>
          <w:sz w:val="21"/>
        </w:rPr>
        <w:t xml:space="preserve">[46] Hamilton, W., Ying, Z., &amp; Leskovec, J. (2017). Inductive representation learning on large graphs. </w:t>
      </w:r>
      <w:r>
        <w:rPr>
          <w:i/>
          <w:sz w:val="21"/>
        </w:rPr>
        <w:t>Advances in Neural Information Processing Systems (NeurIPS)</w:t>
      </w:r>
      <w:r>
        <w:rPr>
          <w:sz w:val="21"/>
        </w:rPr>
        <w:t>, 30, 1024–1034.</w:t>
      </w:r>
    </w:p>
    <w:p>
      <w:pPr>
        <w:spacing w:after="80" w:line="276" w:lineRule="auto"/>
      </w:pPr>
      <w:r>
        <w:rPr>
          <w:sz w:val="21"/>
        </w:rPr>
        <w:t xml:space="preserve">[47] Chung, J., Gulcehre, C., Cho, K., &amp; Bengio, Y. (2014). Empirical evaluation of gated recurrent neural networks on sequence modeling. </w:t>
      </w:r>
      <w:r>
        <w:rPr>
          <w:i/>
          <w:sz w:val="21"/>
        </w:rPr>
        <w:t>NIPS 2014 Workshop on Deep Learning</w:t>
      </w:r>
      <w:r>
        <w:rPr>
          <w:sz w:val="21"/>
        </w:rPr>
        <w:t>.</w:t>
      </w:r>
    </w:p>
    <w:p>
      <w:pPr>
        <w:spacing w:after="80" w:line="276" w:lineRule="auto"/>
      </w:pPr>
      <w:r>
        <w:rPr>
          <w:sz w:val="21"/>
        </w:rPr>
        <w:t xml:space="preserve">[48] Xu, K., Hu, W., Leskovec, J., &amp; Jegelka, S. (2019). How powerful are graph neural networks? </w:t>
      </w:r>
      <w:r>
        <w:rPr>
          <w:i/>
          <w:sz w:val="21"/>
        </w:rPr>
        <w:t>International Conference on Learning Representations (ICLR)</w:t>
      </w:r>
      <w:r>
        <w:rPr>
          <w:sz w:val="21"/>
        </w:rPr>
        <w:t>.</w:t>
      </w:r>
    </w:p>
    <w:p>
      <w:pPr>
        <w:spacing w:after="80" w:line="276" w:lineRule="auto"/>
      </w:pPr>
      <w:r>
        <w:rPr>
          <w:sz w:val="21"/>
        </w:rPr>
        <w:t xml:space="preserve">[49] Kendall, A., Gal, Y., &amp; Cipolla, R. (2018). Multi-task learning using uncertainty to weigh losses for scene geometry and semantics. </w:t>
      </w:r>
      <w:r>
        <w:rPr>
          <w:i/>
          <w:sz w:val="21"/>
        </w:rPr>
        <w:t>IEEE Conference on Computer Vision and Pattern Recognition (CVPR)</w:t>
      </w:r>
      <w:r>
        <w:rPr>
          <w:sz w:val="21"/>
        </w:rPr>
        <w:t>, 7482–7491.</w:t>
      </w:r>
    </w:p>
    <w:p>
      <w:pPr>
        <w:spacing w:after="80" w:line="276" w:lineRule="auto"/>
      </w:pPr>
      <w:r>
        <w:rPr>
          <w:sz w:val="21"/>
        </w:rPr>
        <w:t xml:space="preserve">[50] Chen, Z., Badrinarayanan, V., Lee, C.-Y., &amp; Rabinovich, A. (2018). GradNorm: Gradient normalization for adaptive loss balancing in deep multitask networks. </w:t>
      </w:r>
      <w:r>
        <w:rPr>
          <w:i/>
          <w:sz w:val="21"/>
        </w:rPr>
        <w:t>International Conference on Machine Learning (ICML)</w:t>
      </w:r>
      <w:r>
        <w:rPr>
          <w:sz w:val="21"/>
        </w:rPr>
        <w:t>, 794–803.</w:t>
      </w:r>
    </w:p>
    <w:p>
      <w:pPr>
        <w:spacing w:before="120" w:after="120"/>
      </w:pPr>
    </w:p>
    <w:p>
      <w:pPr>
        <w:keepNext/>
        <w:spacing w:before="280" w:after="80"/>
      </w:pPr>
      <w:r>
        <w:rPr>
          <w:rFonts w:ascii="Calibri" w:hAnsi="Calibri"/>
          <w:b/>
          <w:color w:val="1B365D"/>
          <w:sz w:val="27"/>
        </w:rPr>
        <w:t>Appendix A: Key Equations Reference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rPr>
          <w:tblHeader/>
          <w:cantSplit/>
        </w:trPr>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w:t>
            </w:r>
          </w:p>
        </w:tc>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Equation</w:t>
            </w:r>
          </w:p>
        </w:tc>
        <w:tc>
          <w:tcPr>
            <w:tcW w:type="dxa" w:w="3120"/>
            <w:shd w:val="clear" w:color="auto" w:fill="1B365D"/>
            <w:tcMar>
              <w:top w:w="140" w:type="dxa"/>
              <w:bottom w:w="140" w:type="dxa"/>
              <w:left w:w="140" w:type="dxa"/>
              <w:right w:w="140" w:type="dxa"/>
            </w:tcMar>
          </w:tcPr>
          <w:p>
            <w:pPr>
              <w:spacing w:after="0"/>
              <w:jc w:val="center"/>
            </w:pPr>
            <w:r>
              <w:rPr>
                <w:rFonts w:ascii="Calibri" w:hAnsi="Calibri"/>
                <w:b/>
                <w:color w:val="FFFFFF"/>
                <w:sz w:val="18"/>
              </w:rPr>
              <w:t>Description</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1</w:t>
            </w:r>
          </w:p>
        </w:tc>
        <w:tc>
          <w:tcPr>
            <w:tcW w:type="dxa" w:w="3120"/>
            <w:tcMar>
              <w:top w:w="100" w:type="dxa"/>
              <w:bottom w:w="100" w:type="dxa"/>
              <w:left w:w="120" w:type="dxa"/>
              <w:right w:w="120" w:type="dxa"/>
            </w:tcMar>
          </w:tcPr>
          <w:p>
            <w:pPr>
              <w:spacing w:after="0"/>
              <w:jc w:val="left"/>
            </w:pPr>
            <w:r>
              <w:rPr>
                <w:rFonts w:ascii="Calibri" w:hAnsi="Calibri"/>
                <w:color w:val="2D3748"/>
                <w:sz w:val="17"/>
              </w:rPr>
              <w:t>$L_{\mathrm{hybrid}} = \alpha \cdot L_{\mathrm{CE}} + \beta \cdot L_{\mathrm{Focal}} + \gamma_w \cdot L_{\mathrm{WCE}}$</w:t>
            </w:r>
          </w:p>
        </w:tc>
        <w:tc>
          <w:tcPr>
            <w:tcW w:type="dxa" w:w="3120"/>
            <w:tcMar>
              <w:top w:w="100" w:type="dxa"/>
              <w:bottom w:w="100" w:type="dxa"/>
              <w:left w:w="120" w:type="dxa"/>
              <w:right w:w="120" w:type="dxa"/>
            </w:tcMar>
          </w:tcPr>
          <w:p>
            <w:pPr>
              <w:spacing w:after="0"/>
              <w:jc w:val="left"/>
            </w:pPr>
            <w:r>
              <w:rPr>
                <w:rFonts w:ascii="Calibri" w:hAnsi="Calibri"/>
                <w:color w:val="2D3748"/>
                <w:sz w:val="17"/>
              </w:rPr>
              <w:t>Hybrid Loss Composition</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2</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$g_i = \</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\nabla_{\Theta_{\mathrm{ref}}} L_i\</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3</w:t>
            </w:r>
          </w:p>
        </w:tc>
        <w:tc>
          <w:tcPr>
            <w:tcW w:type="dxa" w:w="3120"/>
            <w:tcMar>
              <w:top w:w="100" w:type="dxa"/>
              <w:bottom w:w="100" w:type="dxa"/>
              <w:left w:w="120" w:type="dxa"/>
              <w:right w:w="120" w:type="dxa"/>
            </w:tcMar>
          </w:tcPr>
          <w:p>
            <w:pPr>
              <w:spacing w:after="0"/>
              <w:jc w:val="left"/>
            </w:pPr>
            <w:r>
              <w:rPr>
                <w:rFonts w:ascii="Calibri" w:hAnsi="Calibri"/>
                <w:color w:val="2D3748"/>
                <w:sz w:val="17"/>
              </w:rPr>
              <w:t>$r_i = (g_{\mathrm{mean}} / (g_i + \varepsilon))^\eta, \quad \eta=0.5$</w:t>
            </w:r>
          </w:p>
        </w:tc>
        <w:tc>
          <w:tcPr>
            <w:tcW w:type="dxa" w:w="3120"/>
            <w:tcMar>
              <w:top w:w="100" w:type="dxa"/>
              <w:bottom w:w="100" w:type="dxa"/>
              <w:left w:w="120" w:type="dxa"/>
              <w:right w:w="120" w:type="dxa"/>
            </w:tcMar>
          </w:tcPr>
          <w:p>
            <w:pPr>
              <w:spacing w:after="0"/>
              <w:jc w:val="left"/>
            </w:pPr>
            <w:r>
              <w:rPr>
                <w:rFonts w:ascii="Calibri" w:hAnsi="Calibri"/>
                <w:color w:val="2D3748"/>
                <w:sz w:val="17"/>
              </w:rPr>
              <w:t>Gradient Ratio Inversion</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4</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$w_t^{\mathrm{smooth}} = 0.90 \cdot w_{t-1} + 0.10 \cdot w_t^{\mathrm{clipped}}$</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EMA Weight Smoothing</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5</w:t>
            </w:r>
          </w:p>
        </w:tc>
        <w:tc>
          <w:tcPr>
            <w:tcW w:type="dxa" w:w="3120"/>
            <w:tcMar>
              <w:top w:w="100" w:type="dxa"/>
              <w:bottom w:w="100" w:type="dxa"/>
              <w:left w:w="120" w:type="dxa"/>
              <w:right w:w="120" w:type="dxa"/>
            </w:tcMar>
          </w:tcPr>
          <w:p>
            <w:pPr>
              <w:spacing w:after="0"/>
              <w:jc w:val="left"/>
            </w:pPr>
            <w:r>
              <w:rPr>
                <w:rFonts w:ascii="Calibri" w:hAnsi="Calibri"/>
                <w:color w:val="2D3748"/>
                <w:sz w:val="17"/>
              </w:rPr>
              <w:t>$L_{\mathrm{Focal}} = -\frac{1}{N} \sum_i (1-\hat{p}_{i,y_i})^\gamma \log(\hat{p}_{i,y_i})$</w:t>
            </w:r>
          </w:p>
        </w:tc>
        <w:tc>
          <w:tcPr>
            <w:tcW w:type="dxa" w:w="3120"/>
            <w:tcMar>
              <w:top w:w="100" w:type="dxa"/>
              <w:bottom w:w="100" w:type="dxa"/>
              <w:left w:w="120" w:type="dxa"/>
              <w:right w:w="120" w:type="dxa"/>
            </w:tcMar>
          </w:tcPr>
          <w:p>
            <w:pPr>
              <w:spacing w:after="0"/>
              <w:jc w:val="left"/>
            </w:pPr>
            <w:r>
              <w:rPr>
                <w:rFonts w:ascii="Calibri" w:hAnsi="Calibri"/>
                <w:color w:val="2D3748"/>
                <w:sz w:val="17"/>
              </w:rPr>
              <w:t>Focal Loss ($\gamma=2.0$)</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6</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$L_{\mathrm{WCE}} = -\frac{1}{N} \sum_i w_{y_i} \log(\hat{p}_{i,y_i})$</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Class-Weighted CE</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7</w:t>
            </w:r>
          </w:p>
        </w:tc>
        <w:tc>
          <w:tcPr>
            <w:tcW w:type="dxa" w:w="3120"/>
            <w:tcMar>
              <w:top w:w="100" w:type="dxa"/>
              <w:bottom w:w="100" w:type="dxa"/>
              <w:left w:w="120" w:type="dxa"/>
              <w:right w:w="120" w:type="dxa"/>
            </w:tcMar>
          </w:tcPr>
          <w:p>
            <w:pPr>
              <w:spacing w:after="0"/>
              <w:jc w:val="left"/>
            </w:pPr>
            <w:r>
              <w:rPr>
                <w:rFonts w:ascii="Calibri" w:hAnsi="Calibri"/>
                <w:color w:val="2D3748"/>
                <w:sz w:val="17"/>
              </w:rPr>
              <w:t>$g = \sigma(W_g [h_{\mathrm{temp}} \parallel h_{\mathrm{rel}}] + b_g)$</w:t>
            </w:r>
          </w:p>
        </w:tc>
        <w:tc>
          <w:tcPr>
            <w:tcW w:type="dxa" w:w="3120"/>
            <w:tcMar>
              <w:top w:w="100" w:type="dxa"/>
              <w:bottom w:w="100" w:type="dxa"/>
              <w:left w:w="120" w:type="dxa"/>
              <w:right w:w="120" w:type="dxa"/>
            </w:tcMar>
          </w:tcPr>
          <w:p>
            <w:pPr>
              <w:spacing w:after="0"/>
              <w:jc w:val="left"/>
            </w:pPr>
            <w:r>
              <w:rPr>
                <w:rFonts w:ascii="Calibri" w:hAnsi="Calibri"/>
                <w:color w:val="2D3748"/>
                <w:sz w:val="17"/>
              </w:rPr>
              <w:t>Gated Fusion Gate</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8</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$z_{\mathrm{bilinear}} = h_{\mathrm{temp}}^T W_b h_{\mathrm{rel}} + b$</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Bilinear Fusion</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9</w:t>
            </w:r>
          </w:p>
        </w:tc>
        <w:tc>
          <w:tcPr>
            <w:tcW w:type="dxa" w:w="3120"/>
            <w:tcMar>
              <w:top w:w="100" w:type="dxa"/>
              <w:bottom w:w="100" w:type="dxa"/>
              <w:left w:w="120" w:type="dxa"/>
              <w:right w:w="120" w:type="dxa"/>
            </w:tcMar>
          </w:tcPr>
          <w:p>
            <w:pPr>
              <w:spacing w:after="0"/>
              <w:jc w:val="left"/>
            </w:pPr>
            <w:r>
              <w:rPr>
                <w:rFonts w:ascii="Calibri" w:hAnsi="Calibri"/>
                <w:color w:val="2D3748"/>
                <w:sz w:val="17"/>
              </w:rPr>
              <w:t>$\mathrm{Attn} = \mathrm{Softmax}(QK^T / \sqrt{d_k}) V$</w:t>
            </w:r>
          </w:p>
        </w:tc>
        <w:tc>
          <w:tcPr>
            <w:tcW w:type="dxa" w:w="3120"/>
            <w:tcMar>
              <w:top w:w="100" w:type="dxa"/>
              <w:bottom w:w="100" w:type="dxa"/>
              <w:left w:w="120" w:type="dxa"/>
              <w:right w:w="120" w:type="dxa"/>
            </w:tcMar>
          </w:tcPr>
          <w:p>
            <w:pPr>
              <w:spacing w:after="0"/>
              <w:jc w:val="left"/>
            </w:pPr>
            <w:r>
              <w:rPr>
                <w:rFonts w:ascii="Calibri" w:hAnsi="Calibri"/>
                <w:color w:val="2D3748"/>
                <w:sz w:val="17"/>
              </w:rPr>
              <w:t>Cross-Attention</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10</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$H_p(v) = -\sum_p P(p) \log_2 P(p)$</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Destination Port Entropy</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11</w:t>
            </w:r>
          </w:p>
        </w:tc>
        <w:tc>
          <w:tcPr>
            <w:tcW w:type="dxa" w:w="3120"/>
            <w:tcMar>
              <w:top w:w="100" w:type="dxa"/>
              <w:bottom w:w="100" w:type="dxa"/>
              <w:left w:w="120" w:type="dxa"/>
              <w:right w:w="120" w:type="dxa"/>
            </w:tcMar>
          </w:tcPr>
          <w:p>
            <w:pPr>
              <w:spacing w:after="0"/>
              <w:jc w:val="left"/>
            </w:pPr>
            <w:r>
              <w:rPr>
                <w:rFonts w:ascii="Calibri" w:hAnsi="Calibri"/>
                <w:color w:val="2D3748"/>
                <w:sz w:val="17"/>
              </w:rPr>
              <w:t>$\mathrm{IR} = 13{,}484{,}708 / 87 = 154{,}996.64:1$</w:t>
            </w:r>
          </w:p>
        </w:tc>
        <w:tc>
          <w:tcPr>
            <w:tcW w:type="dxa" w:w="3120"/>
            <w:tcMar>
              <w:top w:w="100" w:type="dxa"/>
              <w:bottom w:w="100" w:type="dxa"/>
              <w:left w:w="120" w:type="dxa"/>
              <w:right w:w="120" w:type="dxa"/>
            </w:tcMar>
          </w:tcPr>
          <w:p>
            <w:pPr>
              <w:spacing w:after="0"/>
              <w:jc w:val="left"/>
            </w:pPr>
            <w:r>
              <w:rPr>
                <w:rFonts w:ascii="Calibri" w:hAnsi="Calibri"/>
                <w:color w:val="2D3748"/>
                <w:sz w:val="17"/>
              </w:rPr>
              <w:t>CSE-CIC-IDS2018 Imbalance Ratio</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12</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$\mathrm{Score} = 0.20T + 0.20R + 0.15F + 0.10A + 0.10Q + 0.10L + 0.10P + 0.05C$</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Dataset Scoring Formula</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13</w:t>
            </w:r>
          </w:p>
        </w:tc>
        <w:tc>
          <w:tcPr>
            <w:tcW w:type="dxa" w:w="3120"/>
            <w:tcMar>
              <w:top w:w="100" w:type="dxa"/>
              <w:bottom w:w="100" w:type="dxa"/>
              <w:left w:w="120" w:type="dxa"/>
              <w:right w:w="120" w:type="dxa"/>
            </w:tcMar>
          </w:tcPr>
          <w:p>
            <w:pPr>
              <w:spacing w:after="0"/>
              <w:jc w:val="left"/>
            </w:pPr>
            <w:r>
              <w:rPr>
                <w:rFonts w:ascii="Calibri" w:hAnsi="Calibri"/>
                <w:color w:val="2D3748"/>
                <w:sz w:val="17"/>
              </w:rPr>
              <w:t>$\Delta t_{\mathrm{prev\_src}}(i) = t_i - \max\{t_j \mid j&lt;i, \mathrm{src}(j)=\mathrm{src}(i)\}$</w:t>
            </w:r>
          </w:p>
        </w:tc>
        <w:tc>
          <w:tcPr>
            <w:tcW w:type="dxa" w:w="3120"/>
            <w:tcMar>
              <w:top w:w="100" w:type="dxa"/>
              <w:bottom w:w="100" w:type="dxa"/>
              <w:left w:w="120" w:type="dxa"/>
              <w:right w:w="120" w:type="dxa"/>
            </w:tcMar>
          </w:tcPr>
          <w:p>
            <w:pPr>
              <w:spacing w:after="0"/>
              <w:jc w:val="left"/>
            </w:pPr>
            <w:r>
              <w:rPr>
                <w:rFonts w:ascii="Calibri" w:hAnsi="Calibri"/>
                <w:color w:val="2D3748"/>
                <w:sz w:val="17"/>
              </w:rPr>
              <w:t>Entity Flow Velocity</w:t>
            </w:r>
          </w:p>
        </w:tc>
      </w:tr>
      <w:tr>
        <w:trPr>
          <w:cantSplit/>
        </w:trPr>
        <w:tc>
          <w:tcPr>
            <w:tcW w:type="dxa" w:w="3120"/>
            <w:shd w:val="clear" w:color="auto" w:fill="F7FAFC"/>
            <w:tcMar>
              <w:top w:w="100" w:type="dxa"/>
              <w:bottom w:w="100" w:type="dxa"/>
              <w:left w:w="120" w:type="dxa"/>
              <w:right w:w="120" w:type="dxa"/>
            </w:tcMar>
          </w:tcPr>
          <w:p>
            <w:pPr>
              <w:spacing w:after="0"/>
              <w:jc w:val="right"/>
            </w:pPr>
            <w:r>
              <w:rPr>
                <w:rFonts w:ascii="Calibri" w:hAnsi="Calibri"/>
                <w:color w:val="2D3748"/>
                <w:sz w:val="17"/>
              </w:rPr>
              <w:t>14</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$w_c = N / (K \cdot N_c)$</w:t>
            </w:r>
          </w:p>
        </w:tc>
        <w:tc>
          <w:tcPr>
            <w:tcW w:type="dxa" w:w="3120"/>
            <w:shd w:val="clear" w:color="auto" w:fill="F7FAFC"/>
            <w:tcMar>
              <w:top w:w="100" w:type="dxa"/>
              <w:bottom w:w="100" w:type="dxa"/>
              <w:left w:w="120" w:type="dxa"/>
              <w:right w:w="120" w:type="dxa"/>
            </w:tcMar>
          </w:tcPr>
          <w:p>
            <w:pPr>
              <w:spacing w:after="0"/>
              <w:jc w:val="left"/>
            </w:pPr>
            <w:r>
              <w:rPr>
                <w:rFonts w:ascii="Calibri" w:hAnsi="Calibri"/>
                <w:color w:val="2D3748"/>
                <w:sz w:val="17"/>
              </w:rPr>
              <w:t>Inverse Frequency Weight</w:t>
            </w:r>
          </w:p>
        </w:tc>
      </w:tr>
      <w:tr>
        <w:trPr>
          <w:cantSplit/>
        </w:trPr>
        <w:tc>
          <w:tcPr>
            <w:tcW w:type="dxa" w:w="3120"/>
            <w:tcMar>
              <w:top w:w="100" w:type="dxa"/>
              <w:bottom w:w="100" w:type="dxa"/>
              <w:left w:w="120" w:type="dxa"/>
              <w:right w:w="120" w:type="dxa"/>
            </w:tcMar>
          </w:tcPr>
          <w:p>
            <w:pPr>
              <w:spacing w:after="0"/>
              <w:jc w:val="right"/>
            </w:pPr>
            <w:r>
              <w:rPr>
                <w:rFonts w:ascii="Calibri" w:hAnsi="Calibri"/>
                <w:color w:val="2D3748"/>
                <w:sz w:val="17"/>
              </w:rPr>
              <w:t>15</w:t>
            </w:r>
          </w:p>
        </w:tc>
        <w:tc>
          <w:tcPr>
            <w:tcW w:type="dxa" w:w="3120"/>
            <w:tcMar>
              <w:top w:w="100" w:type="dxa"/>
              <w:bottom w:w="100" w:type="dxa"/>
              <w:left w:w="120" w:type="dxa"/>
              <w:right w:w="120" w:type="dxa"/>
            </w:tcMar>
          </w:tcPr>
          <w:p>
            <w:pPr>
              <w:spacing w:after="0"/>
              <w:jc w:val="left"/>
            </w:pPr>
            <w:r>
              <w:rPr>
                <w:rFonts w:ascii="Calibri" w:hAnsi="Calibri"/>
                <w:color w:val="2D3748"/>
                <w:sz w:val="17"/>
              </w:rPr>
              <w:t>$p_{\mathrm{final}} = \mathrm{Softmax}(p_{\mathrm{temp}}) + \mathrm{Softmax}(p_{\mathrm{rel}})$</w:t>
            </w:r>
          </w:p>
        </w:tc>
        <w:tc>
          <w:tcPr>
            <w:tcW w:type="dxa" w:w="3120"/>
            <w:tcMar>
              <w:top w:w="100" w:type="dxa"/>
              <w:bottom w:w="100" w:type="dxa"/>
              <w:left w:w="120" w:type="dxa"/>
              <w:right w:w="120" w:type="dxa"/>
            </w:tcMar>
          </w:tcPr>
          <w:p>
            <w:pPr>
              <w:spacing w:after="0"/>
              <w:jc w:val="left"/>
            </w:pPr>
            <w:r>
              <w:rPr>
                <w:rFonts w:ascii="Calibri" w:hAnsi="Calibri"/>
                <w:color w:val="2D3748"/>
                <w:sz w:val="17"/>
              </w:rPr>
              <w:t>Decision Ensemble Fusion</w:t>
            </w:r>
          </w:p>
        </w:tc>
      </w:tr>
    </w:tbl>
    <w:p>
      <w:pPr>
        <w:spacing w:after="80"/>
      </w:pPr>
    </w:p>
    <w:p>
      <w:pPr>
        <w:spacing w:before="120" w:after="120"/>
      </w:pPr>
    </w:p>
    <w:p>
      <w:pPr>
        <w:keepNext/>
        <w:spacing w:before="280" w:after="80"/>
      </w:pPr>
      <w:r>
        <w:rPr>
          <w:rFonts w:ascii="Calibri" w:hAnsi="Calibri"/>
          <w:b/>
          <w:color w:val="1B365D"/>
          <w:sz w:val="27"/>
        </w:rPr>
        <w:t>Appendix B: Repository Structure</w:t>
      </w:r>
    </w:p>
    <w:p>
      <w:pPr>
        <w:jc w:val="center"/>
      </w:pPr>
      <w:r>
        <w:drawing>
          <wp:inline xmlns:a="http://schemas.openxmlformats.org/drawingml/2006/main" xmlns:pic="http://schemas.openxmlformats.org/drawingml/2006/picture">
            <wp:extent cx="5669280" cy="3710585"/>
            <wp:docPr id="71" name="Picture 7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710585"/>
                    </a:xfrm>
                    <a:prstGeom prst="rect"/>
                  </pic:spPr>
                </pic:pic>
              </a:graphicData>
            </a:graphic>
          </wp:inline>
        </w:drawing>
      </w:r>
    </w:p>
    <w:p>
      <w:pPr>
        <w:jc w:val="center"/>
      </w:pPr>
      <w:r>
        <w:rPr>
          <w:i/>
          <w:color w:val="2C5282"/>
          <w:sz w:val="19"/>
        </w:rPr>
        <w:t>Figure 28: Architectural Diagram of the Proposed Dual-Branch Temporal-Relational Framework.</w:t>
      </w:r>
    </w:p>
    <w:p>
      <w:pPr>
        <w:spacing w:before="120" w:after="120"/>
      </w:pPr>
    </w:p>
    <w:p>
      <w:pPr>
        <w:spacing w:after="80" w:line="276" w:lineRule="auto"/>
      </w:pPr>
      <w:r>
        <w:rPr>
          <w:sz w:val="21"/>
        </w:rPr>
      </w:r>
      <w:r>
        <w:rPr>
          <w:i/>
          <w:sz w:val="21"/>
        </w:rPr>
        <w:t>End of Manuscript</w:t>
      </w:r>
      <w:r>
        <w:rPr>
          <w:sz w:val="21"/>
        </w:rP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Journal Paper Draft — Controlled Empirical Investigation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Adaptive Temporal-Relational Learning for NIDS  |  Controlled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