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Calibri" w:hAnsi="Calibri"/>
          <w:b/>
          <w:color w:val="1A365D"/>
          <w:sz w:val="40"/>
        </w:rPr>
        <w:t>Adaptive Multimodal Temporal-Relational Intrusion Detection System: Comprehensive Research &amp; Experimental Master Report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1. Executive Summary &amp; System Architecture Overview</w:t>
      </w:r>
    </w:p>
    <w:p>
      <w:pPr>
        <w:spacing w:before="0" w:after="80" w:line="276" w:lineRule="auto"/>
      </w:pPr>
      <w:r>
        <w:t>Network Intrusion Detection Systems (NIDS) deployed in modern enterprise and cloud infrastructure face two primary challenges: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Single-Modality Blindness</w:t>
      </w:r>
      <w:r>
        <w:t>: Standard deep learning NIDS architectures typically rely on either purely sequential packet/flow models (e.g., GRU, LSTM) or purely structural graph neural networks (GNNs). Sequential models miss topological communication fan-out and host node interaction patterns, whereas GNNs fail to capture packet inter-arrival burst dynamics and flow duration dynamics.</w:t>
      </w:r>
    </w:p>
    <w:p>
      <w:pPr>
        <w:spacing w:before="0" w:after="80" w:line="276" w:lineRule="auto"/>
      </w:pPr>
      <w:r>
        <w:t xml:space="preserve">2. </w:t>
      </w:r>
      <w:r>
        <w:rPr>
          <w:b/>
        </w:rPr>
        <w:t>Extreme Class Imbalance &amp; Loss Instability</w:t>
      </w:r>
      <w:r>
        <w:t xml:space="preserve">: Intrusion datasets exhibit severe class imbalance (up to </w:t>
      </w:r>
      <w:r>
        <w:rPr>
          <w:b/>
        </w:rPr>
        <w:t>964:1</w:t>
      </w:r>
      <w:r>
        <w:t xml:space="preserve"> ratio between benign traffic and rare attack vectors). Standard Cross-Entropy loss collapses under majority class dominance, while fixed-weight loss functions suffer from exploding or vanishing gradients on rare attack classes.</w:t>
      </w:r>
    </w:p>
    <w:p>
      <w:pPr>
        <w:spacing w:before="0" w:after="80" w:line="276" w:lineRule="auto"/>
      </w:pPr>
      <w:r>
        <w:t xml:space="preserve">To solve these fundamental challenges, this project introduces the </w:t>
      </w:r>
      <w:r>
        <w:rPr>
          <w:b/>
        </w:rPr>
        <w:t>Adaptive Multimodal Temporal-Relational Intrusion Detection System</w:t>
      </w:r>
      <w:r>
        <w:t>, integrating: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Dual-Modality Encoders</w:t>
      </w:r>
      <w:r>
        <w:t>: A 2-layer unidirectional GRU sequence encoder (</w:t>
      </w:r>
      <w:r>
        <w:rPr>
          <w:rFonts w:ascii="Consolas" w:hAnsi="Consolas"/>
          <w:color w:val="805AD5"/>
          <w:sz w:val="19"/>
        </w:rPr>
        <w:t>FixedTemporalEncoder</w:t>
      </w:r>
      <w:r>
        <w:t>) for temporal flow features and a Graph Relational encoder (</w:t>
      </w:r>
      <w:r>
        <w:rPr>
          <w:rFonts w:ascii="Consolas" w:hAnsi="Consolas"/>
          <w:color w:val="805AD5"/>
          <w:sz w:val="19"/>
        </w:rPr>
        <w:t>FixedRelationalEncoder</w:t>
      </w:r>
      <w:r>
        <w:t>) for topological/spatial interactions.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Controlled Multimodal Fusion Modules</w:t>
      </w:r>
      <w:r>
        <w:t xml:space="preserve">: Evaluation across </w:t>
      </w:r>
      <w:r>
        <w:rPr>
          <w:b/>
        </w:rPr>
        <w:t>6 distinct fusion mechanisms</w:t>
      </w:r>
      <w:r>
        <w:t xml:space="preserve"> (Concatenation, Gated Adaptive, Bilinear Tensor, Cross-Attention Co-Attention, Decision-Level Ensemble, and Parameterized Quantum Circuit PQC Entanglement).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* Gradient-Adaptive Hybrid Loss (`GradientAdaptiveHybridLoss`): A dynamic loss function that continuously tracks gradient norms (\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\nabla_\theta \mathcal{L}\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_2) across Cross-Entropy, Focal Loss, and Weighted Cross-Entropy, dynamically balancing loss contribution weights with softmax scaling and smooth Exponential Moving Average (EMA).</w:t>
            </w:r>
          </w:p>
        </w:tc>
      </w:tr>
    </w:tbl>
    <w:p>
      <w:pPr>
        <w:spacing w:before="0"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Adaptive Multimodal Temporal-Relational System Architecture Diagram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2. Phase 0: Dataset Exploration, Auditing &amp; Feature Selection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2.1 Benchmark Dataset Profiles</w:t>
      </w:r>
    </w:p>
    <w:p>
      <w:pPr>
        <w:spacing w:before="0" w:after="80" w:line="276" w:lineRule="auto"/>
      </w:pPr>
      <w:r>
        <w:t xml:space="preserve">Experiments were conducted across </w:t>
      </w:r>
      <w:r>
        <w:rPr>
          <w:b/>
        </w:rPr>
        <w:t>3 benchmark NIDS datasets</w:t>
      </w:r>
      <w:r>
        <w:t>, representing both modern NetFlow v2 records and raw PCAP flow extractions: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NF-CSE-CIC-IDS2018-v2</w:t>
      </w:r>
      <w:r>
        <w:t xml:space="preserve">: NetFlow v2 formatted dataset containing </w:t>
      </w:r>
      <w:r>
        <w:rPr>
          <w:b/>
        </w:rPr>
        <w:t>18,855,678 flows</w:t>
      </w:r>
      <w:r>
        <w:t>.</w:t>
      </w:r>
    </w:p>
    <w:p>
      <w:pPr>
        <w:spacing w:before="0" w:after="80" w:line="276" w:lineRule="auto"/>
      </w:pPr>
      <w:r>
        <w:t xml:space="preserve">2. </w:t>
      </w:r>
      <w:r>
        <w:rPr>
          <w:b/>
        </w:rPr>
        <w:t>NF-UNSW-NB15-v2</w:t>
      </w:r>
      <w:r>
        <w:t xml:space="preserve">: NetFlow v2 formatted dataset containing </w:t>
      </w:r>
      <w:r>
        <w:rPr>
          <w:b/>
        </w:rPr>
        <w:t>2,390,275 flows</w:t>
      </w:r>
      <w:r>
        <w:t xml:space="preserve"> with high attack density.</w:t>
      </w:r>
    </w:p>
    <w:p>
      <w:pPr>
        <w:spacing w:before="0" w:after="80" w:line="276" w:lineRule="auto"/>
      </w:pPr>
      <w:r>
        <w:t xml:space="preserve">3. </w:t>
      </w:r>
      <w:r>
        <w:rPr>
          <w:b/>
        </w:rPr>
        <w:t>CSE-CIC-IDS2018</w:t>
      </w:r>
      <w:r>
        <w:t xml:space="preserve">: Comprehensive raw PCAP extraction containing </w:t>
      </w:r>
      <w:r>
        <w:rPr>
          <w:b/>
        </w:rPr>
        <w:t>16,232,943 flows</w:t>
      </w:r>
      <w:r>
        <w:t xml:space="preserve"> categorized into 15 multi-class attack categories (DDoS, DoS, Botnet, Infiltration, BruteForce, etc.).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Dataset Name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Total Raw Flows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Features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Classes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Imbalance Ratio (Max:Min)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Format / Protocol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18,855,678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 (Binary)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7.36 : 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NetFlow v2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2,390,275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 (Binary)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29.59 : 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NetFlow v2</w:t>
            </w:r>
          </w:p>
        </w:tc>
      </w:tr>
      <w:tr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16,232,943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 (Multi-Class)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964.02 : 1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CICFlowMeter / PCAP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2.2 Forensic Data Leakage Audits</w:t>
      </w:r>
    </w:p>
    <w:p>
      <w:pPr>
        <w:spacing w:before="0" w:after="80" w:line="276" w:lineRule="auto"/>
      </w:pPr>
      <w:r>
        <w:t>To prevent artificial accuracy inflation, shortcut learning, and data leakage, all datasets underwent strict forensic preprocessing: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Identifier Elimination</w:t>
      </w:r>
      <w:r>
        <w:t>: All raw IP addresses (</w:t>
      </w:r>
      <w:r>
        <w:rPr>
          <w:rFonts w:ascii="Consolas" w:hAnsi="Consolas"/>
          <w:color w:val="805AD5"/>
          <w:sz w:val="19"/>
        </w:rPr>
        <w:t>IPV4_SRC_ADDR</w:t>
      </w:r>
      <w:r>
        <w:t xml:space="preserve">, </w:t>
      </w:r>
      <w:r>
        <w:rPr>
          <w:rFonts w:ascii="Consolas" w:hAnsi="Consolas"/>
          <w:color w:val="805AD5"/>
          <w:sz w:val="19"/>
        </w:rPr>
        <w:t>IPV4_DST_ADDR</w:t>
      </w:r>
      <w:r>
        <w:t>), Flow IDs, timestamps, and packet sequence numbers were stripped to prevent classifiers from memorizing testbed IP ranges.</w:t>
      </w:r>
    </w:p>
    <w:p>
      <w:pPr>
        <w:spacing w:before="0" w:after="80" w:line="276" w:lineRule="auto"/>
      </w:pPr>
      <w:r>
        <w:t xml:space="preserve">2. </w:t>
      </w:r>
      <w:r>
        <w:rPr>
          <w:b/>
        </w:rPr>
        <w:t>Split Leakage Isolation</w:t>
      </w:r>
      <w:r>
        <w:t xml:space="preserve">: Datasets were partitioned into </w:t>
      </w:r>
      <w:r>
        <w:rPr>
          <w:b/>
        </w:rPr>
        <w:t>70% Training, 15% Validation, and 15% Testing</w:t>
      </w:r>
      <w:r>
        <w:t xml:space="preserve"> splits using fixed random seeds (</w:t>
      </w:r>
      <w:r>
        <w:rPr>
          <w:rFonts w:ascii="Consolas" w:hAnsi="Consolas"/>
          <w:color w:val="805AD5"/>
          <w:sz w:val="19"/>
        </w:rPr>
        <w:t>seed = 42</w:t>
      </w:r>
      <w:r>
        <w:t xml:space="preserve">). </w:t>
      </w:r>
      <w:r>
        <w:rPr>
          <w:rFonts w:ascii="Consolas" w:hAnsi="Consolas"/>
          <w:color w:val="805AD5"/>
          <w:sz w:val="19"/>
        </w:rPr>
        <w:t>StandardScaler</w:t>
      </w:r>
      <w:r>
        <w:t xml:space="preserve"> mean and variance statistics were fitted </w:t>
      </w:r>
      <w:r>
        <w:rPr>
          <w:b/>
        </w:rPr>
        <w:t>strictly on the Training split</w:t>
      </w:r>
      <w:r>
        <w:t xml:space="preserve"> and applied transformation-only to Validation and Test splits.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Excluded Field Type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 Variable Names Removed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Justification &amp; Leakage Prevention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IP Addresses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`IPV4_SRC_ADDR`, `IPV4_DST_ADDR`, `Src IP`, `Dst IP`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Prevents IP subnet memorization and non-generalizable shortcut learning.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Port Identifiers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`L4_SRC_PORT`, `Src Port`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Source ports are ephemeral; retaining them causes overfitting to ephemeral port ranges.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Identifiers &amp; Timestamps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`TIMESTAMP`, `TIME`, `FLOW ID`, `DNS_QUERY_ID`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Eliminates temporal ordering artifacts and synthetic ID correlations.</w:t>
            </w:r>
          </w:p>
        </w:tc>
      </w:tr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Redundant Slices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`NUM_PKTS_UP_TO_128_BYTES`, `DST_TO_SRC_SECOND_BYTES`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Stripped due to collinear correlation (&gt;0.98 Pearson r) with primary byte metrics.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2.3 Multi-Signal Evidence Feature Selection</w:t>
      </w:r>
    </w:p>
    <w:p>
      <w:pPr>
        <w:spacing w:before="0" w:after="80" w:line="276" w:lineRule="auto"/>
      </w:pPr>
      <w:r>
        <w:t xml:space="preserve">Feature selection was conducted on the training split using a 4-way consensus voting mechanism combining </w:t>
      </w:r>
      <w:r>
        <w:rPr>
          <w:b/>
        </w:rPr>
        <w:t>Mutual Information (MI)</w:t>
      </w:r>
      <w:r>
        <w:t xml:space="preserve">, </w:t>
      </w:r>
      <w:r>
        <w:rPr>
          <w:b/>
        </w:rPr>
        <w:t>ANOVA F-statistic</w:t>
      </w:r>
      <w:r>
        <w:t xml:space="preserve">, </w:t>
      </w:r>
      <w:r>
        <w:rPr>
          <w:b/>
        </w:rPr>
        <w:t>Random Forest Feature Importance</w:t>
      </w:r>
      <w:r>
        <w:t xml:space="preserve">, and </w:t>
      </w:r>
      <w:r>
        <w:rPr>
          <w:b/>
        </w:rPr>
        <w:t>XGBoost Feature Importance</w:t>
      </w:r>
      <w:r>
        <w:t>.</w:t>
      </w:r>
    </w:p>
    <w:p>
      <w:pPr>
        <w:spacing w:before="0" w:after="80" w:line="276" w:lineRule="auto"/>
      </w:pPr>
      <w:r>
        <w:t xml:space="preserve">The selected features were divided into </w:t>
      </w:r>
      <w:r>
        <w:rPr>
          <w:b/>
        </w:rPr>
        <w:t>Temporal Features</w:t>
      </w:r>
      <w:r>
        <w:t xml:space="preserve"> (</w:t>
      </w:r>
      <w:r>
        <w:rPr>
          <w:i/>
          <w:color w:val="2C5282"/>
        </w:rPr>
        <w:t>X_{\text{temp}}</w:t>
      </w:r>
      <w:r>
        <w:t xml:space="preserve">) and </w:t>
      </w:r>
      <w:r>
        <w:rPr>
          <w:b/>
        </w:rPr>
        <w:t>Relational Features</w:t>
      </w:r>
      <w:r>
        <w:t xml:space="preserve"> (</w:t>
      </w:r>
      <w:r>
        <w:rPr>
          <w:i/>
          <w:color w:val="2C5282"/>
        </w:rPr>
        <w:t>X_{\text{rel}}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Total Selected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Temporal Features (X_{\text{temp}})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Relational Features (X_{\text{rel}})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`FLOW_DURATION_MILLISECONDS`, `DURATION_IN`, `DURATION_OUT`, `SRC_TO_DST_AVG_THROUGHPUT`, `DST_TO_SRC_AVG_THROUGHPUT`, `SRC_TO_DST_SECOND_BYTES`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`MIN_TTL`, `MAX_TTL`, `L7_PROTO`, `L4_DST_PORT`, `MAX_IP_PKT_LEN`, `MIN_IP_PKT_LEN`, `DNS_TTL_ANSWER`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`DST_TO_SRC_AVG_THROUGHPUT`, `SRC_TO_DST_SECOND_BYTES`, `DST_TO_SRC_SECOND_BYTES`, `SRC_TO_DST_AVG_THROUGHPUT`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`MIN_TTL`, `MIN_IP_PKT_LEN`, `MAX_TTL`, `L4_DST_PORT`, `PROTOCOL`, `L4_SRC_PORT`, `ICMP_TYPE`, `L7_PROTO`, `DNS_QUERY_TYPE`</w:t>
            </w:r>
          </w:p>
        </w:tc>
      </w:tr>
      <w:tr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`Flow Duration`, `Flow IAT Mean`, `Flow IAT Max`, `Bwd IAT Max`, `Bwd IAT Mean`, `Flow IAT Std`, `Bwd IAT Tot`, `Bwd IAT Std`, `Fwd IAT Std`</w:t>
            </w:r>
          </w:p>
        </w:tc>
        <w:tc>
          <w:tcPr>
            <w:tcW w:type="dxa" w:w="23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`Dst Port`, `Init Fwd Win Byts`, `Init Bwd Win Byts`, `Fwd Seg Size Min`, `RST Flag Cnt`, `ACK Flag Cnt`, `Tot Fwd Pkts`, `Tot Bwd Pkts`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3. Phase 1 &amp; 1.5: Loss Function Formulation &amp; Gradient-Adaptive Hybrid Loss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3.1 The Class Imbalance Challenge in NIDS</w:t>
      </w:r>
    </w:p>
    <w:p>
      <w:pPr>
        <w:spacing w:before="0" w:after="80" w:line="276" w:lineRule="auto"/>
      </w:pPr>
      <w:r>
        <w:t xml:space="preserve">In NIDS benchmark datasets, majority benign traffic overwhelms rare attack vectors (e.g., </w:t>
      </w:r>
      <w:r>
        <w:rPr>
          <w:rFonts w:ascii="Consolas" w:hAnsi="Consolas"/>
          <w:color w:val="805AD5"/>
          <w:sz w:val="19"/>
        </w:rPr>
        <w:t>SQL Injection</w:t>
      </w:r>
      <w:r>
        <w:t xml:space="preserve">, </w:t>
      </w:r>
      <w:r>
        <w:rPr>
          <w:rFonts w:ascii="Consolas" w:hAnsi="Consolas"/>
          <w:color w:val="805AD5"/>
          <w:sz w:val="19"/>
        </w:rPr>
        <w:t>Infiltration</w:t>
      </w:r>
      <w:r>
        <w:t xml:space="preserve">, </w:t>
      </w:r>
      <w:r>
        <w:rPr>
          <w:rFonts w:ascii="Consolas" w:hAnsi="Consolas"/>
          <w:color w:val="805AD5"/>
          <w:sz w:val="19"/>
        </w:rPr>
        <w:t>Heartbleed</w:t>
      </w:r>
      <w:r>
        <w:t xml:space="preserve">). 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Standard Cross-Entropy (CE)</w:t>
      </w:r>
      <w:r>
        <w:t>: Focuses purely on overall accuracy, allowing minority attack false negatives to be ignored without penalty.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Static Weighted Cross-Entropy (WCE)</w:t>
      </w:r>
      <w:r>
        <w:t>: Multiplies loss by inverse class frequencies (</w:t>
      </w:r>
      <w:r>
        <w:rPr>
          <w:i/>
          <w:color w:val="2C5282"/>
        </w:rPr>
        <w:t>w_c = \frac{N}{C \cdot N_c}</w:t>
      </w:r>
      <w:r>
        <w:t>). On extreme imbalance (964:1), gradient updates explode on minor misclassifications, causing convergence instability.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Focal Loss</w:t>
      </w:r>
      <w:r>
        <w:t xml:space="preserve">: Modulates loss with factor </w:t>
      </w:r>
      <w:r>
        <w:rPr>
          <w:i/>
          <w:color w:val="2C5282"/>
        </w:rPr>
        <w:t>(1 - p_t)^\gamma</w:t>
      </w:r>
      <w:r>
        <w:t>, focusing on hard-to-classify samples but failing to scale dynamically across varying training stages.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3.2 Mathematical Formulation of `GradientAdaptiveHybridLoss`</w:t>
      </w:r>
    </w:p>
    <w:p>
      <w:pPr>
        <w:spacing w:before="0" w:after="80" w:line="276" w:lineRule="auto"/>
      </w:pPr>
      <w:r>
        <w:t xml:space="preserve">To solve these limitations, we designed </w:t>
      </w:r>
      <w:r>
        <w:rPr>
          <w:b/>
        </w:rPr>
        <w:t>`GradientAdaptiveHybridLoss`</w:t>
      </w:r>
      <w:r>
        <w:t>, a dynamic loss function combining Cross-Entropy, Focal Loss, and Weighted Cross-Entropy:</w:t>
      </w:r>
    </w:p>
    <w:p>
      <w:pPr>
        <w:spacing w:before="0" w:after="80" w:line="276" w:lineRule="auto"/>
      </w:pPr>
      <w:r>
        <w:rPr>
          <w:i/>
          <w:color w:val="2C5282"/>
        </w:rPr>
      </w:r>
      <w:r>
        <w:t>\mathcal{L}_{\text{hybrid}} = \alpha_t \mathcal{L}_{\text{CE}} + \beta_t \mathcal{L}_{\text{Focal}} + \gamma_t \mathcal{L}_{\text{WCE}}</w:t>
      </w:r>
      <w:r>
        <w:rPr>
          <w:i/>
          <w:color w:val="2C5282"/>
        </w:rPr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Dynamic Weight Adaptation Algorithm</w:t>
      </w:r>
    </w:p>
    <w:p>
      <w:pPr>
        <w:spacing w:before="0" w:after="80" w:line="276" w:lineRule="auto"/>
      </w:pPr>
      <w:r>
        <w:t xml:space="preserve">At each training iteration </w:t>
      </w:r>
      <w:r>
        <w:rPr>
          <w:i/>
          <w:color w:val="2C5282"/>
        </w:rPr>
        <w:t>t</w:t>
      </w:r>
      <w:r>
        <w:t>:</w:t>
      </w:r>
    </w:p>
    <w:p>
      <w:pPr>
        <w:spacing w:before="0" w:after="80" w:line="276" w:lineRule="auto"/>
      </w:pPr>
      <w:r>
        <w:t xml:space="preserve">1. Compute gradient norms of each loss component with respect to classifier head parameters </w:t>
      </w:r>
      <w:r>
        <w:rPr>
          <w:i/>
          <w:color w:val="2C5282"/>
        </w:rPr>
        <w:t>\theta_{\text{head}}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g_{\text{CE}} = \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\nabla_{\theta_{\text{head}}} \mathcal{L}_{\text{CE}}\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_2, \quad g_{\text{Focal}} = \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\nabla_{\theta_{\text{head}}} \mathcal{L}_{\text{Focal}}\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_2, \quad g_{\text{WCE}} = \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\nabla_{\theta_{\text{head}}} \mathcal{L}_{\text{WCE}}\</w:t>
            </w:r>
          </w:p>
        </w:tc>
        <w:tc>
          <w:tcPr>
            <w:tcW w:type="dxa" w:w="1337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_2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2. Calculate relative gradient contributions:</w:t>
      </w:r>
    </w:p>
    <w:p>
      <w:pPr>
        <w:spacing w:before="0" w:after="80" w:line="276" w:lineRule="auto"/>
      </w:pPr>
      <w:r>
        <w:t xml:space="preserve">   </w:t>
      </w:r>
      <w:r>
        <w:rPr>
          <w:i/>
          <w:color w:val="2C5282"/>
        </w:rPr>
      </w:r>
      <w:r>
        <w:t>\hat{w}_k = \frac{g_k}{g_{\text{CE}} + g_{\text{Focal}} + g_{\text{WCE}}} \quad \text{for } k \in \{\text{CE}, \text{Focal}, \text{WCE}\}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>3. Apply Exponential Moving Average (EMA) smoothing (</w:t>
      </w:r>
      <w:r>
        <w:rPr>
          <w:i/>
          <w:color w:val="2C5282"/>
        </w:rPr>
        <w:t>\eta = 0.90</w:t>
      </w:r>
      <w:r>
        <w:t>):</w:t>
      </w:r>
    </w:p>
    <w:p>
      <w:pPr>
        <w:spacing w:before="0" w:after="80" w:line="276" w:lineRule="auto"/>
      </w:pPr>
      <w:r>
        <w:t xml:space="preserve">   </w:t>
      </w:r>
      <w:r>
        <w:rPr>
          <w:i/>
          <w:color w:val="2C5282"/>
        </w:rPr>
      </w:r>
      <w:r>
        <w:t>\bar{w}_{k, t} = \eta \cdot \bar{w}_{k, t-1} + (1 - \eta) \cdot \hat{w}_k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 xml:space="preserve">4. Compute Softmax scaling with temperature </w:t>
      </w:r>
      <w:r>
        <w:rPr>
          <w:i/>
          <w:color w:val="2C5282"/>
        </w:rPr>
        <w:t>\tau = 1.0</w:t>
      </w:r>
      <w:r>
        <w:t>:</w:t>
      </w:r>
    </w:p>
    <w:p>
      <w:pPr>
        <w:spacing w:before="0" w:after="80" w:line="276" w:lineRule="auto"/>
      </w:pPr>
      <w:r>
        <w:t xml:space="preserve">   </w:t>
      </w:r>
      <w:r>
        <w:rPr>
          <w:i/>
          <w:color w:val="2C5282"/>
        </w:rPr>
      </w:r>
      <w:r>
        <w:t>\alpha_t, \beta_t, \gamma_t = \text{Softmax}\left(\frac{\bar{w}_{\text{CE}, t}}{\tau}, \frac{\bar{w}_{\text{Focal}, t}}{\tau}, \frac{\bar{w}_{\text{WCE}, t}}{\tau}\right)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 xml:space="preserve">5. Apply Hard Gradient Clipping </w:t>
      </w:r>
      <w:r>
        <w:rPr>
          <w:i/>
          <w:color w:val="2C5282"/>
        </w:rPr>
        <w:t>[0.05, 0.80]</w:t>
      </w:r>
      <w:r>
        <w:t xml:space="preserve"> to guarantee no single loss component dominates or vanishes.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3.3 Phase 1 Baseline Loss Experiments &amp; Comparative Matrix</w:t>
      </w:r>
    </w:p>
    <w:p>
      <w:pPr>
        <w:spacing w:before="0" w:after="80" w:line="276" w:lineRule="auto"/>
      </w:pPr>
      <w:r>
        <w:t>Experiments comparing Standard CE, Weighted CE, Focal Loss, and Gradient Adaptive Loss were executed across all datasets: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Loss Function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Precision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Recall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F1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Weighted F1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Best Epoch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Best Val Loss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Standard CE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0.9961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0.9798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0.0282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Weighted CE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0.9809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0.9791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0.9800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0.0732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Focal Loss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0.9968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0.0089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Gradient-Adaptive Hybrid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0.9947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0.9957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0.0248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Standard CE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0.9887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0.8763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0.9814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0.9218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0.9894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0.0223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Weighted CE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0.8640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0.9937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0.9182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0.9887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0.0319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Focal Loss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0.8675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0.9899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0.9191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0.0062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Gradient-Adaptive Hybrid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0.8676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0.9929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0.9203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0.9891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0.0215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Standard CE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0.9459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0.9306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0.8033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0.8275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0.9363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0.1485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Weighted CE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0.6285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0.7779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0.8314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0.7455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0.7040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0.2756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Focal Loss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0.9461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0.9375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0.8024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0.8279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0.9360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0.0451</w:t>
            </w:r>
          </w:p>
        </w:tc>
      </w:tr>
      <w:tr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Gradient-Adaptive Hybrid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0.9464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0.9156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0.8133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0.8305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0.9383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04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0.0412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Value Justification &amp; Analysis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Standard CE Failure on CSE-CIC-IDS2018</w:t>
      </w:r>
      <w:r>
        <w:t xml:space="preserve">: Standard CE achieved 94.59% accuracy but only </w:t>
      </w:r>
      <w:r>
        <w:rPr>
          <w:b/>
        </w:rPr>
        <w:t>80.33% Macro Recall</w:t>
      </w:r>
      <w:r>
        <w:t xml:space="preserve"> due to ignoring rare classes like </w:t>
      </w:r>
      <w:r>
        <w:rPr>
          <w:rFonts w:ascii="Consolas" w:hAnsi="Consolas"/>
          <w:color w:val="805AD5"/>
          <w:sz w:val="19"/>
        </w:rPr>
        <w:t>Infiltration</w:t>
      </w:r>
      <w:r>
        <w:t xml:space="preserve"> and </w:t>
      </w:r>
      <w:r>
        <w:rPr>
          <w:rFonts w:ascii="Consolas" w:hAnsi="Consolas"/>
          <w:color w:val="805AD5"/>
          <w:sz w:val="19"/>
        </w:rPr>
        <w:t>SQL Injection</w:t>
      </w:r>
      <w:r>
        <w:t>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Weighted CE Instability</w:t>
      </w:r>
      <w:r>
        <w:t xml:space="preserve">: Weighted CE caused accuracy to drop to </w:t>
      </w:r>
      <w:r>
        <w:rPr>
          <w:b/>
        </w:rPr>
        <w:t>62.85%</w:t>
      </w:r>
      <w:r>
        <w:t xml:space="preserve"> on CSE-CIC-IDS2018 because fixed high weights (</w:t>
      </w:r>
      <w:r>
        <w:rPr>
          <w:i/>
          <w:color w:val="2C5282"/>
        </w:rPr>
        <w:t>w &gt; 900</w:t>
      </w:r>
      <w:r>
        <w:t>) produced massive gradient spikes that disrupted major class decision boundaries.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Gradient-Adaptive Hybrid Advantage</w:t>
      </w:r>
      <w:r>
        <w:t xml:space="preserve">: The adaptive hybrid loss achieved the highest </w:t>
      </w:r>
      <w:r>
        <w:rPr>
          <w:b/>
        </w:rPr>
        <w:t>Macro F1 (83.05%)</w:t>
      </w:r>
      <w:r>
        <w:t xml:space="preserve"> and </w:t>
      </w:r>
      <w:r>
        <w:rPr>
          <w:b/>
        </w:rPr>
        <w:t>Weighted F1 (93.83%)</w:t>
      </w:r>
      <w:r>
        <w:t xml:space="preserve"> on CSE-CIC-IDS2018 while maintaining smooth convergence in half the required training epochs.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4. Phase 2: Controlled Multimodal Fusion Experiments (6 Fusion Methods)</w:t>
      </w:r>
    </w:p>
    <w:p>
      <w:pPr>
        <w:spacing w:before="0" w:after="80" w:line="276" w:lineRule="auto"/>
      </w:pPr>
      <w:r>
        <w:t>To identify the optimal interaction mechanism between temporal flow embeddings (</w:t>
      </w:r>
      <w:r>
        <w:rPr>
          <w:i/>
          <w:color w:val="2C5282"/>
        </w:rPr>
        <w:t>h_{\text{temp}} \in \mathbb{R}^{64}</w:t>
      </w:r>
      <w:r>
        <w:t>) and graph relational embeddings (</w:t>
      </w:r>
      <w:r>
        <w:rPr>
          <w:i/>
          <w:color w:val="2C5282"/>
        </w:rPr>
        <w:t>h_{\text{rel}} \in \mathbb{R}^{64}</w:t>
      </w:r>
      <w:r>
        <w:t xml:space="preserve">), we implemented and evaluated </w:t>
      </w:r>
      <w:r>
        <w:rPr>
          <w:b/>
        </w:rPr>
        <w:t>6 distinct fusion architectures</w:t>
      </w:r>
      <w:r>
        <w:t>.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4.1 Method 1: Early Concatenation Fusion (`ConcatenationFusion`)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Structural Concept</w:t>
      </w:r>
    </w:p>
    <w:p>
      <w:pPr>
        <w:spacing w:before="0" w:after="80" w:line="276" w:lineRule="auto"/>
      </w:pPr>
      <w:r>
        <w:t xml:space="preserve">Early concatenation joins the temporal and relational embedding vectors into a single </w:t>
      </w:r>
      <w:r>
        <w:rPr>
          <w:i/>
          <w:color w:val="2C5282"/>
        </w:rPr>
        <w:t>128</w:t>
      </w:r>
      <w:r>
        <w:t>-dimensional vector, passing it through a linear projection, Batch Normalization, and ReLU activation.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conca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Method 1: Early Concatenation Fusion Architecture Diagram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Mathematical Formulation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h_{\text{concat}} = [h_{\text{temp}} \,\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\, h_{\text{rel}}] \in \mathbb{R}^{128}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i/>
          <w:color w:val="2C5282"/>
        </w:rPr>
      </w:r>
      <w:r>
        <w:t>h_{\text{fused}} = \text{ReLU}\left(\text{BatchNorm}\left(W_c \cdot h_{\text{concat}} + b_c\right)\right)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4.2 Method 2: Adaptive Gated Fusion (`GatedAdaptiveFusion`)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Structural Concept</w:t>
      </w:r>
    </w:p>
    <w:p>
      <w:pPr>
        <w:spacing w:before="0" w:after="80" w:line="276" w:lineRule="auto"/>
      </w:pPr>
      <w:r>
        <w:t xml:space="preserve">Adaptive Gated Fusion computes a dynamic element-wise gating vector </w:t>
      </w:r>
      <w:r>
        <w:rPr>
          <w:i/>
          <w:color w:val="2C5282"/>
        </w:rPr>
        <w:t>g \in [0, 1]^{64}</w:t>
      </w:r>
      <w:r>
        <w:t xml:space="preserve"> using a sigmoid network. The gate dynamically weights the relative importance of temporal versus relational features per sample.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ga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Method 2: Adaptive Gated Fusion Architecture Diagram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Mathematical Formulation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g = \sigma\left(W_g [h_{\text{temp}} \,\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\, h_{\text{rel}}] + b_g\right)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i/>
          <w:color w:val="2C5282"/>
        </w:rPr>
      </w:r>
      <w:r>
        <w:t>h_{\text{fused}} = g \odot h_{\text{temp}} + (1 - g) \odot h_{\text{rel}}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4.3 Method 3: Bilinear Tensor Product Fusion (`BilinearTensorFusion`)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Structural Concept</w:t>
      </w:r>
    </w:p>
    <w:p>
      <w:pPr>
        <w:spacing w:before="0" w:after="80" w:line="276" w:lineRule="auto"/>
      </w:pPr>
      <w:r>
        <w:t>Bilinear Tensor Fusion models explicit second-order cross-modality feature interactions (</w:t>
      </w:r>
      <w:r>
        <w:rPr>
          <w:i/>
          <w:color w:val="2C5282"/>
        </w:rPr>
        <w:t>h_{\text{temp}, i} \cdot h_{\text{rel}, j}</w:t>
      </w:r>
      <w:r>
        <w:t xml:space="preserve">) via a learned 3D weight tensor </w:t>
      </w:r>
      <w:r>
        <w:rPr>
          <w:i/>
          <w:color w:val="2C5282"/>
        </w:rPr>
        <w:t>W \in \mathbb{R}^{64 \times 64 \times 64}</w:t>
      </w:r>
      <w:r>
        <w:t>, combined with a linear skip connection.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bilin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Method 3: Bilinear Tensor Product Fusion Architecture Diagram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Mathematical Formulation</w:t>
      </w:r>
    </w:p>
    <w:p>
      <w:pPr>
        <w:spacing w:before="0" w:after="80" w:line="276" w:lineRule="auto"/>
      </w:pPr>
      <w:r>
        <w:rPr>
          <w:i/>
          <w:color w:val="2C5282"/>
        </w:rPr>
      </w:r>
      <w:r>
        <w:t>h_{\text{bilinear}} = h_{\text{temp}}^T W h_{\text{rel}} + b_b</w:t>
      </w:r>
      <w:r>
        <w:rPr>
          <w:i/>
          <w:color w:val="2C528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h_{\text{linear}} = W_l [h_{\text{temp}} \,\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\, h_{\text{rel}}] + b_l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rPr>
          <w:i/>
          <w:color w:val="2C5282"/>
        </w:rPr>
      </w:r>
      <w:r>
        <w:t>h_{\text{fused}} = \text{LayerNorm}\left(\text{ReLU}\left(h_{\text{bilinear}} + h_{\text{linear}}\right)\right)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4.4 Method 4: Cross-Attention Co-Attention Fusion (`CrossAttentionFusion`)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Structural Concept</w:t>
      </w:r>
    </w:p>
    <w:p>
      <w:pPr>
        <w:spacing w:before="0" w:after="80" w:line="276" w:lineRule="auto"/>
      </w:pPr>
      <w:r>
        <w:t>Cross-Attention uses Multi-Head Attention to allow temporal representations to query relational graph features, and vice versa.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cross_atten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Method 4: Cross-Attention Co-Attention Fusion Architecture Diagram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Mathematical Formulation</w:t>
      </w:r>
    </w:p>
    <w:p>
      <w:pPr>
        <w:spacing w:before="0" w:after="80" w:line="276" w:lineRule="auto"/>
      </w:pPr>
      <w:r>
        <w:rPr>
          <w:i/>
          <w:color w:val="2C5282"/>
        </w:rPr>
      </w:r>
      <w:r>
        <w:t>h_{\text{temp}\rightarrow\text{rel}} = \text{MultiHeadAttn}\left(Q=h_{\text{temp}}, K=h_{\text{rel}}, V=h_{\text{rel}}\right)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rPr>
          <w:i/>
          <w:color w:val="2C5282"/>
        </w:rPr>
      </w:r>
      <w:r>
        <w:t>h_{\text{rel}\rightarrow\text{temp}} = \text{MultiHeadAttn}\left(Q=h_{\text{rel}}, K=h_{\text{temp}}, V=h_{\text{temp}}\right)</w:t>
      </w:r>
      <w:r>
        <w:rPr>
          <w:i/>
          <w:color w:val="2C5282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h_{\text{fused}} = \text{ReLU}\left(W_a [h_{\text{temp}\rightarrow\text{rel}} \,\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\, h_{\text{rel}\rightarrow\text{temp}}] + b_a\right)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4.5 Method 5: Decision-Level Ensemble Fusion (`DecisionLevelEnsembleFusion`)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Structural Concept</w:t>
      </w:r>
    </w:p>
    <w:p>
      <w:pPr>
        <w:spacing w:before="0" w:after="80" w:line="276" w:lineRule="auto"/>
      </w:pPr>
      <w:r>
        <w:t xml:space="preserve">Decision-Level Ensemble processes temporal and relational representations through separate parallel classifier heads to produce distinct logit predictions, combining them via a learned scalar decision weight </w:t>
      </w:r>
      <w:r>
        <w:rPr>
          <w:i/>
          <w:color w:val="2C5282"/>
        </w:rPr>
        <w:t>\alpha</w:t>
      </w:r>
      <w:r>
        <w:t>.</w:t>
      </w:r>
    </w:p>
    <w:p>
      <w:pPr>
        <w:spacing w:before="120" w:after="120"/>
        <w:ind w:left="288" w:right="288"/>
      </w:pPr>
      <w:r>
        <w:rPr>
          <w:rFonts w:ascii="Consolas" w:hAnsi="Consolas"/>
          <w:sz w:val="18"/>
        </w:rPr>
        <w:t>flowchart LR</w:t>
        <w:br/>
        <w:t xml:space="preserve">    ht["h_temp (64d)"] --&gt; HeadT["Temporal Head (Linear 64 -&gt; C)"]</w:t>
        <w:br/>
        <w:t xml:space="preserve">    hr["h_rel (64d)"] --&gt; HeadR["Relational Head (Linear 64 -&gt; C)"]</w:t>
        <w:br/>
        <w:t xml:space="preserve">    </w:t>
        <w:br/>
        <w:t xml:space="preserve">    HeadT --&gt; LogT["Logits_temp"]</w:t>
        <w:br/>
        <w:t xml:space="preserve">    HeadR --&gt; LogR["Logits_rel"]</w:t>
        <w:br/>
        <w:t xml:space="preserve">    </w:t>
        <w:br/>
        <w:t xml:space="preserve">    LogT --&gt; Ens["alpha * Logits_temp + (1 - alpha) * Logits_rel"]</w:t>
        <w:br/>
        <w:t xml:space="preserve">    LogR --&gt; Ens</w:t>
        <w:br/>
        <w:t xml:space="preserve">    </w:t>
        <w:br/>
        <w:t xml:space="preserve">    Alpha["Learned Scalar alpha = Sigmoid(w)"] --&gt; Ens</w:t>
        <w:br/>
        <w:t xml:space="preserve">    Ens --&gt; Out["Final Decision Logits (C)"]</w:t>
        <w:br/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Mathematical Formulation</w:t>
      </w:r>
    </w:p>
    <w:p>
      <w:pPr>
        <w:spacing w:before="0" w:after="80" w:line="276" w:lineRule="auto"/>
      </w:pPr>
      <w:r>
        <w:rPr>
          <w:i/>
          <w:color w:val="2C5282"/>
        </w:rPr>
      </w:r>
      <w:r>
        <w:t>\text{logits}_{\text{temp}} = W_t h_{\text{temp}} + b_t, \quad \text{logits}_{\text{rel}} = W_r h_{\text{rel}} + b_r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rPr>
          <w:i/>
          <w:color w:val="2C5282"/>
        </w:rPr>
      </w:r>
      <w:r>
        <w:t>\alpha = \sigma(w_{\alpha})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rPr>
          <w:i/>
          <w:color w:val="2C5282"/>
        </w:rPr>
      </w:r>
      <w:r>
        <w:t>\text{logits}_{\text{final}} = \alpha \cdot \text{logits}_{\text{temp}} + (1 - \alpha) \cdot \text{logits}_{\text{rel}}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4.6 Method 6: Parameterized Quantum Circuit (PQC) Fusion (`QuantumCircuitFusion`)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Structural Concept &amp; Quantum Mechanics Breakdown</w:t>
      </w:r>
    </w:p>
    <w:p>
      <w:pPr>
        <w:spacing w:before="0" w:after="80" w:line="276" w:lineRule="auto"/>
      </w:pPr>
      <w:r>
        <w:t xml:space="preserve">Quantum PQC Fusion encodes classical embeddings into quantum state vectors using 4 qubits, applies parameterized Single-Qubit Rotation Gates </w:t>
      </w:r>
      <w:r>
        <w:rPr>
          <w:i/>
          <w:color w:val="2C5282"/>
        </w:rPr>
        <w:t>R_y(\theta)</w:t>
      </w:r>
      <w:r>
        <w:t xml:space="preserve"> and Entangling </w:t>
      </w:r>
      <w:r>
        <w:rPr>
          <w:i/>
          <w:color w:val="2C5282"/>
        </w:rPr>
        <w:t>\text{CNOT}</w:t>
      </w:r>
      <w:r>
        <w:t xml:space="preserve"> gates across 2 variational layers, and measures Pauli-Z expectation values to produce quantum-entangled fusion features.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quantum_pq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Method 6: 4-Qubit Parameterized Quantum Circuit (PQC) Fusion Architecture Diagram</w:t>
      </w: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Detailed Quantum Equations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Quantum State Parameter Encoding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\theta_{\text{input}} = \pi \cdot \tanh\left(W_q [h_{\text{temp}} \,\</w:t>
            </w:r>
          </w:p>
        </w:tc>
        <w:tc>
          <w:tcPr>
            <w:tcW w:type="dxa" w:w="46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\, h_{\text{rel}}] + b_q\right) \in [-\pi, \pi]^4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 xml:space="preserve">2. </w:t>
      </w:r>
      <w:r>
        <w:rPr>
          <w:b/>
        </w:rPr>
        <w:t>Single-Qubit Rotation Gate</w:t>
      </w:r>
      <w:r>
        <w:t>:</w:t>
      </w:r>
    </w:p>
    <w:p>
      <w:pPr>
        <w:spacing w:before="0" w:after="80" w:line="276" w:lineRule="auto"/>
      </w:pPr>
      <w:r>
        <w:t xml:space="preserve">   </w:t>
      </w:r>
      <w:r>
        <w:rPr>
          <w:i/>
          <w:color w:val="2C5282"/>
        </w:rPr>
      </w:r>
      <w:r>
        <w:t>R_y(\theta) = \begin{pmatrix} \cos(\theta/2) &amp; -\sin(\theta/2) \\ \sin(\theta/2) &amp; \cos(\theta/2) \end{pmatrix}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 xml:space="preserve">3. </w:t>
      </w:r>
      <w:r>
        <w:rPr>
          <w:b/>
        </w:rPr>
        <w:t>CNOT Entanglement Matrix</w:t>
      </w:r>
      <w:r>
        <w:t>:</w:t>
      </w:r>
    </w:p>
    <w:p>
      <w:pPr>
        <w:spacing w:before="0" w:after="80" w:line="276" w:lineRule="auto"/>
      </w:pPr>
      <w:r>
        <w:t xml:space="preserve">   </w:t>
      </w:r>
      <w:r>
        <w:rPr>
          <w:i/>
          <w:color w:val="2C5282"/>
        </w:rPr>
      </w:r>
      <w:r>
        <w:t>\text{CNOT} = \begin{pmatrix} 1 &amp; 0 &amp; 0 &amp; 0 \\ 0 &amp; 1 &amp; 0 &amp; 0 \\ 0 &amp; 0 &amp; 0 &amp; 1 \\ 0 &amp; 0 &amp; 1 &amp; 0 \end{pmatrix}</w:t>
      </w:r>
      <w:r>
        <w:rPr>
          <w:i/>
          <w:color w:val="2C5282"/>
        </w:rPr>
      </w:r>
    </w:p>
    <w:p>
      <w:pPr>
        <w:spacing w:before="0" w:after="80" w:line="276" w:lineRule="auto"/>
      </w:pPr>
      <w:r>
        <w:t xml:space="preserve">4. </w:t>
      </w:r>
      <w:r>
        <w:rPr>
          <w:b/>
        </w:rPr>
        <w:t>Pauli-Z Expectation Value Measurement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\langle Z_i \rangle = \langle \psi_{\text{out}}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Z_i</w:t>
            </w:r>
          </w:p>
        </w:tc>
        <w:tc>
          <w:tcPr>
            <w:tcW w:type="dxa" w:w="31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\psi_{\text{out}} \rangle = \cos\left(2 \cdot \theta_{\text{total}, i}\right)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4.7 Master Fusion Experimental Results &amp; Comparison Matrix</w:t>
      </w:r>
    </w:p>
    <w:p>
      <w:pPr>
        <w:spacing w:before="0" w:after="80" w:line="276" w:lineRule="auto"/>
      </w:pPr>
      <w:r>
        <w:t xml:space="preserve">All 6 fusion architectures were evaluated using </w:t>
      </w:r>
      <w:r>
        <w:rPr>
          <w:rFonts w:ascii="Consolas" w:hAnsi="Consolas"/>
          <w:color w:val="805AD5"/>
          <w:sz w:val="19"/>
        </w:rPr>
        <w:t>GradientAdaptiveHybridLoss</w:t>
      </w:r>
      <w:r>
        <w:t xml:space="preserve"> across all 3 benchmark datasets: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Fusion Method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Precision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Recall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F1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Weighted F1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Best Epoch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Time (s)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Final \alpha_{\text{CE}}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Final \beta_{\text{Focal}}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Final \gamma_{\text{WCE}}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Concatenation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0.9866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156.9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0.2875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0.6483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0.0643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Gated Adaptive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0.9957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135.3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0.2938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0.6421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0.0641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Bilinear Tensor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0.9954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325.9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0.3334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0.5927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0.0738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Cross-Attention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0.9863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177.0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0.2815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0.6571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0.0614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Decision Ensemble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0.9960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0.9787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119.1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0.4234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0.5147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0.0620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Quantum PQC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0.9831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0.9778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0.9804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173.4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0.4213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0.5038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0.0749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Concatenation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0.8666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0.9908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0.9189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140.7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0.4876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0.4466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0.0657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Gated Adaptive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0.8657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0.9938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0.9193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98.4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0.4690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0.4629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0.0681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Bilinear Tensor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0.8676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0.9929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0.9203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0.9891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451.1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0.4107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0.5310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0.0583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Cross-Attention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0.8643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0.9927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0.9180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238.9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0.4153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0.5280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0.0567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Decision Ensemble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0.8630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0.9936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0.9174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122.0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0.3992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0.5321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0.0687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Quantum PQC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0.8625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0.9164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120.3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0.4455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0.4737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0.0808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Concatenation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0.9446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0.9030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0.8123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0.8328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0.9375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281.9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0.4544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0.4462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0.0994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Gated Adaptive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0.9458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0.9183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0.8097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0.8347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0.9377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275.3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0.4643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0.4387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0.0970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Bilinear Tensor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0.9464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0.9156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0.8133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0.8305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0.9383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667.6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0.4624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0.4410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0.0966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Cross-Attention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0.9456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0.9146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0.8076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0.8325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0.9372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339.4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0.4634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0.4381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0.0985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Decision Ensemble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0.9455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0.9103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0.8132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0.8263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0.9356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278.4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0.4349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0.4681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0.0971</w:t>
            </w:r>
          </w:p>
        </w:tc>
      </w:tr>
      <w:tr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Quantum PQC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0.9414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0.8592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0.7688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0.7804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0.9277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296.2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0.4628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0.4403</w:t>
            </w:r>
          </w:p>
        </w:tc>
        <w:tc>
          <w:tcPr>
            <w:tcW w:type="dxa" w:w="78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0.0969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5. Phase 3: Modality Ablation Study (`temporal_only` vs `relational_only` vs `both`)</w:t>
      </w:r>
    </w:p>
    <w:p>
      <w:pPr>
        <w:spacing w:before="0" w:after="80" w:line="276" w:lineRule="auto"/>
      </w:pPr>
      <w:r>
        <w:t xml:space="preserve">To scientifically validate the necessity of dual-modality fusion, we evaluated single-modality baselines against full multimodal fusion under </w:t>
      </w:r>
      <w:r>
        <w:rPr>
          <w:b/>
        </w:rPr>
        <w:t>Strict Feature-Subset Isolation</w:t>
      </w:r>
      <w:r>
        <w:t>: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`temporal_only`</w:t>
      </w:r>
      <w:r>
        <w:t>: GRU encoder operating strictly on Temporal Features (</w:t>
      </w:r>
      <w:r>
        <w:rPr>
          <w:i/>
          <w:color w:val="2C5282"/>
        </w:rPr>
        <w:t>X_{\text{temp}}</w:t>
      </w:r>
      <w:r>
        <w:t>).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`relational_only`</w:t>
      </w:r>
      <w:r>
        <w:t>: Graph Relational encoder operating strictly on Relational Features (</w:t>
      </w:r>
      <w:r>
        <w:rPr>
          <w:i/>
          <w:color w:val="2C5282"/>
        </w:rPr>
        <w:t>X_{\text{rel}}</w:t>
      </w:r>
      <w:r>
        <w:t>).</w:t>
      </w:r>
    </w:p>
    <w:p>
      <w:pPr>
        <w:spacing w:before="0" w:after="80" w:line="276" w:lineRule="auto"/>
        <w:ind w:left="360"/>
      </w:pPr>
      <w:r>
        <w:rPr>
          <w:b/>
          <w:color w:val="2B6CB0"/>
        </w:rPr>
        <w:t xml:space="preserve">• </w:t>
      </w:r>
      <w:r>
        <w:rPr>
          <w:b/>
        </w:rPr>
        <w:t>`both`</w:t>
      </w:r>
      <w:r>
        <w:t xml:space="preserve">: Multimodal Fusion combining </w:t>
      </w:r>
      <w:r>
        <w:rPr>
          <w:i/>
          <w:color w:val="2C5282"/>
        </w:rPr>
        <w:t>X_{\text{temp}}</w:t>
      </w:r>
      <w:r>
        <w:t xml:space="preserve"> + </w:t>
      </w:r>
      <w:r>
        <w:rPr>
          <w:i/>
          <w:color w:val="2C5282"/>
        </w:rPr>
        <w:t>X_{\text{rel}}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Dataset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Architecture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Macro F1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Weighted F1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Benign Recall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Attack Macro Recall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FPR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FNR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Trainable Params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Time (s)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Temporal Only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0.9866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0.9944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0.9995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0.9571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0.0217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0.0217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45,218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459.8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Relational Only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0.9892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0.9741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0.9891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0.9982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0.9320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15,716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312.4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NF-CSE-CIC-IDS2018-v2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Both (Fused)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0.9947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0.9871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0.9946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0.9996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0.9582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0.0211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0.0211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60,934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135.3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Temporal Only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0.9861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0.9868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45,218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280.1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Relational Only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0.9754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0.8845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0.9760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0.9821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0.9610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0.0489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0.0489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16,228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195.6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NF-UNSW-NB15-v2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Both (Fused)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0.9880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0.9193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0.9889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0.9938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0.0245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61,446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98.4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Temporal Only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0.9385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0.7982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0.9845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0.7712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0.0512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0.0512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46,223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410.5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Relational Only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0.9124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0.7415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0.9056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0.9712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0.7125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0.0785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0.0785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15,311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245.2</w:t>
            </w:r>
          </w:p>
        </w:tc>
      </w:tr>
      <w:tr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CSE-CIC-IDS2018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Both (Fused)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0.9458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0.8347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0.9377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0.9912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0.8097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0.0385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0.0385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61,539</w:t>
            </w:r>
          </w:p>
        </w:tc>
        <w:tc>
          <w:tcPr>
            <w:tcW w:type="dxa" w:w="851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275.3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</w:pPr>
      <w:r>
        <w:rPr>
          <w:rFonts w:ascii="Calibri" w:hAnsi="Calibri"/>
          <w:b/>
          <w:color w:val="4A5568"/>
          <w:sz w:val="22"/>
        </w:rPr>
        <w:t>Key Ablation Insights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Complementary Modality Synergy</w:t>
      </w:r>
      <w:r>
        <w:t>: Multimodal fusion (</w:t>
      </w:r>
      <w:r>
        <w:rPr>
          <w:rFonts w:ascii="Consolas" w:hAnsi="Consolas"/>
          <w:color w:val="805AD5"/>
          <w:sz w:val="19"/>
        </w:rPr>
        <w:t>both</w:t>
      </w:r>
      <w:r>
        <w:t xml:space="preserve">) consistently outperforms both single-modality baselines across all 3 benchmark datasets. On CSE-CIC-IDS2018, Macro F1 increases from </w:t>
      </w:r>
      <w:r>
        <w:rPr>
          <w:b/>
        </w:rPr>
        <w:t>79.82%</w:t>
      </w:r>
      <w:r>
        <w:t xml:space="preserve"> (Temporal Only) and </w:t>
      </w:r>
      <w:r>
        <w:rPr>
          <w:b/>
        </w:rPr>
        <w:t>74.15%</w:t>
      </w:r>
      <w:r>
        <w:t xml:space="preserve"> (Relational Only) to </w:t>
      </w:r>
      <w:r>
        <w:rPr>
          <w:b/>
        </w:rPr>
        <w:t>83.47%</w:t>
      </w:r>
      <w:r>
        <w:t xml:space="preserve"> (Both Fused).</w:t>
      </w:r>
    </w:p>
    <w:p>
      <w:pPr>
        <w:spacing w:before="0" w:after="80" w:line="276" w:lineRule="auto"/>
      </w:pPr>
      <w:r>
        <w:t xml:space="preserve">2. </w:t>
      </w:r>
      <w:r>
        <w:rPr>
          <w:b/>
        </w:rPr>
        <w:t>Reduced False Positive Rates</w:t>
      </w:r>
      <w:r>
        <w:t xml:space="preserve">: Combining graph topological features with inter-arrival flow temporal features reduces the NIDS False Positive Rate (FPR) from 5.12% down to </w:t>
      </w:r>
      <w:r>
        <w:rPr>
          <w:b/>
        </w:rPr>
        <w:t>3.85%</w:t>
      </w:r>
      <w:r>
        <w:t>.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6. Phase 4: Computational Overhead &amp; Security Audits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6.1 Computational Overhead &amp; Inference Speed Benchmark</w:t>
      </w:r>
    </w:p>
    <w:p>
      <w:pPr>
        <w:spacing w:before="0" w:after="80" w:line="276" w:lineRule="auto"/>
      </w:pPr>
      <w:r>
        <w:t>All inference benchmarks were evaluated on GPU hardware with batch size = 64: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A365D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Fusion Architecture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Trainable Parameters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Training Time (s / epoch)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Inference Speed (ms / sample)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Throughput (samples / sec)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Concatenation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60,934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14.2 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0.089 ms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11,235 samples/sec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Gated Adaptive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61,446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12.3 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0.084 ms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11,904 samples/sec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Bilinear Tensor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69,634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29.6 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0.214 ms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4,672 samples/sec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Cross-Attention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78,338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16.1 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0.115 ms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8,695 samples/sec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Decision Ensemble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61,066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11.9 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0.082 ms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12,195 samples/sec</w:t>
            </w:r>
          </w:p>
        </w:tc>
      </w:tr>
      <w:tr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Quantum PQC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53,122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15.7 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0.105 ms</w:t>
            </w:r>
          </w:p>
        </w:tc>
        <w:tc>
          <w:tcPr>
            <w:tcW w:type="dxa" w:w="187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9,523 samples/sec</w:t>
            </w:r>
          </w:p>
        </w:tc>
      </w:tr>
    </w:tbl>
    <w:p>
      <w:pPr>
        <w:spacing w:before="0" w:after="120"/>
      </w:pPr>
    </w:p>
    <w:p>
      <w:pPr>
        <w:spacing w:before="0" w:after="80" w:line="276" w:lineRule="auto"/>
      </w:pPr>
      <w:r>
        <w:t>---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6.2 Security &amp; Forensic Leakage Reconciliation Audit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Zero Data Leakage Verification</w:t>
      </w:r>
      <w:r>
        <w:t>: Mandatory leakage checks (</w:t>
      </w:r>
      <w:r>
        <w:rPr>
          <w:rFonts w:ascii="Consolas" w:hAnsi="Consolas"/>
          <w:color w:val="805AD5"/>
          <w:sz w:val="19"/>
        </w:rPr>
        <w:t>run_mandatory_leakage_checks</w:t>
      </w:r>
      <w:r>
        <w:t>) confirmed 0 exact row overlaps between train/val/test splits across all experiments.</w:t>
      </w:r>
    </w:p>
    <w:p>
      <w:pPr>
        <w:spacing w:before="0" w:after="80" w:line="276" w:lineRule="auto"/>
      </w:pPr>
      <w:r>
        <w:t xml:space="preserve">2. </w:t>
      </w:r>
      <w:r>
        <w:rPr>
          <w:b/>
        </w:rPr>
        <w:t>Scaler Hygiene</w:t>
      </w:r>
      <w:r>
        <w:t xml:space="preserve">: </w:t>
      </w:r>
      <w:r>
        <w:rPr>
          <w:rFonts w:ascii="Consolas" w:hAnsi="Consolas"/>
          <w:color w:val="805AD5"/>
          <w:sz w:val="19"/>
        </w:rPr>
        <w:t>StandardScaler</w:t>
      </w:r>
      <w:r>
        <w:t xml:space="preserve"> parameters were confirmed to be derived 100% from the training split.</w:t>
      </w:r>
    </w:p>
    <w:p>
      <w:pPr>
        <w:spacing w:before="0" w:after="80" w:line="276" w:lineRule="auto"/>
      </w:pPr>
      <w:r>
        <w:t xml:space="preserve">3. </w:t>
      </w:r>
      <w:r>
        <w:rPr>
          <w:b/>
        </w:rPr>
        <w:t>No Shortcut Feature Memorization</w:t>
      </w:r>
      <w:r>
        <w:t>: All IP addresses, timestamps, and ephemeral source ports were 100% purged.</w:t>
      </w:r>
    </w:p>
    <w:p>
      <w:pPr>
        <w:spacing w:before="0" w:after="80" w:line="276" w:lineRule="auto"/>
      </w:pPr>
      <w:r>
        <w:t>---</w:t>
      </w:r>
    </w:p>
    <w:p>
      <w:pPr>
        <w:keepNext/>
        <w:spacing w:before="280" w:after="120"/>
      </w:pPr>
      <w:r>
        <w:rPr>
          <w:rFonts w:ascii="Calibri" w:hAnsi="Calibri"/>
          <w:b/>
          <w:color w:val="2B6CB0"/>
          <w:sz w:val="30"/>
        </w:rPr>
        <w:t>7. Conclusions &amp; Deployment Recommendations</w:t>
      </w:r>
    </w:p>
    <w:p>
      <w:pPr>
        <w:keepNext/>
        <w:spacing w:before="200" w:after="80"/>
      </w:pPr>
      <w:r>
        <w:rPr>
          <w:rFonts w:ascii="Calibri" w:hAnsi="Calibri"/>
          <w:b/>
          <w:color w:val="2C5282"/>
          <w:sz w:val="25"/>
        </w:rPr>
        <w:t>Core Research Summary</w:t>
      </w:r>
    </w:p>
    <w:p>
      <w:pPr>
        <w:spacing w:before="0" w:after="80" w:line="276" w:lineRule="auto"/>
      </w:pPr>
      <w:r>
        <w:t xml:space="preserve">1. </w:t>
      </w:r>
      <w:r>
        <w:rPr>
          <w:b/>
        </w:rPr>
        <w:t>Optimal Architecture</w:t>
      </w:r>
      <w:r>
        <w:t xml:space="preserve">: </w:t>
      </w:r>
      <w:r>
        <w:rPr>
          <w:b/>
        </w:rPr>
        <w:t>Gated Adaptive Fusion (`GatedAdaptiveFusion`)</w:t>
      </w:r>
      <w:r>
        <w:t xml:space="preserve"> combined with </w:t>
      </w:r>
      <w:r>
        <w:rPr>
          <w:b/>
        </w:rPr>
        <w:t>Gradient-Adaptive Hybrid Loss (`GradientAdaptiveHybridLoss`)</w:t>
      </w:r>
      <w:r>
        <w:t xml:space="preserve"> yields the optimal balance of detection accuracy (</w:t>
      </w:r>
      <w:r>
        <w:rPr>
          <w:b/>
        </w:rPr>
        <w:t>94.58%</w:t>
      </w:r>
      <w:r>
        <w:t xml:space="preserve"> on 15-class CSE-CIC-IDS2018, </w:t>
      </w:r>
      <w:r>
        <w:rPr>
          <w:b/>
        </w:rPr>
        <w:t>99.47%</w:t>
      </w:r>
      <w:r>
        <w:t xml:space="preserve"> on NF-CSE-CIC-IDS2018-v2), macro F1-score (</w:t>
      </w:r>
      <w:r>
        <w:rPr>
          <w:b/>
        </w:rPr>
        <w:t>83.47%</w:t>
      </w:r>
      <w:r>
        <w:t>), fast inference (</w:t>
      </w:r>
      <w:r>
        <w:rPr>
          <w:b/>
        </w:rPr>
        <w:t>0.084 ms/sample</w:t>
      </w:r>
      <w:r>
        <w:t>), and training efficiency.</w:t>
      </w:r>
    </w:p>
    <w:p>
      <w:pPr>
        <w:spacing w:before="0" w:after="80" w:line="276" w:lineRule="auto"/>
      </w:pPr>
      <w:r>
        <w:t xml:space="preserve">2. </w:t>
      </w:r>
      <w:r>
        <w:rPr>
          <w:b/>
        </w:rPr>
        <w:t>Loss Function Innovation</w:t>
      </w:r>
      <w:r>
        <w:t>: Dynamic gradient norm tracking prevents loss collapse on extreme class imbalance (964:1), ensuring robust generalization across rare attack vectors.</w:t>
      </w:r>
    </w:p>
    <w:p>
      <w:pPr>
        <w:spacing w:before="0" w:after="80" w:line="276" w:lineRule="auto"/>
      </w:pPr>
      <w:r>
        <w:t xml:space="preserve">3. </w:t>
      </w:r>
      <w:r>
        <w:rPr>
          <w:b/>
        </w:rPr>
        <w:t>Modality Complementarity</w:t>
      </w:r>
      <w:r>
        <w:t xml:space="preserve">: Ablation experiments confirm that fusing temporal flow dynamics with graph relational topology yields a </w:t>
      </w:r>
      <w:r>
        <w:rPr>
          <w:b/>
        </w:rPr>
        <w:t>+3.65% Macro F1 gain</w:t>
      </w:r>
      <w:r>
        <w:t xml:space="preserve"> over temporal-only models and a </w:t>
      </w:r>
      <w:r>
        <w:rPr>
          <w:b/>
        </w:rPr>
        <w:t>+9.32% Macro F1 gain</w:t>
      </w:r>
      <w:r>
        <w:t xml:space="preserve"> over relational-only models.</w:t>
      </w:r>
    </w:p>
    <w:p>
      <w:pPr>
        <w:spacing w:before="320" w:after="120"/>
      </w:pPr>
      <w:r>
        <w:rPr>
          <w:rFonts w:ascii="Calibri" w:hAnsi="Calibri"/>
          <w:b/>
          <w:color w:val="1A365D"/>
          <w:sz w:val="32"/>
        </w:rPr>
        <w:t>8. Experimental Confusion Matrices &amp; Loss Curves Gallery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e_cic_ids2018_gated_c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Confusion Matrix: CSE-CIC-IDS2018 Gated Adaptive Fusion (15 Classes)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e_cic_ids2018_gated_loss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Loss Curve: CSE-CIC-IDS2018 Gated Adaptive Fusion Training vs Validation Loss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_cse_cic_ids2018_v2_gated_c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Confusion Matrix: NF-CSE-CIC-IDS2018-v2 Gated Adaptive Fusion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_cse_cic_ids2018_v2_gated_loss_cur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Loss Curve: NF-CSE-CIC-IDS2018-v2 Gated Adaptive Fusion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_unsw_nb15_v2_gated_c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Confusion Matrix: NF-UNSW-NB15-v2 Gated Adaptive Fusion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f_unsw_nb15_v2_gated_loss_curv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Loss Curve: NF-UNSW-NB15-v2 Gated Adaptive Fusion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56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e_cic_ids2018_quantum_pqc_c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Confusion Matrix: CSE-CIC-IDS2018 Quantum PQC Fusion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4880" cy="2971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e_cic_ids2018_quantum_pqc_loss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4A5568"/>
          <w:sz w:val="19"/>
        </w:rPr>
        <w:t>Figure: Loss Curve: CSE-CIC-IDS2018 Quantum PQC Fusion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