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E965" w14:textId="07617E8C" w:rsidR="00227CDD" w:rsidRDefault="00A33E2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E2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Difference between HTTP1.1 vs HTTP2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24073A9" w14:textId="3DA1FA14" w:rsidR="00DB2E4E" w:rsidRDefault="00DB2E4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3A963" w14:textId="330A4910" w:rsidR="00DB2E4E" w:rsidRDefault="00DB2E4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HTTP1.1:</w:t>
      </w:r>
    </w:p>
    <w:p w14:paraId="34A4614A" w14:textId="5AC9CF60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In HTTP/1.1, flow control relies on the underlying TCP connection. </w:t>
      </w:r>
    </w:p>
    <w:p w14:paraId="0F618CCE" w14:textId="0B2583A6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When this connection initiates, both client and server establish their buffer sizes using their system default settings. </w:t>
      </w:r>
    </w:p>
    <w:p w14:paraId="7FD90A38" w14:textId="39382EC1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>If the receiver’s buffer is partially filled with data, it will tell the sender its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receive window</w:t>
      </w:r>
      <w:r>
        <w:rPr>
          <w:rFonts w:ascii="Arial" w:hAnsi="Arial" w:cs="Arial"/>
          <w:color w:val="000000"/>
          <w:sz w:val="27"/>
          <w:szCs w:val="27"/>
        </w:rPr>
        <w:t xml:space="preserve">, i.e., the amount of available space that remains in its buffer. </w:t>
      </w:r>
    </w:p>
    <w:p w14:paraId="32591CE1" w14:textId="3B666579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>This receive window is advertised in a signal known as an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ACK packet</w:t>
      </w:r>
      <w:r>
        <w:rPr>
          <w:rFonts w:ascii="Arial" w:hAnsi="Arial" w:cs="Arial"/>
          <w:color w:val="000000"/>
          <w:sz w:val="27"/>
          <w:szCs w:val="27"/>
        </w:rPr>
        <w:t>, which is the data packet that the receiver sends to acknowledge that it received the opening signal.</w:t>
      </w:r>
    </w:p>
    <w:p w14:paraId="1B3C3CAC" w14:textId="624FB81C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</w:t>
      </w:r>
      <w:r>
        <w:rPr>
          <w:rFonts w:ascii="Arial" w:hAnsi="Arial" w:cs="Arial"/>
          <w:color w:val="000000"/>
          <w:sz w:val="27"/>
          <w:szCs w:val="27"/>
        </w:rPr>
        <w:t xml:space="preserve"> If this advertised receive window size is zero, the sender will send no more data until the client clears its internal buffer and then requests to resume data transmission. </w:t>
      </w:r>
    </w:p>
    <w:p w14:paraId="2CA1CC85" w14:textId="6EE24A33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>It is important to note here that using receive windows based on the underlying TCP connection can only implement flow control on either end of the connection.</w:t>
      </w:r>
    </w:p>
    <w:p w14:paraId="7A457DF6" w14:textId="56FE34E3" w:rsidR="00DB2E4E" w:rsidRDefault="00DB2E4E">
      <w:pPr>
        <w:rPr>
          <w:rFonts w:ascii="Arial" w:hAnsi="Arial" w:cs="Arial"/>
          <w:color w:val="000000"/>
          <w:sz w:val="27"/>
          <w:szCs w:val="27"/>
        </w:rPr>
      </w:pPr>
    </w:p>
    <w:p w14:paraId="713FBF4E" w14:textId="19D96007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HTTP.2:</w:t>
      </w:r>
    </w:p>
    <w:p w14:paraId="322320CF" w14:textId="5D390233" w:rsidR="00DB2E4E" w:rsidRPr="00DB2E4E" w:rsidRDefault="00DB2E4E" w:rsidP="00DB2E4E">
      <w:r>
        <w:t xml:space="preserve">* </w:t>
      </w:r>
      <w:r w:rsidRPr="00DB2E4E">
        <w:t xml:space="preserve">HTTP/2 multiplexes streams of data within a single TCP connection. </w:t>
      </w:r>
    </w:p>
    <w:p w14:paraId="27C2A606" w14:textId="1989F998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As a result, receive windows on the level of the TCP connection are not sufficient to regulate the delivery of individual streams. </w:t>
      </w:r>
    </w:p>
    <w:p w14:paraId="3E3C9B04" w14:textId="463D54A0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HTTP/2 solves this problem by allowing the client and server to implement their own flow controls, rather than relying on the transport layer. </w:t>
      </w:r>
    </w:p>
    <w:p w14:paraId="15742256" w14:textId="08B0692A" w:rsidR="00DB2E4E" w:rsidRDefault="00DB2E4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The application layer communicates the available buffer space, allowing the client and server to set the receive window on the level of the multiplexed streams. </w:t>
      </w:r>
    </w:p>
    <w:p w14:paraId="4345AB55" w14:textId="29A276C8" w:rsidR="00DB2E4E" w:rsidRPr="00A33E21" w:rsidRDefault="00DB2E4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7"/>
          <w:szCs w:val="27"/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>This fine-scale flow control can be modified or maintained after the initial connection via a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i.e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HTMLCode"/>
          <w:rFonts w:ascii="Arial" w:eastAsiaTheme="minorHAnsi" w:hAnsi="Arial" w:cs="Arial"/>
          <w:color w:val="535772"/>
          <w:sz w:val="21"/>
          <w:szCs w:val="21"/>
          <w:shd w:val="clear" w:color="auto" w:fill="F3F5F9"/>
        </w:rPr>
        <w:t>WINDOW_UPDATE</w:t>
      </w:r>
      <w:r>
        <w:rPr>
          <w:rFonts w:ascii="Arial" w:hAnsi="Arial" w:cs="Arial"/>
          <w:color w:val="000000"/>
          <w:sz w:val="27"/>
          <w:szCs w:val="27"/>
        </w:rPr>
        <w:t> frame.</w:t>
      </w:r>
    </w:p>
    <w:sectPr w:rsidR="00DB2E4E" w:rsidRPr="00A3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5D0"/>
    <w:multiLevelType w:val="hybridMultilevel"/>
    <w:tmpl w:val="A1CC8D78"/>
    <w:lvl w:ilvl="0" w:tplc="0CB4B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5874"/>
    <w:multiLevelType w:val="hybridMultilevel"/>
    <w:tmpl w:val="D41CACC8"/>
    <w:lvl w:ilvl="0" w:tplc="745085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73CEC"/>
    <w:multiLevelType w:val="hybridMultilevel"/>
    <w:tmpl w:val="2F9CBD12"/>
    <w:lvl w:ilvl="0" w:tplc="330A9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21"/>
    <w:rsid w:val="00227CDD"/>
    <w:rsid w:val="00780C89"/>
    <w:rsid w:val="00A33E21"/>
    <w:rsid w:val="00D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C93C"/>
  <w15:chartTrackingRefBased/>
  <w15:docId w15:val="{D4CFA54F-F051-472A-B731-6C40D04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2E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2E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E4E"/>
    <w:pPr>
      <w:ind w:left="720"/>
      <w:contextualSpacing/>
    </w:pPr>
  </w:style>
  <w:style w:type="paragraph" w:styleId="NoSpacing">
    <w:name w:val="No Spacing"/>
    <w:uiPriority w:val="1"/>
    <w:qFormat/>
    <w:rsid w:val="00DB2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PRAKASH</dc:creator>
  <cp:keywords/>
  <dc:description/>
  <cp:lastModifiedBy>VIJAY PRAKASH</cp:lastModifiedBy>
  <cp:revision>1</cp:revision>
  <dcterms:created xsi:type="dcterms:W3CDTF">2022-02-18T07:50:00Z</dcterms:created>
  <dcterms:modified xsi:type="dcterms:W3CDTF">2022-02-18T08:19:00Z</dcterms:modified>
</cp:coreProperties>
</file>