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t>MASTER SERVICES AGREEMENT</w:t>
      </w:r>
    </w:p>
    <w:p>
      <w:pPr>
        <w:spacing w:before="0" w:after="0"/>
      </w:pPr>
    </w:p>
    <w:p>
      <w:pPr>
        <w:spacing w:before="0" w:after="0"/>
      </w:pPr>
      <w:r>
        <w:t>Agreement Number: MSA-2024-001</w:t>
      </w:r>
    </w:p>
    <w:p>
      <w:pPr>
        <w:spacing w:before="0" w:after="0"/>
      </w:pPr>
      <w:r>
        <w:t>Date: January 15, 2024</w:t>
      </w:r>
    </w:p>
    <w:p>
      <w:pPr>
        <w:spacing w:before="0" w:after="0"/>
      </w:pPr>
    </w:p>
    <w:p>
      <w:pPr>
        <w:spacing w:before="0" w:after="0"/>
      </w:pPr>
      <w:r>
        <w:t>BETWEEN:</w:t>
      </w:r>
    </w:p>
    <w:p>
      <w:pPr>
        <w:spacing w:before="0" w:after="0"/>
      </w:pPr>
      <w:r>
        <w:t>Meridian Technologies Inc. ("Service Provider")</w:t>
      </w:r>
    </w:p>
    <w:p>
      <w:pPr>
        <w:spacing w:before="0" w:after="0"/>
      </w:pPr>
      <w:r>
        <w:t>123 Innovation Drive, Suite 500</w:t>
      </w:r>
    </w:p>
    <w:p>
      <w:pPr>
        <w:spacing w:before="0" w:after="0"/>
      </w:pPr>
      <w:r>
        <w:t>San Francisco, CA 94105</w:t>
      </w:r>
    </w:p>
    <w:p>
      <w:pPr>
        <w:spacing w:before="0" w:after="0"/>
      </w:pPr>
    </w:p>
    <w:p>
      <w:pPr>
        <w:spacing w:before="0" w:after="0"/>
      </w:pPr>
      <w:r>
        <w:t>AND:</w:t>
      </w:r>
    </w:p>
    <w:p>
      <w:pPr>
        <w:spacing w:before="0" w:after="0"/>
      </w:pPr>
      <w:r>
        <w:t>Acme Corporation ("Client")</w:t>
      </w:r>
    </w:p>
    <w:p>
      <w:pPr>
        <w:spacing w:before="0" w:after="0"/>
      </w:pPr>
      <w:r>
        <w:t>456 Business Park Avenue</w:t>
      </w:r>
    </w:p>
    <w:p>
      <w:pPr>
        <w:spacing w:before="0" w:after="0"/>
      </w:pPr>
      <w:r>
        <w:t>New York, NY 10001</w:t>
      </w:r>
    </w:p>
    <w:p>
      <w:pPr>
        <w:spacing w:before="0" w:after="0"/>
      </w:pPr>
    </w:p>
    <w:p>
      <w:pPr>
        <w:spacing w:before="0" w:after="0"/>
      </w:pPr>
      <w:r>
        <w:t>1. SCOPE OF SERVICES</w:t>
      </w:r>
    </w:p>
    <w:p>
      <w:pPr>
        <w:spacing w:before="0" w:after="0"/>
      </w:pPr>
      <w:r>
        <w:t>The Service Provider agrees to provide the following services to the Client:</w:t>
      </w:r>
    </w:p>
    <w:p>
      <w:pPr>
        <w:spacing w:before="0" w:after="0"/>
      </w:pPr>
      <w:r>
        <w:t>- Software development and maintenance services</w:t>
      </w:r>
    </w:p>
    <w:p>
      <w:pPr>
        <w:spacing w:before="0" w:after="0"/>
      </w:pPr>
      <w:r>
        <w:t>- Cloud infrastructure management</w:t>
      </w:r>
    </w:p>
    <w:p>
      <w:pPr>
        <w:spacing w:before="0" w:after="0"/>
      </w:pPr>
      <w:r>
        <w:t>- Technical support and consulting</w:t>
      </w:r>
    </w:p>
    <w:p>
      <w:pPr>
        <w:spacing w:before="0" w:after="0"/>
      </w:pPr>
      <w:r>
        <w:t>- Data analytics and reporting</w:t>
      </w:r>
    </w:p>
    <w:p>
      <w:pPr>
        <w:spacing w:before="0" w:after="0"/>
      </w:pPr>
    </w:p>
    <w:p>
      <w:pPr>
        <w:spacing w:before="0" w:after="0"/>
      </w:pPr>
      <w:r>
        <w:t>2. TERM AND RENEWAL</w:t>
      </w:r>
    </w:p>
    <w:p>
      <w:pPr>
        <w:spacing w:before="0" w:after="0"/>
      </w:pPr>
      <w:r>
        <w:t>This Agreement shall be effective from January 15, 2024, and shall continue for a period of twenty-four (24) months, unless terminated earlier in accordance with the provisions herein. This Agreement shall automatically renew for successive twelve (12) month periods unless either party provides written notice of non-renewal at least ninety (90) days prior to the expiration of the then-current term.</w:t>
      </w:r>
    </w:p>
    <w:p>
      <w:pPr>
        <w:spacing w:before="0" w:after="0"/>
      </w:pPr>
    </w:p>
    <w:p>
      <w:pPr>
        <w:spacing w:before="0" w:after="0"/>
      </w:pPr>
      <w:r>
        <w:t>3. COMPENSATION</w:t>
      </w:r>
    </w:p>
    <w:p>
      <w:pPr>
        <w:spacing w:before="0" w:after="0"/>
      </w:pPr>
      <w:r>
        <w:t>3.1 The Client shall pay the Service Provider a monthly retainer of $25,000 for the services outlined in Section 1.</w:t>
      </w:r>
    </w:p>
    <w:p>
      <w:pPr>
        <w:spacing w:before="0" w:after="0"/>
      </w:pPr>
      <w:r>
        <w:t>3.2 Additional services requested beyond the scope defined in Section 1 shall be billed at the following rates:</w:t>
      </w:r>
    </w:p>
    <w:p>
      <w:pPr>
        <w:spacing w:before="0" w:after="0"/>
      </w:pPr>
      <w:r>
        <w:t xml:space="preserve">    - Senior Developer: $175/hour</w:t>
      </w:r>
    </w:p>
    <w:p>
      <w:pPr>
        <w:spacing w:before="0" w:after="0"/>
      </w:pPr>
      <w:r>
        <w:t xml:space="preserve">    - Junior Developer: $125/hour</w:t>
      </w:r>
    </w:p>
    <w:p>
      <w:pPr>
        <w:spacing w:before="0" w:after="0"/>
      </w:pPr>
      <w:r>
        <w:t xml:space="preserve">    - Project Manager: $150/hour</w:t>
      </w:r>
    </w:p>
    <w:p>
      <w:pPr>
        <w:spacing w:before="0" w:after="0"/>
      </w:pPr>
      <w:r>
        <w:t xml:space="preserve">    - Technical Consultant: $200/hour</w:t>
      </w:r>
    </w:p>
    <w:p>
      <w:pPr>
        <w:spacing w:before="0" w:after="0"/>
      </w:pPr>
      <w:r>
        <w:t>3.3 All invoices shall be payable within thirty (30) days of receipt.</w:t>
      </w:r>
    </w:p>
    <w:p>
      <w:pPr>
        <w:spacing w:before="0" w:after="0"/>
      </w:pPr>
    </w:p>
    <w:p>
      <w:pPr>
        <w:spacing w:before="0" w:after="0"/>
      </w:pPr>
      <w:r>
        <w:t>4. INTELLECTUAL PROPERTY</w:t>
      </w:r>
    </w:p>
    <w:p>
      <w:pPr>
        <w:spacing w:before="0" w:after="0"/>
      </w:pPr>
      <w:r>
        <w:t>4.1 All work product created by the Service Provider in the performance of this Agreement shall be the exclusive property of the Client.</w:t>
      </w:r>
    </w:p>
    <w:p>
      <w:pPr>
        <w:spacing w:before="0" w:after="0"/>
      </w:pPr>
      <w:r>
        <w:t>4.2 The Service Provider retains ownership of any pre-existing intellectual property, tools, and frameworks used in the delivery of services.</w:t>
      </w:r>
    </w:p>
    <w:p>
      <w:pPr>
        <w:spacing w:before="0" w:after="0"/>
      </w:pPr>
    </w:p>
    <w:p>
      <w:pPr>
        <w:spacing w:before="0" w:after="0"/>
      </w:pPr>
      <w:r>
        <w:t>5. CONFIDENTIALITY</w:t>
      </w:r>
    </w:p>
    <w:p>
      <w:pPr>
        <w:spacing w:before="0" w:after="0"/>
      </w:pPr>
      <w:r>
        <w:t>Both parties agree to maintain the confidentiality of all proprietary information, trade secrets, and business strategies disclosed during the term of this Agreement. This obligation shall survive termination for a period of five (5) years.</w:t>
      </w:r>
    </w:p>
    <w:p>
      <w:pPr>
        <w:spacing w:before="0" w:after="0"/>
      </w:pPr>
    </w:p>
    <w:p>
      <w:pPr>
        <w:spacing w:before="0" w:after="0"/>
      </w:pPr>
      <w:r>
        <w:t>6. LIMITATION OF LIABILITY</w:t>
      </w:r>
    </w:p>
    <w:p>
      <w:pPr>
        <w:spacing w:before="0" w:after="0"/>
      </w:pPr>
      <w:r>
        <w:t>6.1 The Service Provider's total liability under this Agreement shall not exceed the total fees paid by the Client in the twelve (12) months preceding the claim.</w:t>
      </w:r>
    </w:p>
    <w:p>
      <w:pPr>
        <w:spacing w:before="0" w:after="0"/>
      </w:pPr>
      <w:r>
        <w:t>6.2 Neither party shall be liable for indirect, incidental, consequential, or punitive damages.</w:t>
      </w:r>
    </w:p>
    <w:p>
      <w:pPr>
        <w:spacing w:before="0" w:after="0"/>
      </w:pPr>
    </w:p>
    <w:p>
      <w:pPr>
        <w:spacing w:before="0" w:after="0"/>
      </w:pPr>
      <w:r>
        <w:t>7. TERMINATION</w:t>
      </w:r>
    </w:p>
    <w:p>
      <w:pPr>
        <w:spacing w:before="0" w:after="0"/>
      </w:pPr>
      <w:r>
        <w:t>7.1 Either party may terminate this Agreement with ninety (90) days written notice.</w:t>
      </w:r>
    </w:p>
    <w:p>
      <w:pPr>
        <w:spacing w:before="0" w:after="0"/>
      </w:pPr>
      <w:r>
        <w:t>7.2 Either party may terminate immediately in the event of a material breach that remains uncured for thirty (30) days after written notice.</w:t>
      </w:r>
    </w:p>
    <w:p>
      <w:pPr>
        <w:spacing w:before="0" w:after="0"/>
      </w:pPr>
    </w:p>
    <w:p>
      <w:pPr>
        <w:spacing w:before="0" w:after="0"/>
      </w:pPr>
      <w:r>
        <w:t>8. DISPUTE RESOLUTION</w:t>
      </w:r>
    </w:p>
    <w:p>
      <w:pPr>
        <w:spacing w:before="0" w:after="0"/>
      </w:pPr>
      <w:r>
        <w:t>8.1 Any disputes arising under this Agreement shall first be submitted to mediation.</w:t>
      </w:r>
    </w:p>
    <w:p>
      <w:pPr>
        <w:spacing w:before="0" w:after="0"/>
      </w:pPr>
      <w:r>
        <w:t>8.2 If mediation fails, disputes shall be resolved through binding arbitration in accordance with the rules of the American Arbitration Association.</w:t>
      </w:r>
    </w:p>
    <w:p>
      <w:pPr>
        <w:spacing w:before="0" w:after="0"/>
      </w:pPr>
      <w:r>
        <w:t>8.3 The prevailing party shall be entitled to recover reasonable attorney's fees.</w:t>
      </w:r>
    </w:p>
    <w:p>
      <w:pPr>
        <w:spacing w:before="0" w:after="0"/>
      </w:pPr>
    </w:p>
    <w:p>
      <w:pPr>
        <w:spacing w:before="0" w:after="0"/>
      </w:pPr>
      <w:r>
        <w:t>9. GOVERNING LAW</w:t>
      </w:r>
    </w:p>
    <w:p>
      <w:pPr>
        <w:spacing w:before="0" w:after="0"/>
      </w:pPr>
      <w:r>
        <w:t>This Agreement shall be governed by and construed in accordance with the laws of the State of California.</w:t>
      </w:r>
    </w:p>
    <w:p>
      <w:pPr>
        <w:spacing w:before="0" w:after="0"/>
      </w:pPr>
    </w:p>
    <w:p>
      <w:pPr>
        <w:spacing w:before="0" w:after="0"/>
      </w:pPr>
      <w:r>
        <w:t>10. SERVICE LEVEL AGREEMENT</w:t>
      </w:r>
    </w:p>
    <w:p>
      <w:pPr>
        <w:spacing w:before="0" w:after="0"/>
      </w:pPr>
      <w:r>
        <w:t>10.1 System Uptime: The Service Provider guarantees 99.9% uptime for all managed services.</w:t>
      </w:r>
    </w:p>
    <w:p>
      <w:pPr>
        <w:spacing w:before="0" w:after="0"/>
      </w:pPr>
      <w:r>
        <w:t>10.2 Response Times:</w:t>
      </w:r>
    </w:p>
    <w:p>
      <w:pPr>
        <w:spacing w:before="0" w:after="0"/>
      </w:pPr>
      <w:r>
        <w:t xml:space="preserve">    - Critical Issues: 1-hour response time</w:t>
      </w:r>
    </w:p>
    <w:p>
      <w:pPr>
        <w:spacing w:before="0" w:after="0"/>
      </w:pPr>
      <w:r>
        <w:t xml:space="preserve">    - High Priority: 4-hour response time</w:t>
      </w:r>
    </w:p>
    <w:p>
      <w:pPr>
        <w:spacing w:before="0" w:after="0"/>
      </w:pPr>
      <w:r>
        <w:t xml:space="preserve">    - Medium Priority: 8-hour response time</w:t>
      </w:r>
    </w:p>
    <w:p>
      <w:pPr>
        <w:spacing w:before="0" w:after="0"/>
      </w:pPr>
      <w:r>
        <w:t xml:space="preserve">    - Low Priority: 24-hour response time</w:t>
      </w:r>
    </w:p>
    <w:p>
      <w:pPr>
        <w:spacing w:before="0" w:after="0"/>
      </w:pPr>
      <w:r>
        <w:t>10.3 For each percentage point below the guaranteed uptime, the Client shall receive a 5% credit on the monthly retainer.</w:t>
      </w:r>
    </w:p>
    <w:p>
      <w:pPr>
        <w:spacing w:before="0" w:after="0"/>
      </w:pPr>
    </w:p>
    <w:p>
      <w:pPr>
        <w:spacing w:before="0" w:after="0"/>
      </w:pPr>
      <w:r>
        <w:t>Signed:</w:t>
      </w:r>
    </w:p>
    <w:p>
      <w:pPr>
        <w:spacing w:before="0" w:after="0"/>
      </w:pPr>
    </w:p>
    <w:p>
      <w:pPr>
        <w:spacing w:before="0" w:after="0"/>
      </w:pPr>
      <w:r>
        <w:t>_________________________</w:t>
      </w:r>
    </w:p>
    <w:p>
      <w:pPr>
        <w:spacing w:before="0" w:after="0"/>
      </w:pPr>
      <w:r>
        <w:t>John Mitchell</w:t>
      </w:r>
    </w:p>
    <w:p>
      <w:pPr>
        <w:spacing w:before="0" w:after="0"/>
      </w:pPr>
      <w:r>
        <w:t>CEO, Meridian Technologies Inc.</w:t>
      </w:r>
    </w:p>
    <w:p>
      <w:pPr>
        <w:spacing w:before="0" w:after="0"/>
      </w:pPr>
    </w:p>
    <w:p>
      <w:pPr>
        <w:spacing w:before="0" w:after="0"/>
      </w:pPr>
      <w:r>
        <w:t>_________________________</w:t>
      </w:r>
    </w:p>
    <w:p>
      <w:pPr>
        <w:spacing w:before="0" w:after="0"/>
      </w:pPr>
      <w:r>
        <w:t>Sarah Chen</w:t>
      </w:r>
    </w:p>
    <w:p>
      <w:pPr>
        <w:spacing w:before="0" w:after="0"/>
      </w:pPr>
      <w:r>
        <w:t>VP Operations, Acme Corporation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